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91636" w14:textId="5FC06858" w:rsidR="00D5017A" w:rsidRPr="00D5017A" w:rsidRDefault="00D5017A" w:rsidP="00D5017A">
      <w:pPr>
        <w:jc w:val="center"/>
        <w:rPr>
          <w:rFonts w:ascii="宋体" w:eastAsia="宋体" w:hAnsi="宋体" w:hint="eastAsia"/>
          <w:b/>
          <w:bCs/>
          <w:sz w:val="28"/>
          <w:szCs w:val="32"/>
        </w:rPr>
      </w:pPr>
      <w:r w:rsidRPr="00D5017A">
        <w:rPr>
          <w:rFonts w:ascii="宋体" w:eastAsia="宋体" w:hAnsi="宋体" w:hint="eastAsia"/>
          <w:b/>
          <w:bCs/>
          <w:sz w:val="28"/>
          <w:szCs w:val="32"/>
        </w:rPr>
        <w:t>和市发改规〔2025〕2号</w:t>
      </w:r>
    </w:p>
    <w:p w14:paraId="7955DBAC" w14:textId="77777777" w:rsidR="00D5017A" w:rsidRPr="00D5017A" w:rsidRDefault="00D5017A" w:rsidP="00D5017A">
      <w:pPr>
        <w:jc w:val="center"/>
        <w:rPr>
          <w:rFonts w:ascii="宋体" w:eastAsia="宋体" w:hAnsi="宋体" w:hint="eastAsia"/>
          <w:b/>
          <w:bCs/>
          <w:sz w:val="28"/>
          <w:szCs w:val="32"/>
        </w:rPr>
      </w:pPr>
      <w:r w:rsidRPr="00D5017A">
        <w:rPr>
          <w:rFonts w:ascii="宋体" w:eastAsia="宋体" w:hAnsi="宋体" w:hint="eastAsia"/>
          <w:b/>
          <w:bCs/>
          <w:sz w:val="28"/>
          <w:szCs w:val="32"/>
        </w:rPr>
        <w:t>关于调整和田市农业供水价格的通知</w:t>
      </w:r>
    </w:p>
    <w:p w14:paraId="6DD94F51" w14:textId="77777777" w:rsidR="00D5017A" w:rsidRPr="00D5017A" w:rsidRDefault="00D5017A" w:rsidP="00D5017A">
      <w:pPr>
        <w:rPr>
          <w:rFonts w:ascii="宋体" w:eastAsia="宋体" w:hAnsi="宋体" w:hint="eastAsia"/>
          <w:sz w:val="22"/>
          <w:szCs w:val="24"/>
        </w:rPr>
      </w:pPr>
      <w:r w:rsidRPr="00D5017A">
        <w:rPr>
          <w:rFonts w:ascii="宋体" w:eastAsia="宋体" w:hAnsi="宋体" w:hint="eastAsia"/>
          <w:sz w:val="22"/>
          <w:szCs w:val="24"/>
        </w:rPr>
        <w:t> </w:t>
      </w:r>
    </w:p>
    <w:p w14:paraId="44C4BDC0" w14:textId="77777777" w:rsidR="00D5017A" w:rsidRPr="00D5017A" w:rsidRDefault="00D5017A" w:rsidP="00D5017A">
      <w:pPr>
        <w:rPr>
          <w:rFonts w:ascii="宋体" w:eastAsia="宋体" w:hAnsi="宋体" w:hint="eastAsia"/>
          <w:b/>
          <w:bCs/>
          <w:sz w:val="22"/>
          <w:szCs w:val="24"/>
        </w:rPr>
      </w:pPr>
      <w:r w:rsidRPr="00D5017A">
        <w:rPr>
          <w:rFonts w:ascii="宋体" w:eastAsia="宋体" w:hAnsi="宋体" w:hint="eastAsia"/>
          <w:b/>
          <w:bCs/>
          <w:sz w:val="22"/>
          <w:szCs w:val="24"/>
        </w:rPr>
        <w:t>和田市水利局：</w:t>
      </w:r>
    </w:p>
    <w:p w14:paraId="4AB05B2C" w14:textId="77777777" w:rsidR="00D5017A" w:rsidRPr="00D5017A" w:rsidRDefault="00D5017A" w:rsidP="00D5017A">
      <w:pPr>
        <w:ind w:firstLine="420"/>
        <w:rPr>
          <w:rFonts w:ascii="宋体" w:eastAsia="宋体" w:hAnsi="宋体" w:hint="eastAsia"/>
          <w:sz w:val="22"/>
          <w:szCs w:val="24"/>
        </w:rPr>
      </w:pPr>
      <w:r w:rsidRPr="00D5017A">
        <w:rPr>
          <w:rFonts w:ascii="宋体" w:eastAsia="宋体" w:hAnsi="宋体" w:hint="eastAsia"/>
          <w:sz w:val="22"/>
          <w:szCs w:val="24"/>
        </w:rPr>
        <w:t>为健全农业水价形成机制，推进农业水价制度执行，促进水利工程良性运行、水利事业健康发展，根据《中华人民共和国价格法》《政府制定价格行为规则》《新疆维吾尔自治区定价目录》文件精神，依法依规履行成本监审、专家论证、集体审议、价格听证、征求广大群众意见、社会影响分析评估、合法性审核等程序，经2025年和田市人民政府第二十七次常务会议研究同意，决定对和田市农业供水价格进行调整，现就有关事项通知如下：</w:t>
      </w:r>
    </w:p>
    <w:p w14:paraId="6AA67A74" w14:textId="77777777" w:rsidR="00D5017A" w:rsidRPr="00D5017A" w:rsidRDefault="00D5017A" w:rsidP="00D5017A">
      <w:pPr>
        <w:ind w:firstLine="420"/>
        <w:rPr>
          <w:rFonts w:ascii="宋体" w:eastAsia="宋体" w:hAnsi="宋体" w:hint="eastAsia"/>
          <w:sz w:val="22"/>
          <w:szCs w:val="24"/>
        </w:rPr>
      </w:pPr>
      <w:r w:rsidRPr="00D5017A">
        <w:rPr>
          <w:rFonts w:ascii="宋体" w:eastAsia="宋体" w:hAnsi="宋体" w:hint="eastAsia"/>
          <w:sz w:val="22"/>
          <w:szCs w:val="24"/>
        </w:rPr>
        <w:t>一、收费标准</w:t>
      </w:r>
    </w:p>
    <w:p w14:paraId="0FB49B52" w14:textId="77777777" w:rsidR="00D5017A" w:rsidRPr="00D5017A" w:rsidRDefault="00D5017A" w:rsidP="00D5017A">
      <w:pPr>
        <w:ind w:firstLine="420"/>
        <w:rPr>
          <w:rFonts w:ascii="宋体" w:eastAsia="宋体" w:hAnsi="宋体" w:hint="eastAsia"/>
          <w:sz w:val="22"/>
          <w:szCs w:val="24"/>
        </w:rPr>
      </w:pPr>
      <w:r w:rsidRPr="00D5017A">
        <w:rPr>
          <w:rFonts w:ascii="宋体" w:eastAsia="宋体" w:hAnsi="宋体" w:hint="eastAsia"/>
          <w:sz w:val="22"/>
          <w:szCs w:val="24"/>
        </w:rPr>
        <w:t>(一）分类水价</w:t>
      </w:r>
    </w:p>
    <w:p w14:paraId="1EB750D6" w14:textId="77777777" w:rsidR="00D5017A" w:rsidRPr="00D5017A" w:rsidRDefault="00D5017A" w:rsidP="00D5017A">
      <w:pPr>
        <w:ind w:firstLine="420"/>
        <w:rPr>
          <w:rFonts w:ascii="宋体" w:eastAsia="宋体" w:hAnsi="宋体" w:hint="eastAsia"/>
          <w:sz w:val="22"/>
          <w:szCs w:val="24"/>
        </w:rPr>
      </w:pPr>
      <w:r w:rsidRPr="00D5017A">
        <w:rPr>
          <w:rFonts w:ascii="宋体" w:eastAsia="宋体" w:hAnsi="宋体" w:hint="eastAsia"/>
          <w:sz w:val="22"/>
          <w:szCs w:val="24"/>
        </w:rPr>
        <w:t>粮食作物用水价格由0.1781元/立方米调整到0.1163元/立方米；</w:t>
      </w:r>
    </w:p>
    <w:p w14:paraId="79A4F67C" w14:textId="77777777" w:rsidR="00D5017A" w:rsidRPr="00D5017A" w:rsidRDefault="00D5017A" w:rsidP="00D5017A">
      <w:pPr>
        <w:ind w:firstLine="420"/>
        <w:rPr>
          <w:rFonts w:ascii="宋体" w:eastAsia="宋体" w:hAnsi="宋体" w:hint="eastAsia"/>
          <w:sz w:val="22"/>
          <w:szCs w:val="24"/>
        </w:rPr>
      </w:pPr>
      <w:r w:rsidRPr="00D5017A">
        <w:rPr>
          <w:rFonts w:ascii="宋体" w:eastAsia="宋体" w:hAnsi="宋体" w:hint="eastAsia"/>
          <w:sz w:val="22"/>
          <w:szCs w:val="24"/>
        </w:rPr>
        <w:t>经济作物用水价格由0.1959元/立方米调整到0.1224元/立方米；水产养殖用水价格按经济作物用水价格执行。</w:t>
      </w:r>
    </w:p>
    <w:p w14:paraId="4890DD98" w14:textId="77777777" w:rsidR="00D5017A" w:rsidRPr="00D5017A" w:rsidRDefault="00D5017A" w:rsidP="00D5017A">
      <w:pPr>
        <w:ind w:firstLine="420"/>
        <w:rPr>
          <w:rFonts w:ascii="宋体" w:eastAsia="宋体" w:hAnsi="宋体" w:hint="eastAsia"/>
          <w:sz w:val="22"/>
          <w:szCs w:val="24"/>
        </w:rPr>
      </w:pPr>
      <w:r w:rsidRPr="00D5017A">
        <w:rPr>
          <w:rFonts w:ascii="宋体" w:eastAsia="宋体" w:hAnsi="宋体" w:hint="eastAsia"/>
          <w:sz w:val="22"/>
          <w:szCs w:val="24"/>
        </w:rPr>
        <w:t>（二）分档水价</w:t>
      </w:r>
    </w:p>
    <w:p w14:paraId="7891F572" w14:textId="77777777" w:rsidR="00D5017A" w:rsidRPr="00D5017A" w:rsidRDefault="00D5017A" w:rsidP="00D5017A">
      <w:pPr>
        <w:ind w:firstLine="420"/>
        <w:rPr>
          <w:rFonts w:ascii="宋体" w:eastAsia="宋体" w:hAnsi="宋体" w:hint="eastAsia"/>
          <w:sz w:val="22"/>
          <w:szCs w:val="24"/>
        </w:rPr>
      </w:pPr>
      <w:r w:rsidRPr="00D5017A">
        <w:rPr>
          <w:rFonts w:ascii="宋体" w:eastAsia="宋体" w:hAnsi="宋体" w:hint="eastAsia"/>
          <w:sz w:val="22"/>
          <w:szCs w:val="24"/>
        </w:rPr>
        <w:t>在水利部门合理确定我市农业灌溉定额的基础上，根据《关于推进自治区水价综合改革的实施意见》（新政办发〔2012〕129号）文件要求，超过定额不足50％（含50％）的，按定额内水价1.5倍执行；超过定额50％不足1倍（含1倍）的部分，按定额内水价2倍执行；超过定额1倍以上的部分，按定额内水价2.5倍执行。</w:t>
      </w:r>
    </w:p>
    <w:p w14:paraId="1281FF77" w14:textId="77777777" w:rsidR="00D5017A" w:rsidRPr="00D5017A" w:rsidRDefault="00D5017A" w:rsidP="00D5017A">
      <w:pPr>
        <w:ind w:firstLine="420"/>
        <w:rPr>
          <w:rFonts w:ascii="宋体" w:eastAsia="宋体" w:hAnsi="宋体" w:hint="eastAsia"/>
          <w:sz w:val="22"/>
          <w:szCs w:val="24"/>
        </w:rPr>
      </w:pPr>
      <w:r w:rsidRPr="00D5017A">
        <w:rPr>
          <w:rFonts w:ascii="宋体" w:eastAsia="宋体" w:hAnsi="宋体" w:hint="eastAsia"/>
          <w:sz w:val="22"/>
          <w:szCs w:val="24"/>
        </w:rPr>
        <w:t>（三）末级渠系维护水价实行政府指导价</w:t>
      </w:r>
    </w:p>
    <w:p w14:paraId="2032452F" w14:textId="77777777" w:rsidR="00D5017A" w:rsidRPr="00D5017A" w:rsidRDefault="00D5017A" w:rsidP="00D5017A">
      <w:pPr>
        <w:ind w:firstLine="420"/>
        <w:rPr>
          <w:rFonts w:ascii="宋体" w:eastAsia="宋体" w:hAnsi="宋体" w:hint="eastAsia"/>
          <w:sz w:val="22"/>
          <w:szCs w:val="24"/>
        </w:rPr>
      </w:pPr>
      <w:r w:rsidRPr="00D5017A">
        <w:rPr>
          <w:rFonts w:ascii="宋体" w:eastAsia="宋体" w:hAnsi="宋体" w:hint="eastAsia"/>
          <w:sz w:val="22"/>
          <w:szCs w:val="24"/>
        </w:rPr>
        <w:t>末级渠系维护水价由0.0376元／立方米调整为常规用水价格0.0282元／立方米、高效用水价格0.0482元／立方米，均下浮不限。各农民用水合作组织按照民主协商的原则，以不高于政府指导价的前提下自行确定，并报市发改部门和水利部门后执行。</w:t>
      </w:r>
    </w:p>
    <w:p w14:paraId="4394E474" w14:textId="77777777" w:rsidR="00D5017A" w:rsidRPr="00D5017A" w:rsidRDefault="00D5017A" w:rsidP="00D5017A">
      <w:pPr>
        <w:ind w:firstLine="420"/>
        <w:rPr>
          <w:rFonts w:ascii="宋体" w:eastAsia="宋体" w:hAnsi="宋体" w:hint="eastAsia"/>
          <w:sz w:val="22"/>
          <w:szCs w:val="24"/>
        </w:rPr>
      </w:pPr>
      <w:r w:rsidRPr="00D5017A">
        <w:rPr>
          <w:rFonts w:ascii="宋体" w:eastAsia="宋体" w:hAnsi="宋体" w:hint="eastAsia"/>
          <w:sz w:val="22"/>
          <w:szCs w:val="24"/>
        </w:rPr>
        <w:t>二、相关要求</w:t>
      </w:r>
    </w:p>
    <w:p w14:paraId="420D21D0" w14:textId="77777777" w:rsidR="00D5017A" w:rsidRPr="00D5017A" w:rsidRDefault="00D5017A" w:rsidP="00D5017A">
      <w:pPr>
        <w:ind w:firstLine="420"/>
        <w:rPr>
          <w:rFonts w:ascii="宋体" w:eastAsia="宋体" w:hAnsi="宋体" w:hint="eastAsia"/>
          <w:sz w:val="22"/>
          <w:szCs w:val="24"/>
        </w:rPr>
      </w:pPr>
      <w:r w:rsidRPr="00D5017A">
        <w:rPr>
          <w:rFonts w:ascii="宋体" w:eastAsia="宋体" w:hAnsi="宋体" w:hint="eastAsia"/>
          <w:sz w:val="22"/>
          <w:szCs w:val="24"/>
        </w:rPr>
        <w:t>（一）供水单位应切实加快推进农业灌溉用水量的计量工作和相关措施的落实，积极做好政策宣传工作。实施超定额累进加价制度中，供水单位要切实做到定额准确、水价到户、结算到户、服务到户，确保供水水量符合规定的标准，保障供水安全。</w:t>
      </w:r>
    </w:p>
    <w:p w14:paraId="0CD70314" w14:textId="77777777" w:rsidR="00D5017A" w:rsidRPr="00D5017A" w:rsidRDefault="00D5017A" w:rsidP="00D5017A">
      <w:pPr>
        <w:ind w:firstLine="420"/>
        <w:rPr>
          <w:rFonts w:ascii="宋体" w:eastAsia="宋体" w:hAnsi="宋体" w:hint="eastAsia"/>
          <w:sz w:val="22"/>
          <w:szCs w:val="24"/>
        </w:rPr>
      </w:pPr>
      <w:r w:rsidRPr="00D5017A">
        <w:rPr>
          <w:rFonts w:ascii="宋体" w:eastAsia="宋体" w:hAnsi="宋体" w:hint="eastAsia"/>
          <w:sz w:val="22"/>
          <w:szCs w:val="24"/>
        </w:rPr>
        <w:t>（二）供水单位建立健全水费收取管理制度。按规范收取水费，坚决杜绝按亩收费、搭车乱收费行为。在执行新收费标准前，按要求在醒目位置设立收费公示牌，公示收费标准、计费方式、计费起始时间、收费依据、12315消费维权举报电话等。</w:t>
      </w:r>
    </w:p>
    <w:p w14:paraId="2F9DD9ED" w14:textId="77777777" w:rsidR="00D5017A" w:rsidRPr="00D5017A" w:rsidRDefault="00D5017A" w:rsidP="00D5017A">
      <w:pPr>
        <w:ind w:firstLine="420"/>
        <w:rPr>
          <w:rFonts w:ascii="宋体" w:eastAsia="宋体" w:hAnsi="宋体" w:hint="eastAsia"/>
          <w:sz w:val="22"/>
          <w:szCs w:val="24"/>
        </w:rPr>
      </w:pPr>
      <w:r w:rsidRPr="00D5017A">
        <w:rPr>
          <w:rFonts w:ascii="宋体" w:eastAsia="宋体" w:hAnsi="宋体" w:hint="eastAsia"/>
          <w:sz w:val="22"/>
          <w:szCs w:val="24"/>
        </w:rPr>
        <w:t>（三）水利部门负责末级渠系维护水费的监督管理，确保专账核算、专款专用，全额用于末级渠系的供水管理和维修养护，其中用于末级渠系维修养护的支出应不少于60%，任何单位和个人不得截留挪用或者挤占。</w:t>
      </w:r>
    </w:p>
    <w:p w14:paraId="55BE33C3" w14:textId="77777777" w:rsidR="00D5017A" w:rsidRPr="00D5017A" w:rsidRDefault="00D5017A" w:rsidP="00D5017A">
      <w:pPr>
        <w:ind w:firstLine="420"/>
        <w:rPr>
          <w:rFonts w:ascii="宋体" w:eastAsia="宋体" w:hAnsi="宋体" w:hint="eastAsia"/>
          <w:sz w:val="22"/>
          <w:szCs w:val="24"/>
        </w:rPr>
      </w:pPr>
      <w:r w:rsidRPr="00D5017A">
        <w:rPr>
          <w:rFonts w:ascii="宋体" w:eastAsia="宋体" w:hAnsi="宋体" w:hint="eastAsia"/>
          <w:sz w:val="22"/>
          <w:szCs w:val="24"/>
        </w:rPr>
        <w:t>三、本文件自2025年11月1日起执行，有效期至2030年10月31日，由和田市发展和改革委员会负责解释。原《关于调整和田市农业供水价格的通知》（和市发改物价〔2023〕8号）《关于确定团结新村蔬菜大棚、绿化带、饲草料基地用水价格的通知》（和市发改物价〔2017〕238号）文件同时废止。</w:t>
      </w:r>
    </w:p>
    <w:p w14:paraId="7CD4916F" w14:textId="77777777" w:rsidR="00D5017A" w:rsidRPr="00D5017A" w:rsidRDefault="00D5017A" w:rsidP="00D5017A">
      <w:pPr>
        <w:ind w:firstLine="420"/>
        <w:rPr>
          <w:rFonts w:ascii="宋体" w:eastAsia="宋体" w:hAnsi="宋体" w:hint="eastAsia"/>
          <w:sz w:val="22"/>
          <w:szCs w:val="24"/>
        </w:rPr>
      </w:pPr>
      <w:r w:rsidRPr="00D5017A">
        <w:rPr>
          <w:rFonts w:ascii="宋体" w:eastAsia="宋体" w:hAnsi="宋体" w:hint="eastAsia"/>
          <w:sz w:val="22"/>
          <w:szCs w:val="24"/>
        </w:rPr>
        <w:t>附件：和田市农业供水价格表</w:t>
      </w:r>
    </w:p>
    <w:p w14:paraId="01DC481D" w14:textId="77777777" w:rsidR="00D5017A" w:rsidRPr="00D5017A" w:rsidRDefault="00D5017A" w:rsidP="00D5017A">
      <w:pPr>
        <w:rPr>
          <w:rFonts w:ascii="宋体" w:eastAsia="宋体" w:hAnsi="宋体" w:hint="eastAsia"/>
          <w:sz w:val="22"/>
          <w:szCs w:val="24"/>
        </w:rPr>
      </w:pPr>
      <w:r w:rsidRPr="00D5017A">
        <w:rPr>
          <w:rFonts w:ascii="宋体" w:eastAsia="宋体" w:hAnsi="宋体" w:hint="eastAsia"/>
          <w:sz w:val="22"/>
          <w:szCs w:val="24"/>
        </w:rPr>
        <w:t> </w:t>
      </w:r>
    </w:p>
    <w:p w14:paraId="7AC72C84" w14:textId="0403C64E" w:rsidR="00D5017A" w:rsidRPr="00D5017A" w:rsidRDefault="00D5017A" w:rsidP="00D5017A">
      <w:pPr>
        <w:rPr>
          <w:rFonts w:ascii="宋体" w:eastAsia="宋体" w:hAnsi="宋体" w:hint="eastAsia"/>
          <w:sz w:val="22"/>
          <w:szCs w:val="24"/>
        </w:rPr>
      </w:pPr>
      <w:r w:rsidRPr="00D5017A">
        <w:rPr>
          <w:rFonts w:ascii="宋体" w:eastAsia="宋体" w:hAnsi="宋体" w:hint="eastAsia"/>
          <w:sz w:val="22"/>
          <w:szCs w:val="24"/>
        </w:rPr>
        <w:t>                          和田市发展和改革委员会</w:t>
      </w:r>
    </w:p>
    <w:p w14:paraId="4603B5B2" w14:textId="77777777" w:rsidR="00D5017A" w:rsidRPr="00D5017A" w:rsidRDefault="00D5017A" w:rsidP="00D5017A">
      <w:pPr>
        <w:rPr>
          <w:rFonts w:ascii="宋体" w:eastAsia="宋体" w:hAnsi="宋体" w:hint="eastAsia"/>
          <w:sz w:val="22"/>
          <w:szCs w:val="24"/>
        </w:rPr>
      </w:pPr>
      <w:r w:rsidRPr="00D5017A">
        <w:rPr>
          <w:rFonts w:ascii="宋体" w:eastAsia="宋体" w:hAnsi="宋体" w:hint="eastAsia"/>
          <w:sz w:val="22"/>
          <w:szCs w:val="24"/>
        </w:rPr>
        <w:t>                            2025年9月18日</w:t>
      </w:r>
    </w:p>
    <w:p w14:paraId="62A63F92" w14:textId="7F948F47" w:rsidR="00D5017A" w:rsidRPr="00D5017A" w:rsidRDefault="00D5017A" w:rsidP="00D5017A">
      <w:pPr>
        <w:rPr>
          <w:rFonts w:ascii="宋体" w:eastAsia="宋体" w:hAnsi="宋体" w:hint="eastAsia"/>
          <w:sz w:val="22"/>
          <w:szCs w:val="24"/>
        </w:rPr>
      </w:pPr>
      <w:r w:rsidRPr="00D5017A">
        <w:rPr>
          <w:rFonts w:ascii="宋体" w:eastAsia="宋体" w:hAnsi="宋体" w:hint="eastAsia"/>
          <w:sz w:val="22"/>
          <w:szCs w:val="24"/>
        </w:rPr>
        <w:lastRenderedPageBreak/>
        <w:t>                                     </w:t>
      </w:r>
    </w:p>
    <w:p w14:paraId="1EE1AB98" w14:textId="77777777" w:rsidR="00D5017A" w:rsidRPr="00D5017A" w:rsidRDefault="00D5017A" w:rsidP="00D5017A">
      <w:pPr>
        <w:rPr>
          <w:rFonts w:ascii="宋体" w:eastAsia="宋体" w:hAnsi="宋体" w:hint="eastAsia"/>
          <w:sz w:val="22"/>
          <w:szCs w:val="24"/>
        </w:rPr>
      </w:pPr>
      <w:r w:rsidRPr="00D5017A">
        <w:rPr>
          <w:rFonts w:ascii="宋体" w:eastAsia="宋体" w:hAnsi="宋体" w:hint="eastAsia"/>
          <w:sz w:val="22"/>
          <w:szCs w:val="24"/>
        </w:rPr>
        <w:t>抄送：和田地区发改委、和田市市场监督管理局、各乡镇、玉河</w:t>
      </w:r>
      <w:r w:rsidRPr="00D5017A">
        <w:rPr>
          <w:rFonts w:ascii="宋体" w:eastAsia="宋体" w:hAnsi="宋体" w:hint="eastAsia"/>
          <w:sz w:val="22"/>
          <w:szCs w:val="24"/>
        </w:rPr>
        <w:br/>
        <w:t>      街道。                                                  </w:t>
      </w:r>
    </w:p>
    <w:p w14:paraId="52809ABE" w14:textId="77777777" w:rsidR="00D5017A" w:rsidRPr="00D5017A" w:rsidRDefault="00D5017A" w:rsidP="00D5017A">
      <w:pPr>
        <w:rPr>
          <w:rFonts w:ascii="宋体" w:eastAsia="宋体" w:hAnsi="宋体" w:hint="eastAsia"/>
          <w:sz w:val="22"/>
          <w:szCs w:val="24"/>
        </w:rPr>
      </w:pPr>
      <w:r w:rsidRPr="00D5017A">
        <w:rPr>
          <w:rFonts w:ascii="宋体" w:eastAsia="宋体" w:hAnsi="宋体" w:hint="eastAsia"/>
          <w:sz w:val="22"/>
          <w:szCs w:val="24"/>
        </w:rPr>
        <w:t> 和田市发展改革委办公室           2025年9月18日印发     </w:t>
      </w:r>
    </w:p>
    <w:p w14:paraId="2ABD5187" w14:textId="77777777" w:rsidR="00D5017A" w:rsidRPr="00D5017A" w:rsidRDefault="00D5017A" w:rsidP="00D5017A">
      <w:pPr>
        <w:rPr>
          <w:rFonts w:ascii="宋体" w:eastAsia="宋体" w:hAnsi="宋体" w:hint="eastAsia"/>
          <w:sz w:val="22"/>
          <w:szCs w:val="24"/>
        </w:rPr>
      </w:pPr>
    </w:p>
    <w:p w14:paraId="3BED6E1A" w14:textId="77777777" w:rsidR="00D5017A" w:rsidRPr="00D5017A" w:rsidRDefault="00D5017A" w:rsidP="00D5017A">
      <w:pPr>
        <w:rPr>
          <w:rFonts w:ascii="宋体" w:eastAsia="宋体" w:hAnsi="宋体" w:hint="eastAsia"/>
          <w:sz w:val="22"/>
          <w:szCs w:val="24"/>
        </w:rPr>
      </w:pPr>
      <w:r w:rsidRPr="00D5017A">
        <w:rPr>
          <w:rFonts w:ascii="宋体" w:eastAsia="宋体" w:hAnsi="宋体" w:hint="eastAsia"/>
          <w:sz w:val="22"/>
          <w:szCs w:val="24"/>
        </w:rPr>
        <w:t>附件：</w:t>
      </w:r>
    </w:p>
    <w:p w14:paraId="1EA5AEEB" w14:textId="77777777" w:rsidR="00D5017A" w:rsidRPr="00D5017A" w:rsidRDefault="00D5017A" w:rsidP="00D5017A">
      <w:pPr>
        <w:rPr>
          <w:rFonts w:ascii="宋体" w:eastAsia="宋体" w:hAnsi="宋体" w:hint="eastAsia"/>
          <w:sz w:val="22"/>
          <w:szCs w:val="24"/>
        </w:rPr>
      </w:pPr>
      <w:r w:rsidRPr="00D5017A">
        <w:rPr>
          <w:rFonts w:ascii="宋体" w:eastAsia="宋体" w:hAnsi="宋体" w:hint="eastAsia"/>
          <w:sz w:val="22"/>
          <w:szCs w:val="24"/>
        </w:rPr>
        <w:t>和田市农业供水价格表</w:t>
      </w:r>
    </w:p>
    <w:p w14:paraId="55342E2F" w14:textId="77777777" w:rsidR="00D5017A" w:rsidRPr="00D5017A" w:rsidRDefault="00D5017A" w:rsidP="00D5017A">
      <w:pPr>
        <w:rPr>
          <w:rFonts w:ascii="宋体" w:eastAsia="宋体" w:hAnsi="宋体" w:hint="eastAsia"/>
          <w:sz w:val="22"/>
          <w:szCs w:val="24"/>
        </w:rPr>
      </w:pPr>
      <w:r w:rsidRPr="00D5017A">
        <w:rPr>
          <w:rFonts w:ascii="宋体" w:eastAsia="宋体" w:hAnsi="宋体" w:hint="eastAsia"/>
          <w:sz w:val="22"/>
          <w:szCs w:val="24"/>
        </w:rPr>
        <w:t>                                                                                            单位：元/立方米</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548"/>
        <w:gridCol w:w="886"/>
        <w:gridCol w:w="1442"/>
        <w:gridCol w:w="1400"/>
        <w:gridCol w:w="1228"/>
        <w:gridCol w:w="1189"/>
        <w:gridCol w:w="1597"/>
      </w:tblGrid>
      <w:tr w:rsidR="00D5017A" w:rsidRPr="00D5017A" w14:paraId="22934CEA" w14:textId="77777777" w:rsidTr="00D5017A">
        <w:trPr>
          <w:trHeight w:val="615"/>
          <w:tblCellSpacing w:w="15" w:type="dxa"/>
        </w:trPr>
        <w:tc>
          <w:tcPr>
            <w:tcW w:w="307" w:type="pc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DDC9F7C" w14:textId="77777777" w:rsidR="00D5017A" w:rsidRPr="00D5017A" w:rsidRDefault="00D5017A" w:rsidP="00D5017A">
            <w:pPr>
              <w:rPr>
                <w:rFonts w:ascii="宋体" w:eastAsia="宋体" w:hAnsi="宋体" w:hint="eastAsia"/>
                <w:sz w:val="22"/>
                <w:szCs w:val="24"/>
              </w:rPr>
            </w:pPr>
            <w:r w:rsidRPr="00D5017A">
              <w:rPr>
                <w:rFonts w:ascii="宋体" w:eastAsia="宋体" w:hAnsi="宋体" w:hint="eastAsia"/>
                <w:sz w:val="22"/>
                <w:szCs w:val="24"/>
              </w:rPr>
              <w:t>序号</w:t>
            </w:r>
          </w:p>
        </w:tc>
        <w:tc>
          <w:tcPr>
            <w:tcW w:w="522" w:type="pc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3DF2CCB" w14:textId="77777777" w:rsidR="00D5017A" w:rsidRPr="00D5017A" w:rsidRDefault="00D5017A" w:rsidP="00D5017A">
            <w:pPr>
              <w:rPr>
                <w:rFonts w:ascii="宋体" w:eastAsia="宋体" w:hAnsi="宋体" w:hint="eastAsia"/>
                <w:sz w:val="22"/>
                <w:szCs w:val="24"/>
              </w:rPr>
            </w:pPr>
            <w:r w:rsidRPr="00D5017A">
              <w:rPr>
                <w:rFonts w:ascii="宋体" w:eastAsia="宋体" w:hAnsi="宋体" w:hint="eastAsia"/>
                <w:sz w:val="22"/>
                <w:szCs w:val="24"/>
              </w:rPr>
              <w:t>名称</w:t>
            </w:r>
          </w:p>
        </w:tc>
        <w:tc>
          <w:tcPr>
            <w:tcW w:w="861" w:type="pc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3C62BEE" w14:textId="77777777" w:rsidR="00D5017A" w:rsidRPr="00D5017A" w:rsidRDefault="00D5017A" w:rsidP="00D5017A">
            <w:pPr>
              <w:rPr>
                <w:rFonts w:ascii="宋体" w:eastAsia="宋体" w:hAnsi="宋体" w:hint="eastAsia"/>
                <w:sz w:val="22"/>
                <w:szCs w:val="24"/>
              </w:rPr>
            </w:pPr>
            <w:r w:rsidRPr="00D5017A">
              <w:rPr>
                <w:rFonts w:ascii="宋体" w:eastAsia="宋体" w:hAnsi="宋体" w:hint="eastAsia"/>
                <w:sz w:val="22"/>
                <w:szCs w:val="24"/>
              </w:rPr>
              <w:t>用水量</w:t>
            </w:r>
          </w:p>
        </w:tc>
        <w:tc>
          <w:tcPr>
            <w:tcW w:w="836" w:type="pc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4902E8B" w14:textId="77777777" w:rsidR="00D5017A" w:rsidRPr="00D5017A" w:rsidRDefault="00D5017A" w:rsidP="00D5017A">
            <w:pPr>
              <w:rPr>
                <w:rFonts w:ascii="宋体" w:eastAsia="宋体" w:hAnsi="宋体" w:hint="eastAsia"/>
                <w:sz w:val="22"/>
                <w:szCs w:val="24"/>
              </w:rPr>
            </w:pPr>
            <w:r w:rsidRPr="00D5017A">
              <w:rPr>
                <w:rFonts w:ascii="宋体" w:eastAsia="宋体" w:hAnsi="宋体" w:hint="eastAsia"/>
                <w:sz w:val="22"/>
                <w:szCs w:val="24"/>
              </w:rPr>
              <w:t>用水价格</w:t>
            </w:r>
          </w:p>
        </w:tc>
        <w:tc>
          <w:tcPr>
            <w:tcW w:w="730" w:type="pc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A563F3F" w14:textId="77777777" w:rsidR="00D5017A" w:rsidRPr="00D5017A" w:rsidRDefault="00D5017A" w:rsidP="00D5017A">
            <w:pPr>
              <w:rPr>
                <w:rFonts w:ascii="宋体" w:eastAsia="宋体" w:hAnsi="宋体" w:hint="eastAsia"/>
                <w:sz w:val="22"/>
                <w:szCs w:val="24"/>
              </w:rPr>
            </w:pPr>
            <w:r w:rsidRPr="00D5017A">
              <w:rPr>
                <w:rFonts w:ascii="宋体" w:eastAsia="宋体" w:hAnsi="宋体" w:hint="eastAsia"/>
                <w:sz w:val="22"/>
                <w:szCs w:val="24"/>
              </w:rPr>
              <w:t>粮食作物用水价格</w:t>
            </w:r>
          </w:p>
        </w:tc>
        <w:tc>
          <w:tcPr>
            <w:tcW w:w="707" w:type="pc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9C528EE" w14:textId="77777777" w:rsidR="00D5017A" w:rsidRPr="00D5017A" w:rsidRDefault="00D5017A" w:rsidP="00D5017A">
            <w:pPr>
              <w:rPr>
                <w:rFonts w:ascii="宋体" w:eastAsia="宋体" w:hAnsi="宋体" w:hint="eastAsia"/>
                <w:sz w:val="22"/>
                <w:szCs w:val="24"/>
              </w:rPr>
            </w:pPr>
            <w:r w:rsidRPr="00D5017A">
              <w:rPr>
                <w:rFonts w:ascii="宋体" w:eastAsia="宋体" w:hAnsi="宋体" w:hint="eastAsia"/>
                <w:sz w:val="22"/>
                <w:szCs w:val="24"/>
              </w:rPr>
              <w:t>经济作物用水价格</w:t>
            </w:r>
          </w:p>
        </w:tc>
        <w:tc>
          <w:tcPr>
            <w:tcW w:w="946" w:type="pc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BC01285" w14:textId="77777777" w:rsidR="00D5017A" w:rsidRPr="00D5017A" w:rsidRDefault="00D5017A" w:rsidP="00D5017A">
            <w:pPr>
              <w:rPr>
                <w:rFonts w:ascii="宋体" w:eastAsia="宋体" w:hAnsi="宋体" w:hint="eastAsia"/>
                <w:sz w:val="22"/>
                <w:szCs w:val="24"/>
              </w:rPr>
            </w:pPr>
            <w:r w:rsidRPr="00D5017A">
              <w:rPr>
                <w:rFonts w:ascii="宋体" w:eastAsia="宋体" w:hAnsi="宋体" w:hint="eastAsia"/>
                <w:sz w:val="22"/>
                <w:szCs w:val="24"/>
              </w:rPr>
              <w:t>末级渠系维护水价</w:t>
            </w:r>
          </w:p>
        </w:tc>
      </w:tr>
      <w:tr w:rsidR="00D5017A" w:rsidRPr="00D5017A" w14:paraId="487348EE" w14:textId="77777777" w:rsidTr="00D5017A">
        <w:trPr>
          <w:trHeight w:val="885"/>
          <w:tblCellSpacing w:w="15" w:type="dxa"/>
        </w:trPr>
        <w:tc>
          <w:tcPr>
            <w:tcW w:w="307" w:type="pct"/>
            <w:tcBorders>
              <w:top w:val="single" w:sz="6" w:space="0" w:color="auto"/>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7FA6342" w14:textId="77777777" w:rsidR="00D5017A" w:rsidRPr="00D5017A" w:rsidRDefault="00D5017A" w:rsidP="00D5017A">
            <w:pPr>
              <w:rPr>
                <w:rFonts w:ascii="宋体" w:eastAsia="宋体" w:hAnsi="宋体" w:hint="eastAsia"/>
                <w:sz w:val="22"/>
                <w:szCs w:val="24"/>
              </w:rPr>
            </w:pPr>
            <w:r w:rsidRPr="00D5017A">
              <w:rPr>
                <w:rFonts w:ascii="宋体" w:eastAsia="宋体" w:hAnsi="宋体" w:hint="eastAsia"/>
                <w:sz w:val="22"/>
                <w:szCs w:val="24"/>
              </w:rPr>
              <w:t>1</w:t>
            </w:r>
          </w:p>
        </w:tc>
        <w:tc>
          <w:tcPr>
            <w:tcW w:w="522" w:type="pc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BBEA1EF" w14:textId="77777777" w:rsidR="00D5017A" w:rsidRPr="00D5017A" w:rsidRDefault="00D5017A" w:rsidP="00D5017A">
            <w:pPr>
              <w:rPr>
                <w:rFonts w:ascii="宋体" w:eastAsia="宋体" w:hAnsi="宋体" w:hint="eastAsia"/>
                <w:sz w:val="22"/>
                <w:szCs w:val="24"/>
              </w:rPr>
            </w:pPr>
            <w:r w:rsidRPr="00D5017A">
              <w:rPr>
                <w:rFonts w:ascii="宋体" w:eastAsia="宋体" w:hAnsi="宋体" w:hint="eastAsia"/>
                <w:sz w:val="22"/>
                <w:szCs w:val="24"/>
              </w:rPr>
              <w:t>第一档</w:t>
            </w:r>
          </w:p>
        </w:tc>
        <w:tc>
          <w:tcPr>
            <w:tcW w:w="861" w:type="pct"/>
            <w:tcBorders>
              <w:top w:val="single" w:sz="6" w:space="0" w:color="000000"/>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B572830" w14:textId="77777777" w:rsidR="00D5017A" w:rsidRPr="00D5017A" w:rsidRDefault="00D5017A" w:rsidP="00D5017A">
            <w:pPr>
              <w:rPr>
                <w:rFonts w:ascii="宋体" w:eastAsia="宋体" w:hAnsi="宋体" w:hint="eastAsia"/>
                <w:sz w:val="22"/>
                <w:szCs w:val="24"/>
              </w:rPr>
            </w:pPr>
            <w:r w:rsidRPr="00D5017A">
              <w:rPr>
                <w:rFonts w:ascii="宋体" w:eastAsia="宋体" w:hAnsi="宋体" w:hint="eastAsia"/>
                <w:sz w:val="22"/>
                <w:szCs w:val="24"/>
              </w:rPr>
              <w:t>定额用水量内</w:t>
            </w:r>
          </w:p>
        </w:tc>
        <w:tc>
          <w:tcPr>
            <w:tcW w:w="836" w:type="pct"/>
            <w:tcBorders>
              <w:top w:val="single" w:sz="6" w:space="0" w:color="000000"/>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9AD9586" w14:textId="77777777" w:rsidR="00D5017A" w:rsidRPr="00D5017A" w:rsidRDefault="00D5017A" w:rsidP="00D5017A">
            <w:pPr>
              <w:rPr>
                <w:rFonts w:ascii="宋体" w:eastAsia="宋体" w:hAnsi="宋体" w:hint="eastAsia"/>
                <w:sz w:val="22"/>
                <w:szCs w:val="24"/>
              </w:rPr>
            </w:pPr>
            <w:r w:rsidRPr="00D5017A">
              <w:rPr>
                <w:rFonts w:ascii="宋体" w:eastAsia="宋体" w:hAnsi="宋体" w:hint="eastAsia"/>
                <w:sz w:val="22"/>
                <w:szCs w:val="24"/>
              </w:rPr>
              <w:t>定额内水价</w:t>
            </w:r>
          </w:p>
        </w:tc>
        <w:tc>
          <w:tcPr>
            <w:tcW w:w="730" w:type="pc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34E1896" w14:textId="77777777" w:rsidR="00D5017A" w:rsidRPr="00D5017A" w:rsidRDefault="00D5017A" w:rsidP="00D5017A">
            <w:pPr>
              <w:rPr>
                <w:rFonts w:ascii="宋体" w:eastAsia="宋体" w:hAnsi="宋体" w:hint="eastAsia"/>
                <w:sz w:val="22"/>
                <w:szCs w:val="24"/>
              </w:rPr>
            </w:pPr>
            <w:r w:rsidRPr="00D5017A">
              <w:rPr>
                <w:rFonts w:ascii="宋体" w:eastAsia="宋体" w:hAnsi="宋体" w:hint="eastAsia"/>
                <w:sz w:val="22"/>
                <w:szCs w:val="24"/>
              </w:rPr>
              <w:t>0.1163</w:t>
            </w:r>
          </w:p>
        </w:tc>
        <w:tc>
          <w:tcPr>
            <w:tcW w:w="707" w:type="pc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6120357" w14:textId="77777777" w:rsidR="00D5017A" w:rsidRPr="00D5017A" w:rsidRDefault="00D5017A" w:rsidP="00D5017A">
            <w:pPr>
              <w:rPr>
                <w:rFonts w:ascii="宋体" w:eastAsia="宋体" w:hAnsi="宋体" w:hint="eastAsia"/>
                <w:sz w:val="22"/>
                <w:szCs w:val="24"/>
              </w:rPr>
            </w:pPr>
            <w:r w:rsidRPr="00D5017A">
              <w:rPr>
                <w:rFonts w:ascii="宋体" w:eastAsia="宋体" w:hAnsi="宋体" w:hint="eastAsia"/>
                <w:sz w:val="22"/>
                <w:szCs w:val="24"/>
              </w:rPr>
              <w:t>0.1224</w:t>
            </w:r>
          </w:p>
        </w:tc>
        <w:tc>
          <w:tcPr>
            <w:tcW w:w="946" w:type="pct"/>
            <w:vMerge w:val="restart"/>
            <w:tcBorders>
              <w:top w:val="single" w:sz="6" w:space="0" w:color="auto"/>
              <w:left w:val="single" w:sz="6" w:space="0" w:color="auto"/>
              <w:bottom w:val="single" w:sz="6" w:space="0" w:color="auto"/>
              <w:right w:val="single" w:sz="6" w:space="0" w:color="000000"/>
            </w:tcBorders>
            <w:shd w:val="clear" w:color="auto" w:fill="FFFFFF"/>
            <w:tcMar>
              <w:top w:w="0" w:type="dxa"/>
              <w:left w:w="105" w:type="dxa"/>
              <w:bottom w:w="0" w:type="dxa"/>
              <w:right w:w="105" w:type="dxa"/>
            </w:tcMar>
            <w:vAlign w:val="center"/>
            <w:hideMark/>
          </w:tcPr>
          <w:p w14:paraId="1C16FA13" w14:textId="77777777" w:rsidR="00D5017A" w:rsidRPr="00D5017A" w:rsidRDefault="00D5017A" w:rsidP="00D5017A">
            <w:pPr>
              <w:rPr>
                <w:rFonts w:ascii="宋体" w:eastAsia="宋体" w:hAnsi="宋体" w:hint="eastAsia"/>
                <w:sz w:val="22"/>
                <w:szCs w:val="24"/>
              </w:rPr>
            </w:pPr>
            <w:r w:rsidRPr="00D5017A">
              <w:rPr>
                <w:rFonts w:ascii="宋体" w:eastAsia="宋体" w:hAnsi="宋体" w:hint="eastAsia"/>
                <w:sz w:val="22"/>
                <w:szCs w:val="24"/>
              </w:rPr>
              <w:t>常规用水价格0.0282、高效用水价格0.0482</w:t>
            </w:r>
          </w:p>
          <w:p w14:paraId="388459BC" w14:textId="77777777" w:rsidR="00D5017A" w:rsidRPr="00D5017A" w:rsidRDefault="00D5017A" w:rsidP="00D5017A">
            <w:pPr>
              <w:rPr>
                <w:rFonts w:ascii="宋体" w:eastAsia="宋体" w:hAnsi="宋体" w:hint="eastAsia"/>
                <w:sz w:val="22"/>
                <w:szCs w:val="24"/>
              </w:rPr>
            </w:pPr>
            <w:r w:rsidRPr="00D5017A">
              <w:rPr>
                <w:rFonts w:ascii="宋体" w:eastAsia="宋体" w:hAnsi="宋体" w:hint="eastAsia"/>
                <w:sz w:val="22"/>
                <w:szCs w:val="24"/>
              </w:rPr>
              <w:t> </w:t>
            </w:r>
          </w:p>
        </w:tc>
      </w:tr>
      <w:tr w:rsidR="00D5017A" w:rsidRPr="00D5017A" w14:paraId="0588C4AB" w14:textId="77777777" w:rsidTr="00D5017A">
        <w:trPr>
          <w:trHeight w:val="1350"/>
          <w:tblCellSpacing w:w="15" w:type="dxa"/>
        </w:trPr>
        <w:tc>
          <w:tcPr>
            <w:tcW w:w="307" w:type="pct"/>
            <w:tcBorders>
              <w:top w:val="single" w:sz="6" w:space="0" w:color="auto"/>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9C19ED1" w14:textId="77777777" w:rsidR="00D5017A" w:rsidRPr="00D5017A" w:rsidRDefault="00D5017A" w:rsidP="00D5017A">
            <w:pPr>
              <w:rPr>
                <w:rFonts w:ascii="宋体" w:eastAsia="宋体" w:hAnsi="宋体" w:hint="eastAsia"/>
                <w:sz w:val="22"/>
                <w:szCs w:val="24"/>
              </w:rPr>
            </w:pPr>
            <w:r w:rsidRPr="00D5017A">
              <w:rPr>
                <w:rFonts w:ascii="宋体" w:eastAsia="宋体" w:hAnsi="宋体" w:hint="eastAsia"/>
                <w:sz w:val="22"/>
                <w:szCs w:val="24"/>
              </w:rPr>
              <w:t>2</w:t>
            </w:r>
          </w:p>
        </w:tc>
        <w:tc>
          <w:tcPr>
            <w:tcW w:w="522" w:type="pc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3F66EEC" w14:textId="77777777" w:rsidR="00D5017A" w:rsidRPr="00D5017A" w:rsidRDefault="00D5017A" w:rsidP="00D5017A">
            <w:pPr>
              <w:rPr>
                <w:rFonts w:ascii="宋体" w:eastAsia="宋体" w:hAnsi="宋体" w:hint="eastAsia"/>
                <w:sz w:val="22"/>
                <w:szCs w:val="24"/>
              </w:rPr>
            </w:pPr>
            <w:r w:rsidRPr="00D5017A">
              <w:rPr>
                <w:rFonts w:ascii="宋体" w:eastAsia="宋体" w:hAnsi="宋体" w:hint="eastAsia"/>
                <w:sz w:val="22"/>
                <w:szCs w:val="24"/>
              </w:rPr>
              <w:t>第二档</w:t>
            </w:r>
          </w:p>
        </w:tc>
        <w:tc>
          <w:tcPr>
            <w:tcW w:w="861" w:type="pc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00A3A04" w14:textId="77777777" w:rsidR="00D5017A" w:rsidRPr="00D5017A" w:rsidRDefault="00D5017A" w:rsidP="00D5017A">
            <w:pPr>
              <w:rPr>
                <w:rFonts w:ascii="宋体" w:eastAsia="宋体" w:hAnsi="宋体" w:hint="eastAsia"/>
                <w:sz w:val="22"/>
                <w:szCs w:val="24"/>
              </w:rPr>
            </w:pPr>
            <w:r w:rsidRPr="00D5017A">
              <w:rPr>
                <w:rFonts w:ascii="宋体" w:eastAsia="宋体" w:hAnsi="宋体" w:hint="eastAsia"/>
                <w:sz w:val="22"/>
                <w:szCs w:val="24"/>
              </w:rPr>
              <w:t>超过定额不足50%（含50%）的</w:t>
            </w:r>
          </w:p>
        </w:tc>
        <w:tc>
          <w:tcPr>
            <w:tcW w:w="836" w:type="pc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3605C9C" w14:textId="77777777" w:rsidR="00D5017A" w:rsidRPr="00D5017A" w:rsidRDefault="00D5017A" w:rsidP="00D5017A">
            <w:pPr>
              <w:rPr>
                <w:rFonts w:ascii="宋体" w:eastAsia="宋体" w:hAnsi="宋体" w:hint="eastAsia"/>
                <w:sz w:val="22"/>
                <w:szCs w:val="24"/>
              </w:rPr>
            </w:pPr>
            <w:r w:rsidRPr="00D5017A">
              <w:rPr>
                <w:rFonts w:ascii="宋体" w:eastAsia="宋体" w:hAnsi="宋体" w:hint="eastAsia"/>
                <w:sz w:val="22"/>
                <w:szCs w:val="24"/>
              </w:rPr>
              <w:t>按定额内水价1.5倍执行</w:t>
            </w:r>
          </w:p>
        </w:tc>
        <w:tc>
          <w:tcPr>
            <w:tcW w:w="730" w:type="pc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2CD8625" w14:textId="77777777" w:rsidR="00D5017A" w:rsidRPr="00D5017A" w:rsidRDefault="00D5017A" w:rsidP="00D5017A">
            <w:pPr>
              <w:rPr>
                <w:rFonts w:ascii="宋体" w:eastAsia="宋体" w:hAnsi="宋体" w:hint="eastAsia"/>
                <w:sz w:val="22"/>
                <w:szCs w:val="24"/>
              </w:rPr>
            </w:pPr>
            <w:r w:rsidRPr="00D5017A">
              <w:rPr>
                <w:rFonts w:ascii="宋体" w:eastAsia="宋体" w:hAnsi="宋体" w:hint="eastAsia"/>
                <w:sz w:val="22"/>
                <w:szCs w:val="24"/>
              </w:rPr>
              <w:t>0.1745</w:t>
            </w:r>
          </w:p>
        </w:tc>
        <w:tc>
          <w:tcPr>
            <w:tcW w:w="707" w:type="pc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1A006C4" w14:textId="77777777" w:rsidR="00D5017A" w:rsidRPr="00D5017A" w:rsidRDefault="00D5017A" w:rsidP="00D5017A">
            <w:pPr>
              <w:rPr>
                <w:rFonts w:ascii="宋体" w:eastAsia="宋体" w:hAnsi="宋体" w:hint="eastAsia"/>
                <w:sz w:val="22"/>
                <w:szCs w:val="24"/>
              </w:rPr>
            </w:pPr>
            <w:r w:rsidRPr="00D5017A">
              <w:rPr>
                <w:rFonts w:ascii="宋体" w:eastAsia="宋体" w:hAnsi="宋体" w:hint="eastAsia"/>
                <w:sz w:val="22"/>
                <w:szCs w:val="24"/>
              </w:rPr>
              <w:t>0.1836</w:t>
            </w:r>
          </w:p>
        </w:tc>
        <w:tc>
          <w:tcPr>
            <w:tcW w:w="946" w:type="pct"/>
            <w:vMerge/>
            <w:tcBorders>
              <w:top w:val="single" w:sz="6" w:space="0" w:color="auto"/>
              <w:left w:val="single" w:sz="6" w:space="0" w:color="auto"/>
              <w:bottom w:val="single" w:sz="6" w:space="0" w:color="auto"/>
              <w:right w:val="single" w:sz="6" w:space="0" w:color="000000"/>
            </w:tcBorders>
            <w:shd w:val="clear" w:color="auto" w:fill="FFFFFF"/>
            <w:vAlign w:val="center"/>
            <w:hideMark/>
          </w:tcPr>
          <w:p w14:paraId="5330786D" w14:textId="77777777" w:rsidR="00D5017A" w:rsidRPr="00D5017A" w:rsidRDefault="00D5017A" w:rsidP="00D5017A">
            <w:pPr>
              <w:rPr>
                <w:rFonts w:ascii="宋体" w:eastAsia="宋体" w:hAnsi="宋体"/>
                <w:sz w:val="22"/>
                <w:szCs w:val="24"/>
              </w:rPr>
            </w:pPr>
          </w:p>
        </w:tc>
      </w:tr>
      <w:tr w:rsidR="00D5017A" w:rsidRPr="00D5017A" w14:paraId="3877DB91" w14:textId="77777777" w:rsidTr="00D5017A">
        <w:trPr>
          <w:trHeight w:val="900"/>
          <w:tblCellSpacing w:w="15" w:type="dxa"/>
        </w:trPr>
        <w:tc>
          <w:tcPr>
            <w:tcW w:w="307" w:type="pct"/>
            <w:tcBorders>
              <w:top w:val="single" w:sz="6" w:space="0" w:color="auto"/>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AED8A24" w14:textId="77777777" w:rsidR="00D5017A" w:rsidRPr="00D5017A" w:rsidRDefault="00D5017A" w:rsidP="00D5017A">
            <w:pPr>
              <w:rPr>
                <w:rFonts w:ascii="宋体" w:eastAsia="宋体" w:hAnsi="宋体" w:hint="eastAsia"/>
                <w:sz w:val="22"/>
                <w:szCs w:val="24"/>
              </w:rPr>
            </w:pPr>
            <w:r w:rsidRPr="00D5017A">
              <w:rPr>
                <w:rFonts w:ascii="宋体" w:eastAsia="宋体" w:hAnsi="宋体" w:hint="eastAsia"/>
                <w:sz w:val="22"/>
                <w:szCs w:val="24"/>
              </w:rPr>
              <w:t>3</w:t>
            </w:r>
          </w:p>
        </w:tc>
        <w:tc>
          <w:tcPr>
            <w:tcW w:w="522" w:type="pc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5D985DC" w14:textId="77777777" w:rsidR="00D5017A" w:rsidRPr="00D5017A" w:rsidRDefault="00D5017A" w:rsidP="00D5017A">
            <w:pPr>
              <w:rPr>
                <w:rFonts w:ascii="宋体" w:eastAsia="宋体" w:hAnsi="宋体" w:hint="eastAsia"/>
                <w:sz w:val="22"/>
                <w:szCs w:val="24"/>
              </w:rPr>
            </w:pPr>
            <w:r w:rsidRPr="00D5017A">
              <w:rPr>
                <w:rFonts w:ascii="宋体" w:eastAsia="宋体" w:hAnsi="宋体" w:hint="eastAsia"/>
                <w:sz w:val="22"/>
                <w:szCs w:val="24"/>
              </w:rPr>
              <w:t>第三档</w:t>
            </w:r>
          </w:p>
        </w:tc>
        <w:tc>
          <w:tcPr>
            <w:tcW w:w="861" w:type="pc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4F10948" w14:textId="77777777" w:rsidR="00D5017A" w:rsidRPr="00D5017A" w:rsidRDefault="00D5017A" w:rsidP="00D5017A">
            <w:pPr>
              <w:rPr>
                <w:rFonts w:ascii="宋体" w:eastAsia="宋体" w:hAnsi="宋体" w:hint="eastAsia"/>
                <w:sz w:val="22"/>
                <w:szCs w:val="24"/>
              </w:rPr>
            </w:pPr>
            <w:r w:rsidRPr="00D5017A">
              <w:rPr>
                <w:rFonts w:ascii="宋体" w:eastAsia="宋体" w:hAnsi="宋体" w:hint="eastAsia"/>
                <w:sz w:val="22"/>
                <w:szCs w:val="24"/>
              </w:rPr>
              <w:t>超过定额50%不足1倍（含1倍）的部分</w:t>
            </w:r>
          </w:p>
        </w:tc>
        <w:tc>
          <w:tcPr>
            <w:tcW w:w="836" w:type="pc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DFE107B" w14:textId="77777777" w:rsidR="00D5017A" w:rsidRPr="00D5017A" w:rsidRDefault="00D5017A" w:rsidP="00D5017A">
            <w:pPr>
              <w:rPr>
                <w:rFonts w:ascii="宋体" w:eastAsia="宋体" w:hAnsi="宋体" w:hint="eastAsia"/>
                <w:sz w:val="22"/>
                <w:szCs w:val="24"/>
              </w:rPr>
            </w:pPr>
            <w:r w:rsidRPr="00D5017A">
              <w:rPr>
                <w:rFonts w:ascii="宋体" w:eastAsia="宋体" w:hAnsi="宋体" w:hint="eastAsia"/>
                <w:sz w:val="22"/>
                <w:szCs w:val="24"/>
              </w:rPr>
              <w:t>按定额内水价2倍执行</w:t>
            </w:r>
          </w:p>
        </w:tc>
        <w:tc>
          <w:tcPr>
            <w:tcW w:w="730" w:type="pc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6CB2C4D" w14:textId="77777777" w:rsidR="00D5017A" w:rsidRPr="00D5017A" w:rsidRDefault="00D5017A" w:rsidP="00D5017A">
            <w:pPr>
              <w:rPr>
                <w:rFonts w:ascii="宋体" w:eastAsia="宋体" w:hAnsi="宋体" w:hint="eastAsia"/>
                <w:sz w:val="22"/>
                <w:szCs w:val="24"/>
              </w:rPr>
            </w:pPr>
            <w:r w:rsidRPr="00D5017A">
              <w:rPr>
                <w:rFonts w:ascii="宋体" w:eastAsia="宋体" w:hAnsi="宋体" w:hint="eastAsia"/>
                <w:sz w:val="22"/>
                <w:szCs w:val="24"/>
              </w:rPr>
              <w:t>0.2908</w:t>
            </w:r>
          </w:p>
        </w:tc>
        <w:tc>
          <w:tcPr>
            <w:tcW w:w="707" w:type="pc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B6F7C35" w14:textId="77777777" w:rsidR="00D5017A" w:rsidRPr="00D5017A" w:rsidRDefault="00D5017A" w:rsidP="00D5017A">
            <w:pPr>
              <w:rPr>
                <w:rFonts w:ascii="宋体" w:eastAsia="宋体" w:hAnsi="宋体" w:hint="eastAsia"/>
                <w:sz w:val="22"/>
                <w:szCs w:val="24"/>
              </w:rPr>
            </w:pPr>
            <w:r w:rsidRPr="00D5017A">
              <w:rPr>
                <w:rFonts w:ascii="宋体" w:eastAsia="宋体" w:hAnsi="宋体" w:hint="eastAsia"/>
                <w:sz w:val="22"/>
                <w:szCs w:val="24"/>
              </w:rPr>
              <w:t>0.2448</w:t>
            </w:r>
          </w:p>
        </w:tc>
        <w:tc>
          <w:tcPr>
            <w:tcW w:w="946" w:type="pct"/>
            <w:vMerge/>
            <w:tcBorders>
              <w:top w:val="single" w:sz="6" w:space="0" w:color="auto"/>
              <w:left w:val="single" w:sz="6" w:space="0" w:color="auto"/>
              <w:bottom w:val="single" w:sz="6" w:space="0" w:color="auto"/>
              <w:right w:val="single" w:sz="6" w:space="0" w:color="000000"/>
            </w:tcBorders>
            <w:shd w:val="clear" w:color="auto" w:fill="FFFFFF"/>
            <w:vAlign w:val="center"/>
            <w:hideMark/>
          </w:tcPr>
          <w:p w14:paraId="2EFCEF5F" w14:textId="77777777" w:rsidR="00D5017A" w:rsidRPr="00D5017A" w:rsidRDefault="00D5017A" w:rsidP="00D5017A">
            <w:pPr>
              <w:rPr>
                <w:rFonts w:ascii="宋体" w:eastAsia="宋体" w:hAnsi="宋体"/>
                <w:sz w:val="22"/>
                <w:szCs w:val="24"/>
              </w:rPr>
            </w:pPr>
          </w:p>
        </w:tc>
      </w:tr>
      <w:tr w:rsidR="00D5017A" w:rsidRPr="00D5017A" w14:paraId="7E6A1F01" w14:textId="77777777" w:rsidTr="00D5017A">
        <w:trPr>
          <w:trHeight w:val="975"/>
          <w:tblCellSpacing w:w="15" w:type="dxa"/>
        </w:trPr>
        <w:tc>
          <w:tcPr>
            <w:tcW w:w="307" w:type="pct"/>
            <w:tcBorders>
              <w:top w:val="single" w:sz="6" w:space="0" w:color="auto"/>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92F0B29" w14:textId="77777777" w:rsidR="00D5017A" w:rsidRPr="00D5017A" w:rsidRDefault="00D5017A" w:rsidP="00D5017A">
            <w:pPr>
              <w:rPr>
                <w:rFonts w:ascii="宋体" w:eastAsia="宋体" w:hAnsi="宋体" w:hint="eastAsia"/>
                <w:sz w:val="22"/>
                <w:szCs w:val="24"/>
              </w:rPr>
            </w:pPr>
            <w:r w:rsidRPr="00D5017A">
              <w:rPr>
                <w:rFonts w:ascii="宋体" w:eastAsia="宋体" w:hAnsi="宋体" w:hint="eastAsia"/>
                <w:sz w:val="22"/>
                <w:szCs w:val="24"/>
              </w:rPr>
              <w:t>4</w:t>
            </w:r>
          </w:p>
        </w:tc>
        <w:tc>
          <w:tcPr>
            <w:tcW w:w="522" w:type="pc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CCC1AA8" w14:textId="77777777" w:rsidR="00D5017A" w:rsidRPr="00D5017A" w:rsidRDefault="00D5017A" w:rsidP="00D5017A">
            <w:pPr>
              <w:rPr>
                <w:rFonts w:ascii="宋体" w:eastAsia="宋体" w:hAnsi="宋体" w:hint="eastAsia"/>
                <w:sz w:val="22"/>
                <w:szCs w:val="24"/>
              </w:rPr>
            </w:pPr>
            <w:r w:rsidRPr="00D5017A">
              <w:rPr>
                <w:rFonts w:ascii="宋体" w:eastAsia="宋体" w:hAnsi="宋体" w:hint="eastAsia"/>
                <w:sz w:val="22"/>
                <w:szCs w:val="24"/>
              </w:rPr>
              <w:t>第四档</w:t>
            </w:r>
          </w:p>
        </w:tc>
        <w:tc>
          <w:tcPr>
            <w:tcW w:w="861" w:type="pc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D27750C" w14:textId="77777777" w:rsidR="00D5017A" w:rsidRPr="00D5017A" w:rsidRDefault="00D5017A" w:rsidP="00D5017A">
            <w:pPr>
              <w:rPr>
                <w:rFonts w:ascii="宋体" w:eastAsia="宋体" w:hAnsi="宋体" w:hint="eastAsia"/>
                <w:sz w:val="22"/>
                <w:szCs w:val="24"/>
              </w:rPr>
            </w:pPr>
            <w:r w:rsidRPr="00D5017A">
              <w:rPr>
                <w:rFonts w:ascii="宋体" w:eastAsia="宋体" w:hAnsi="宋体" w:hint="eastAsia"/>
                <w:sz w:val="22"/>
                <w:szCs w:val="24"/>
              </w:rPr>
              <w:t>超过定额1倍以上的部分</w:t>
            </w:r>
          </w:p>
        </w:tc>
        <w:tc>
          <w:tcPr>
            <w:tcW w:w="836" w:type="pc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DC23B47" w14:textId="77777777" w:rsidR="00D5017A" w:rsidRPr="00D5017A" w:rsidRDefault="00D5017A" w:rsidP="00D5017A">
            <w:pPr>
              <w:rPr>
                <w:rFonts w:ascii="宋体" w:eastAsia="宋体" w:hAnsi="宋体" w:hint="eastAsia"/>
                <w:sz w:val="22"/>
                <w:szCs w:val="24"/>
              </w:rPr>
            </w:pPr>
            <w:r w:rsidRPr="00D5017A">
              <w:rPr>
                <w:rFonts w:ascii="宋体" w:eastAsia="宋体" w:hAnsi="宋体" w:hint="eastAsia"/>
                <w:sz w:val="22"/>
                <w:szCs w:val="24"/>
              </w:rPr>
              <w:t>按定额内水价2.5倍执行</w:t>
            </w:r>
          </w:p>
        </w:tc>
        <w:tc>
          <w:tcPr>
            <w:tcW w:w="730" w:type="pc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F68FE8B" w14:textId="77777777" w:rsidR="00D5017A" w:rsidRPr="00D5017A" w:rsidRDefault="00D5017A" w:rsidP="00D5017A">
            <w:pPr>
              <w:rPr>
                <w:rFonts w:ascii="宋体" w:eastAsia="宋体" w:hAnsi="宋体" w:hint="eastAsia"/>
                <w:sz w:val="22"/>
                <w:szCs w:val="24"/>
              </w:rPr>
            </w:pPr>
            <w:r w:rsidRPr="00D5017A">
              <w:rPr>
                <w:rFonts w:ascii="宋体" w:eastAsia="宋体" w:hAnsi="宋体" w:hint="eastAsia"/>
                <w:sz w:val="22"/>
                <w:szCs w:val="24"/>
              </w:rPr>
              <w:t>0.2908</w:t>
            </w:r>
          </w:p>
        </w:tc>
        <w:tc>
          <w:tcPr>
            <w:tcW w:w="707" w:type="pc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9F9D5C4" w14:textId="77777777" w:rsidR="00D5017A" w:rsidRPr="00D5017A" w:rsidRDefault="00D5017A" w:rsidP="00D5017A">
            <w:pPr>
              <w:rPr>
                <w:rFonts w:ascii="宋体" w:eastAsia="宋体" w:hAnsi="宋体" w:hint="eastAsia"/>
                <w:sz w:val="22"/>
                <w:szCs w:val="24"/>
              </w:rPr>
            </w:pPr>
            <w:r w:rsidRPr="00D5017A">
              <w:rPr>
                <w:rFonts w:ascii="宋体" w:eastAsia="宋体" w:hAnsi="宋体" w:hint="eastAsia"/>
                <w:sz w:val="22"/>
                <w:szCs w:val="24"/>
              </w:rPr>
              <w:t>0.306</w:t>
            </w:r>
          </w:p>
        </w:tc>
        <w:tc>
          <w:tcPr>
            <w:tcW w:w="946" w:type="pct"/>
            <w:vMerge/>
            <w:tcBorders>
              <w:top w:val="single" w:sz="6" w:space="0" w:color="auto"/>
              <w:left w:val="single" w:sz="6" w:space="0" w:color="auto"/>
              <w:bottom w:val="single" w:sz="6" w:space="0" w:color="auto"/>
              <w:right w:val="single" w:sz="6" w:space="0" w:color="000000"/>
            </w:tcBorders>
            <w:shd w:val="clear" w:color="auto" w:fill="FFFFFF"/>
            <w:vAlign w:val="center"/>
            <w:hideMark/>
          </w:tcPr>
          <w:p w14:paraId="208A8DAE" w14:textId="77777777" w:rsidR="00D5017A" w:rsidRPr="00D5017A" w:rsidRDefault="00D5017A" w:rsidP="00D5017A">
            <w:pPr>
              <w:rPr>
                <w:rFonts w:ascii="宋体" w:eastAsia="宋体" w:hAnsi="宋体"/>
                <w:sz w:val="22"/>
                <w:szCs w:val="24"/>
              </w:rPr>
            </w:pPr>
          </w:p>
        </w:tc>
      </w:tr>
    </w:tbl>
    <w:p w14:paraId="64A50810" w14:textId="77777777" w:rsidR="00324039" w:rsidRPr="00D5017A" w:rsidRDefault="00324039">
      <w:pPr>
        <w:rPr>
          <w:rFonts w:ascii="宋体" w:eastAsia="宋体" w:hAnsi="宋体" w:hint="eastAsia"/>
          <w:sz w:val="22"/>
          <w:szCs w:val="24"/>
        </w:rPr>
      </w:pPr>
    </w:p>
    <w:sectPr w:rsidR="00324039" w:rsidRPr="00D5017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07D65" w14:textId="77777777" w:rsidR="00956C2F" w:rsidRDefault="00956C2F" w:rsidP="00D5017A">
      <w:pPr>
        <w:rPr>
          <w:rFonts w:hint="eastAsia"/>
        </w:rPr>
      </w:pPr>
      <w:r>
        <w:separator/>
      </w:r>
    </w:p>
  </w:endnote>
  <w:endnote w:type="continuationSeparator" w:id="0">
    <w:p w14:paraId="67ACF28F" w14:textId="77777777" w:rsidR="00956C2F" w:rsidRDefault="00956C2F" w:rsidP="00D5017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799470"/>
      <w:docPartObj>
        <w:docPartGallery w:val="Page Numbers (Bottom of Page)"/>
        <w:docPartUnique/>
      </w:docPartObj>
    </w:sdtPr>
    <w:sdtContent>
      <w:sdt>
        <w:sdtPr>
          <w:id w:val="1728636285"/>
          <w:docPartObj>
            <w:docPartGallery w:val="Page Numbers (Top of Page)"/>
            <w:docPartUnique/>
          </w:docPartObj>
        </w:sdtPr>
        <w:sdtContent>
          <w:p w14:paraId="3F2D95A8" w14:textId="0848F7B9" w:rsidR="00547632" w:rsidRDefault="00547632">
            <w:pPr>
              <w:pStyle w:val="af0"/>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70702780" w14:textId="77777777" w:rsidR="00547632" w:rsidRDefault="00547632">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63B26" w14:textId="77777777" w:rsidR="00956C2F" w:rsidRDefault="00956C2F" w:rsidP="00D5017A">
      <w:pPr>
        <w:rPr>
          <w:rFonts w:hint="eastAsia"/>
        </w:rPr>
      </w:pPr>
      <w:r>
        <w:separator/>
      </w:r>
    </w:p>
  </w:footnote>
  <w:footnote w:type="continuationSeparator" w:id="0">
    <w:p w14:paraId="224A0DB9" w14:textId="77777777" w:rsidR="00956C2F" w:rsidRDefault="00956C2F" w:rsidP="00D5017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BC3"/>
    <w:rsid w:val="00017E75"/>
    <w:rsid w:val="00320BC3"/>
    <w:rsid w:val="00324039"/>
    <w:rsid w:val="00547632"/>
    <w:rsid w:val="005C14B1"/>
    <w:rsid w:val="00956C2F"/>
    <w:rsid w:val="00D5017A"/>
    <w:rsid w:val="00F45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1AC01"/>
  <w15:chartTrackingRefBased/>
  <w15:docId w15:val="{7A864E24-C392-4394-B551-F46EC7695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20BC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20BC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20BC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20BC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20BC3"/>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320BC3"/>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20BC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0BC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20BC3"/>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0BC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20BC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20BC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20BC3"/>
    <w:rPr>
      <w:rFonts w:cstheme="majorBidi"/>
      <w:color w:val="0F4761" w:themeColor="accent1" w:themeShade="BF"/>
      <w:sz w:val="28"/>
      <w:szCs w:val="28"/>
    </w:rPr>
  </w:style>
  <w:style w:type="character" w:customStyle="1" w:styleId="50">
    <w:name w:val="标题 5 字符"/>
    <w:basedOn w:val="a0"/>
    <w:link w:val="5"/>
    <w:uiPriority w:val="9"/>
    <w:semiHidden/>
    <w:rsid w:val="00320BC3"/>
    <w:rPr>
      <w:rFonts w:cstheme="majorBidi"/>
      <w:color w:val="0F4761" w:themeColor="accent1" w:themeShade="BF"/>
      <w:sz w:val="24"/>
      <w:szCs w:val="24"/>
    </w:rPr>
  </w:style>
  <w:style w:type="character" w:customStyle="1" w:styleId="60">
    <w:name w:val="标题 6 字符"/>
    <w:basedOn w:val="a0"/>
    <w:link w:val="6"/>
    <w:uiPriority w:val="9"/>
    <w:semiHidden/>
    <w:rsid w:val="00320BC3"/>
    <w:rPr>
      <w:rFonts w:cstheme="majorBidi"/>
      <w:b/>
      <w:bCs/>
      <w:color w:val="0F4761" w:themeColor="accent1" w:themeShade="BF"/>
    </w:rPr>
  </w:style>
  <w:style w:type="character" w:customStyle="1" w:styleId="70">
    <w:name w:val="标题 7 字符"/>
    <w:basedOn w:val="a0"/>
    <w:link w:val="7"/>
    <w:uiPriority w:val="9"/>
    <w:semiHidden/>
    <w:rsid w:val="00320BC3"/>
    <w:rPr>
      <w:rFonts w:cstheme="majorBidi"/>
      <w:b/>
      <w:bCs/>
      <w:color w:val="595959" w:themeColor="text1" w:themeTint="A6"/>
    </w:rPr>
  </w:style>
  <w:style w:type="character" w:customStyle="1" w:styleId="80">
    <w:name w:val="标题 8 字符"/>
    <w:basedOn w:val="a0"/>
    <w:link w:val="8"/>
    <w:uiPriority w:val="9"/>
    <w:semiHidden/>
    <w:rsid w:val="00320BC3"/>
    <w:rPr>
      <w:rFonts w:cstheme="majorBidi"/>
      <w:color w:val="595959" w:themeColor="text1" w:themeTint="A6"/>
    </w:rPr>
  </w:style>
  <w:style w:type="character" w:customStyle="1" w:styleId="90">
    <w:name w:val="标题 9 字符"/>
    <w:basedOn w:val="a0"/>
    <w:link w:val="9"/>
    <w:uiPriority w:val="9"/>
    <w:semiHidden/>
    <w:rsid w:val="00320BC3"/>
    <w:rPr>
      <w:rFonts w:eastAsiaTheme="majorEastAsia" w:cstheme="majorBidi"/>
      <w:color w:val="595959" w:themeColor="text1" w:themeTint="A6"/>
    </w:rPr>
  </w:style>
  <w:style w:type="paragraph" w:styleId="a3">
    <w:name w:val="Title"/>
    <w:basedOn w:val="a"/>
    <w:next w:val="a"/>
    <w:link w:val="a4"/>
    <w:uiPriority w:val="10"/>
    <w:qFormat/>
    <w:rsid w:val="00320BC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0B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0BC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0B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0BC3"/>
    <w:pPr>
      <w:spacing w:before="160" w:after="160"/>
      <w:jc w:val="center"/>
    </w:pPr>
    <w:rPr>
      <w:i/>
      <w:iCs/>
      <w:color w:val="404040" w:themeColor="text1" w:themeTint="BF"/>
    </w:rPr>
  </w:style>
  <w:style w:type="character" w:customStyle="1" w:styleId="a8">
    <w:name w:val="引用 字符"/>
    <w:basedOn w:val="a0"/>
    <w:link w:val="a7"/>
    <w:uiPriority w:val="29"/>
    <w:rsid w:val="00320BC3"/>
    <w:rPr>
      <w:i/>
      <w:iCs/>
      <w:color w:val="404040" w:themeColor="text1" w:themeTint="BF"/>
    </w:rPr>
  </w:style>
  <w:style w:type="paragraph" w:styleId="a9">
    <w:name w:val="List Paragraph"/>
    <w:basedOn w:val="a"/>
    <w:uiPriority w:val="34"/>
    <w:qFormat/>
    <w:rsid w:val="00320BC3"/>
    <w:pPr>
      <w:ind w:left="720"/>
      <w:contextualSpacing/>
    </w:pPr>
  </w:style>
  <w:style w:type="character" w:styleId="aa">
    <w:name w:val="Intense Emphasis"/>
    <w:basedOn w:val="a0"/>
    <w:uiPriority w:val="21"/>
    <w:qFormat/>
    <w:rsid w:val="00320BC3"/>
    <w:rPr>
      <w:i/>
      <w:iCs/>
      <w:color w:val="0F4761" w:themeColor="accent1" w:themeShade="BF"/>
    </w:rPr>
  </w:style>
  <w:style w:type="paragraph" w:styleId="ab">
    <w:name w:val="Intense Quote"/>
    <w:basedOn w:val="a"/>
    <w:next w:val="a"/>
    <w:link w:val="ac"/>
    <w:uiPriority w:val="30"/>
    <w:qFormat/>
    <w:rsid w:val="00320B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20BC3"/>
    <w:rPr>
      <w:i/>
      <w:iCs/>
      <w:color w:val="0F4761" w:themeColor="accent1" w:themeShade="BF"/>
    </w:rPr>
  </w:style>
  <w:style w:type="character" w:styleId="ad">
    <w:name w:val="Intense Reference"/>
    <w:basedOn w:val="a0"/>
    <w:uiPriority w:val="32"/>
    <w:qFormat/>
    <w:rsid w:val="00320BC3"/>
    <w:rPr>
      <w:b/>
      <w:bCs/>
      <w:smallCaps/>
      <w:color w:val="0F4761" w:themeColor="accent1" w:themeShade="BF"/>
      <w:spacing w:val="5"/>
    </w:rPr>
  </w:style>
  <w:style w:type="paragraph" w:styleId="ae">
    <w:name w:val="header"/>
    <w:basedOn w:val="a"/>
    <w:link w:val="af"/>
    <w:uiPriority w:val="99"/>
    <w:unhideWhenUsed/>
    <w:rsid w:val="00D5017A"/>
    <w:pPr>
      <w:tabs>
        <w:tab w:val="center" w:pos="4153"/>
        <w:tab w:val="right" w:pos="8306"/>
      </w:tabs>
      <w:snapToGrid w:val="0"/>
      <w:jc w:val="center"/>
    </w:pPr>
    <w:rPr>
      <w:sz w:val="18"/>
      <w:szCs w:val="18"/>
    </w:rPr>
  </w:style>
  <w:style w:type="character" w:customStyle="1" w:styleId="af">
    <w:name w:val="页眉 字符"/>
    <w:basedOn w:val="a0"/>
    <w:link w:val="ae"/>
    <w:uiPriority w:val="99"/>
    <w:rsid w:val="00D5017A"/>
    <w:rPr>
      <w:sz w:val="18"/>
      <w:szCs w:val="18"/>
    </w:rPr>
  </w:style>
  <w:style w:type="paragraph" w:styleId="af0">
    <w:name w:val="footer"/>
    <w:basedOn w:val="a"/>
    <w:link w:val="af1"/>
    <w:uiPriority w:val="99"/>
    <w:unhideWhenUsed/>
    <w:rsid w:val="00D5017A"/>
    <w:pPr>
      <w:tabs>
        <w:tab w:val="center" w:pos="4153"/>
        <w:tab w:val="right" w:pos="8306"/>
      </w:tabs>
      <w:snapToGrid w:val="0"/>
      <w:jc w:val="left"/>
    </w:pPr>
    <w:rPr>
      <w:sz w:val="18"/>
      <w:szCs w:val="18"/>
    </w:rPr>
  </w:style>
  <w:style w:type="character" w:customStyle="1" w:styleId="af1">
    <w:name w:val="页脚 字符"/>
    <w:basedOn w:val="a0"/>
    <w:link w:val="af0"/>
    <w:uiPriority w:val="99"/>
    <w:rsid w:val="00D5017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260</Words>
  <Characters>1487</Characters>
  <Application>Microsoft Office Word</Application>
  <DocSecurity>0</DocSecurity>
  <Lines>12</Lines>
  <Paragraphs>3</Paragraphs>
  <ScaleCrop>false</ScaleCrop>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Wong</dc:creator>
  <cp:keywords/>
  <dc:description/>
  <cp:lastModifiedBy>Don Wong</cp:lastModifiedBy>
  <cp:revision>4</cp:revision>
  <cp:lastPrinted>2025-11-14T03:17:00Z</cp:lastPrinted>
  <dcterms:created xsi:type="dcterms:W3CDTF">2025-11-14T03:16:00Z</dcterms:created>
  <dcterms:modified xsi:type="dcterms:W3CDTF">2025-11-14T03:17:00Z</dcterms:modified>
</cp:coreProperties>
</file>