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2022年度和田市预算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绩效工作开展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情况说明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根据《自治区项目支出绩效目标设置指引》的通知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要求，“全方位、全过程、全覆盖”预算绩效闭环管理体系，全面推进预算绩效管理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，为从源头推动预算绩效管理提质增效，不断提高各部门单位项目支出绩效目标设置和管理的科学化、规范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化和标准化水平。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单位是预算绩效管理的责任主体，负责按照财政安排部署和工作要求，开展预算绩效管理工作。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绩效管理覆盖一般公共预算、政府性基金预算、国有资本经营预算、社会保险基金预算等四本预算，将其他涉及一般公共预算财政资金的政府投资基金、政府与社会资本合作（PPP）、政府债务项目等纳入绩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和田市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各单位申请新增项目支出时组织开展事前绩效评估，撰写项目事前绩效评估报告。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市财政局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负责审核项目事前绩效评估报告，对重大项目或专业性较强项目，必要时可引入第三方机构进行评估。新增项目无事前绩效评估报告或审核打分低于80分的项目，不得进入项目库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b w:val="0"/>
          <w:bCs/>
          <w:color w:val="auto"/>
          <w:sz w:val="32"/>
          <w:szCs w:val="32"/>
          <w:lang w:eastAsia="zh-CN"/>
        </w:rPr>
        <w:t>联合有关单位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加强督导力度，确保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单位所有申请财政预算安排项目支出（包括：年初部门预算和年中追加项目），按《自治区预算绩效共性项目指标体系》要求设置项目绩效目标。无绩</w:t>
      </w:r>
      <w:r>
        <w:rPr>
          <w:rFonts w:hint="eastAsia" w:ascii="仿宋_GB2312" w:hAnsi="仿宋" w:eastAsia="仿宋_GB2312"/>
          <w:sz w:val="32"/>
          <w:szCs w:val="32"/>
        </w:rPr>
        <w:t>效目标或绩效目标设置不合理且不调整的项目，不安排预算。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Hans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黑体" w:hAnsi="黑体" w:eastAsia="黑体" w:cs="微软雅黑"/>
          <w:b/>
          <w:bCs/>
          <w:color w:val="333333"/>
          <w:spacing w:val="9"/>
          <w:kern w:val="0"/>
          <w:sz w:val="32"/>
          <w:szCs w:val="32"/>
          <w:highlight w:val="none"/>
          <w:shd w:val="clear" w:color="auto" w:fill="FFFFFF"/>
          <w:lang w:bidi="ar"/>
        </w:rPr>
        <w:t>预算绩效管理工作</w:t>
      </w:r>
      <w:r>
        <w:rPr>
          <w:rFonts w:hint="eastAsia" w:ascii="黑体" w:hAnsi="黑体" w:eastAsia="黑体" w:cs="微软雅黑"/>
          <w:b/>
          <w:bCs/>
          <w:color w:val="333333"/>
          <w:spacing w:val="9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（一）2021年绩效评价开展情况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2022年1-3月对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和田市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2021年部门整体、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预算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项目和直达资金、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专项资金、衔接资金等五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个方面的财政性资金开展了绩效评价工作，目前全部已完成。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1.2021年部门整体绩效评价完成情况。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和田市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148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个预算单位金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额318399.76万元，预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算执行数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270165.89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万元，执行率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84.9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2.2021年预算项目绩效评价完成情况。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对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148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个单位已确定的部门预算项目资金安排的共计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368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个项目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开展了绩效评价，预算资金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89803.99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万元，执行数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64848.8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万元，执行率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72.2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3.2021年上级财政直达资金绩效评价完成情况。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安排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直达资金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60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，共计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144733.88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万元。直达资金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执行数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136219.6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万元，执行率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94.1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%。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其中：录入绩效系统直达资金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，共计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30103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万元。直达资金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执行数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29966.16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万元，执行率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99.5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.2021年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Hans"/>
        </w:rPr>
        <w:t>上级专项资金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绩效评价完成情况。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专项资金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201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，共计</w:t>
      </w:r>
      <w:r>
        <w:rPr>
          <w:rFonts w:hint="default" w:ascii="仿宋_GB2312" w:eastAsia="仿宋_GB2312"/>
          <w:sz w:val="32"/>
          <w:szCs w:val="32"/>
          <w:highlight w:val="none"/>
          <w:lang w:eastAsia="zh-Hans"/>
        </w:rPr>
        <w:t>45871.58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专项资金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项目执行数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22231.79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万元，执行率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48.5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.2021年乡村振兴衔接资金（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Hans"/>
        </w:rPr>
        <w:t>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原渠道资金）绩效评价完成情况。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和田市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2021年到位乡村振兴衔接资金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117347.94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万元，共安排5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个项目，涉及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14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个单位。执行数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78642.16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万元，资金执行率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67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1" w:firstLineChars="1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（二）2022年绩效目标工作开展情况。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2022年3-4月对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和田市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2022年部门整体、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预算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项目、上级专项项目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直达资金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、乡村振兴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衔接资金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（含原渠道项目）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五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个方面的财政性资金开展了绩效目标审核工作，目前全部已完成。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1．2022年部门整体绩效目标完成情况。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和田市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160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个单位共安排预算资金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396335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.6万元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2．2022年预算项目绩效目标完成情况。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开展了预算项目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349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个绩效目标审核，预算资金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90599.07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3．2022年预算单位上级专项项目目标完成情况。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确定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45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个上级专项项目资金展开绩效目标申报，预算金额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652.01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/>
          <w:highlight w:val="none"/>
          <w:lang w:val="en-US" w:eastAsia="zh-CN"/>
        </w:rPr>
      </w:pPr>
      <w:r>
        <w:rPr>
          <w:rFonts w:hint="default" w:ascii="仿宋_GB2312" w:eastAsia="仿宋_GB2312"/>
          <w:b/>
          <w:bCs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．2022年直达资金项目预算目标完成情况。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2022年3-4月份对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个预算单位，已确定的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37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个直达资金项目资金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绩效目标申报，预算金额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124727.45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．2022年乡村振兴衔接资金绩效目标完成情况。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计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47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个项目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，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到位乡村振兴衔接资金预算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119046.33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1" w:firstLineChars="1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（三）2022年绩效5、6月监控开展情况。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在2022年6-7月对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和田市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2022年部门整体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绩效监控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、预算项目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监控、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预算单位上级专项项目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监控、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直达资金项目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监控、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乡村振兴衔接资金绩效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监控五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方面的财政性资金开展了绩效监控审核工作。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1．2022年部门整体绩效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Hans"/>
        </w:rPr>
        <w:t>监控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完成情况。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和田市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2022年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160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个单位共安排预算资金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396335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.6万元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绩效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监控执行数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165017.65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万元，执行率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41.6%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2．2022年预算项目绩效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Hans"/>
        </w:rPr>
        <w:t>监控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完成情况。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开展了预算项目</w:t>
      </w:r>
      <w:r>
        <w:rPr>
          <w:rFonts w:hint="default" w:ascii="仿宋_GB2312" w:eastAsia="仿宋_GB2312"/>
          <w:sz w:val="32"/>
          <w:szCs w:val="32"/>
          <w:highlight w:val="none"/>
          <w:lang w:eastAsia="zh-CN"/>
        </w:rPr>
        <w:t>349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个绩效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监控项目的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审核，预算资金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90599.07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绩效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监控执行数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73292.97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万元，执行率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80.9%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3．2022年预算单位上级专项项目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Hans"/>
        </w:rPr>
        <w:t>监控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完成情况。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确定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45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个上级专项项目资金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开展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绩效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监控项目的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，预算金额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652.01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绩效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监控执行数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440.29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万元，执行率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67.5%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</w:pPr>
      <w:r>
        <w:rPr>
          <w:rFonts w:hint="default" w:ascii="仿宋_GB2312" w:eastAsia="仿宋_GB2312"/>
          <w:b/>
          <w:bCs/>
          <w:sz w:val="32"/>
          <w:szCs w:val="32"/>
          <w:highlight w:val="none"/>
          <w:lang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．2022年直达资金项目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Hans"/>
        </w:rPr>
        <w:t>监控</w:t>
      </w:r>
      <w:r>
        <w:rPr>
          <w:rFonts w:hint="eastAsia" w:ascii="仿宋_GB2312" w:eastAsia="仿宋_GB2312"/>
          <w:b/>
          <w:bCs/>
          <w:sz w:val="32"/>
          <w:szCs w:val="32"/>
          <w:highlight w:val="none"/>
          <w:lang w:val="en-US" w:eastAsia="zh-CN"/>
        </w:rPr>
        <w:t>完成情况。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确定的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37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个直达资金项目资金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开展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绩效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Hans"/>
        </w:rPr>
        <w:t>监控项目的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审核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，预算金额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124727.45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绩效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监控执行数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59399.01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万元，执行率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47.6%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．2022年乡村振兴衔接资金绩效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Hans"/>
        </w:rPr>
        <w:t>监控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完成情况。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计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47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个项目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，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乡村振兴衔接资金预算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Hans"/>
        </w:rPr>
        <w:t>金额</w:t>
      </w:r>
      <w:r>
        <w:rPr>
          <w:rFonts w:hint="default" w:ascii="仿宋_GB2312" w:eastAsia="仿宋_GB2312" w:cs="Times New Roman"/>
          <w:sz w:val="32"/>
          <w:szCs w:val="32"/>
          <w:highlight w:val="none"/>
          <w:lang w:eastAsia="zh-CN"/>
        </w:rPr>
        <w:t>119046.33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绩效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监控执行数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49573.29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Hans"/>
        </w:rPr>
        <w:t>万元，执行率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41.6%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1" w:firstLineChars="1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Hans" w:bidi="ar-SA"/>
        </w:rPr>
        <w:t>四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）2021年</w:t>
      </w:r>
      <w:r>
        <w:rPr>
          <w:rFonts w:hint="default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重点项目绩效评价工作开展情况</w:t>
      </w:r>
      <w:r>
        <w:rPr>
          <w:rFonts w:hint="eastAsia" w:ascii="楷体" w:hAnsi="楷体" w:eastAsia="楷体" w:cs="楷体"/>
          <w:b/>
          <w:bCs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2022年7月，根据自治区财政厅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关于2021年重点项目支出绩效评价工作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要求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和田市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财政局通过筛选确定了2021年1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个覆盖面广、社会关注度高、投资规模大的重点项目，共涉及金额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1439.66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万元，并委托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第三方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公司对1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个重点项目支出绩效进行评价。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339" w:firstLineChars="100"/>
        <w:jc w:val="left"/>
        <w:textAlignment w:val="auto"/>
        <w:rPr>
          <w:rFonts w:hint="default" w:ascii="黑体" w:hAnsi="黑体" w:eastAsia="黑体" w:cs="微软雅黑"/>
          <w:b/>
          <w:bCs/>
          <w:color w:val="333333"/>
          <w:spacing w:val="9"/>
          <w:kern w:val="0"/>
          <w:sz w:val="32"/>
          <w:szCs w:val="32"/>
          <w:highlight w:val="none"/>
          <w:shd w:val="clear" w:color="auto" w:fill="FFFFFF"/>
          <w:lang w:val="en-US" w:eastAsia="zh-Hans" w:bidi="ar"/>
        </w:rPr>
      </w:pPr>
      <w:r>
        <w:rPr>
          <w:rFonts w:hint="eastAsia" w:ascii="黑体" w:hAnsi="黑体" w:eastAsia="黑体" w:cs="微软雅黑"/>
          <w:b/>
          <w:bCs/>
          <w:color w:val="333333"/>
          <w:spacing w:val="9"/>
          <w:kern w:val="0"/>
          <w:sz w:val="32"/>
          <w:szCs w:val="32"/>
          <w:highlight w:val="none"/>
          <w:shd w:val="clear" w:color="auto" w:fill="FFFFFF"/>
          <w:lang w:val="en-US" w:eastAsia="zh-Hans" w:bidi="ar"/>
        </w:rPr>
        <w:t>二</w:t>
      </w:r>
      <w:r>
        <w:rPr>
          <w:rFonts w:hint="eastAsia" w:ascii="黑体" w:hAnsi="黑体" w:eastAsia="黑体" w:cs="微软雅黑"/>
          <w:b/>
          <w:bCs/>
          <w:color w:val="333333"/>
          <w:spacing w:val="9"/>
          <w:kern w:val="0"/>
          <w:sz w:val="32"/>
          <w:szCs w:val="32"/>
          <w:highlight w:val="none"/>
          <w:shd w:val="clear" w:color="auto" w:fill="FFFFFF"/>
          <w:lang w:bidi="ar"/>
        </w:rPr>
        <w:t>、</w:t>
      </w:r>
      <w:r>
        <w:rPr>
          <w:rFonts w:hint="eastAsia" w:ascii="黑体" w:hAnsi="黑体" w:eastAsia="黑体" w:cs="微软雅黑"/>
          <w:b/>
          <w:bCs/>
          <w:color w:val="333333"/>
          <w:spacing w:val="9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后期工作建议措施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（一）提高审核人员业务水平，确保审核人员固定。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减少第三方绩效审核人员的变动，加强审核人员学习能力，不断提高绩效审核专业水平，进而推动预算绩效管理提质增效，更好发挥预算绩效管理在优化财政资源配置、提升政策效能中的积极作用。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（二）加强第三方、预算单位及财政局的三方沟通。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建议预算单位安排固定的绩效负责人负责绩效相关工作，做到信息共通，问题共知，便于及时发现并快速有效地解决问题。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（三）做好各阶段绩效监控工作，及时发现问题并整改，必要时按流程做好预算调整。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时对预算项目实施进展、预算执行进度和绩效目标实现程度等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开展跟踪监控和纠偏处理，发现问题及时进行整改。对由于受政策变化、计划调整等因素影响而确需预算调整，及时和上级沟通，做好预算调整。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（四）关注项目实施进度，及时支付资金。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严格按照项目执行情况，及时支付资金，提高衔接资金预算执行率，做好衔接资金动态监控系统的数据上报及更新工作，做好各个时点的绩效监控填报工作。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（五）加强项目管理。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项目实施单位需加强项目前期调研及规划，综合各方面风险因素，合理安排项目实施期限，保障项目按计划开工，按期完工，避免因项目前期计划不严谨影响预期目标完成的情况。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（六）提高预算单位对绩效管理认识，压实责任，项目负责人对项目预算绩效负责，对重大项目的责任人实施绩效终身责任追究制，切实做到花钱必问效，无效必问责。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财政部门在每年预算编制启动会时，要求单位负责人、项目管理人员及会计人员同时参会，邀请预算绩效管理方面的专家授课，提高经办人员业务能力及预算绩效管理的重视度和绩效工作水平。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和田市财政局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2023年3月20日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A7F64"/>
    <w:rsid w:val="20E23E03"/>
    <w:rsid w:val="22D91C01"/>
    <w:rsid w:val="26DE3F57"/>
    <w:rsid w:val="333D4167"/>
    <w:rsid w:val="4242388A"/>
    <w:rsid w:val="532247A8"/>
    <w:rsid w:val="58217742"/>
    <w:rsid w:val="5A6D6303"/>
    <w:rsid w:val="690C2ACB"/>
    <w:rsid w:val="6FBE3F44"/>
    <w:rsid w:val="74C6009F"/>
    <w:rsid w:val="77E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="150" w:afterLines="150" w:afterAutospacing="0" w:line="360" w:lineRule="auto"/>
      <w:jc w:val="center"/>
      <w:outlineLvl w:val="0"/>
    </w:pPr>
    <w:rPr>
      <w:rFonts w:ascii="Times New Roman" w:hAnsi="Times New Roman" w:eastAsia="仿宋_GB2312" w:cs="Times New Roman"/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 w:eastAsia="仿宋_GB2312" w:cs="Times New Roman"/>
      <w:b/>
      <w:sz w:val="32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2021-02-02T02:31:00Z</dcterms:created>
  <dc:creator>Administrator</dc:creator>
  <cp:lastModifiedBy>Administrator</cp:lastModifiedBy>
  <dcterms:modified xsi:type="dcterms:W3CDTF">2023-04-10T10:18:56Z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