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和田市第五中学</w:t>
      </w:r>
      <w:r>
        <w:rPr>
          <w:rFonts w:hint="eastAsia" w:ascii="方正小标宋_GBK" w:hAnsi="华文中宋" w:eastAsia="方正小标宋_GBK" w:cs="宋体"/>
          <w:b/>
          <w:color w:val="auto"/>
          <w:kern w:val="0"/>
          <w:sz w:val="44"/>
          <w:szCs w:val="44"/>
          <w:highlight w:val="none"/>
        </w:rPr>
        <w:t>单位整体支出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和田市第五中学</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eastAsia="zh-CN"/>
        </w:rPr>
        <w:t>2022</w:t>
      </w:r>
      <w:r>
        <w:rPr>
          <w:rFonts w:hint="eastAsia" w:ascii="Times New Roman" w:hAnsi="宋体" w:eastAsia="仿宋_GB2312" w:cs="宋体"/>
          <w:color w:val="auto"/>
          <w:kern w:val="0"/>
          <w:sz w:val="36"/>
          <w:szCs w:val="36"/>
          <w:highlight w:val="none"/>
        </w:rPr>
        <w:t xml:space="preserve">年 </w:t>
      </w:r>
      <w:r>
        <w:rPr>
          <w:rFonts w:hint="eastAsia" w:ascii="Times New Roman" w:hAnsi="宋体" w:eastAsia="仿宋_GB2312" w:cs="宋体"/>
          <w:color w:val="auto"/>
          <w:kern w:val="0"/>
          <w:sz w:val="36"/>
          <w:szCs w:val="36"/>
          <w:highlight w:val="none"/>
          <w:lang w:eastAsia="zh-CN"/>
        </w:rPr>
        <w:t>1</w:t>
      </w:r>
      <w:r>
        <w:rPr>
          <w:rFonts w:hint="eastAsia" w:ascii="Times New Roman" w:hAnsi="宋体" w:eastAsia="仿宋_GB2312" w:cs="宋体"/>
          <w:color w:val="auto"/>
          <w:kern w:val="0"/>
          <w:sz w:val="36"/>
          <w:szCs w:val="36"/>
          <w:highlight w:val="none"/>
        </w:rPr>
        <w:t xml:space="preserve"> 月  </w:t>
      </w:r>
      <w:r>
        <w:rPr>
          <w:rFonts w:hint="eastAsia" w:ascii="Times New Roman" w:hAnsi="宋体" w:eastAsia="仿宋_GB2312" w:cs="宋体"/>
          <w:color w:val="auto"/>
          <w:kern w:val="0"/>
          <w:sz w:val="36"/>
          <w:szCs w:val="36"/>
          <w:highlight w:val="none"/>
          <w:lang w:eastAsia="zh-CN"/>
        </w:rPr>
        <w:t>11</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widowControl/>
        <w:spacing w:line="560" w:lineRule="exact"/>
        <w:ind w:firstLine="640" w:firstLineChars="200"/>
        <w:jc w:val="left"/>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我校是普及全日制九年义务教育阶段初中学历教育教学工作，是公益一类全额事业单位，其职责是全面实施党和国家教育方针、政策、法规， 培养学生的创新精神与实践能力，全面培养成德、智、体、美、劳全面发展的社会主义事业的建设者和接班人。全力推进素质教育实施，确保普及九年义务教育成果；管理学校基础教育工作，管理学校教育经费，执行财务制度。</w:t>
      </w:r>
    </w:p>
    <w:p>
      <w:pPr>
        <w:numPr>
          <w:ilvl w:val="0"/>
          <w:numId w:val="1"/>
        </w:numPr>
        <w:spacing w:line="560" w:lineRule="exact"/>
        <w:ind w:firstLine="48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widowControl/>
        <w:spacing w:line="560" w:lineRule="exact"/>
        <w:ind w:firstLine="640" w:firstLineChars="200"/>
        <w:jc w:val="both"/>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和田市第五中学本级无下属单位，下设</w:t>
      </w:r>
      <w:r>
        <w:rPr>
          <w:rFonts w:hint="eastAsia" w:ascii="仿宋_GB2312" w:hAnsi="黑体" w:eastAsia="仿宋_GB2312" w:cs="宋体"/>
          <w:bCs/>
          <w:color w:val="auto"/>
          <w:kern w:val="0"/>
          <w:sz w:val="32"/>
          <w:szCs w:val="32"/>
          <w:highlight w:val="none"/>
          <w:lang w:val="en-US" w:eastAsia="zh-CN"/>
        </w:rPr>
        <w:t>9</w:t>
      </w:r>
      <w:r>
        <w:rPr>
          <w:rFonts w:hint="eastAsia" w:ascii="仿宋_GB2312" w:hAnsi="黑体" w:eastAsia="仿宋_GB2312" w:cs="宋体"/>
          <w:bCs/>
          <w:color w:val="auto"/>
          <w:kern w:val="0"/>
          <w:sz w:val="32"/>
          <w:szCs w:val="32"/>
          <w:highlight w:val="none"/>
        </w:rPr>
        <w:t>个处室，分别是：校长办公室、书记办公室、副校长办公室、校办公室、党建办公室、德育处、教研室、教务处、后勤办公室机构。</w:t>
      </w:r>
    </w:p>
    <w:p>
      <w:pPr>
        <w:widowControl/>
        <w:spacing w:line="560" w:lineRule="exact"/>
        <w:jc w:val="both"/>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和田市第五中学</w:t>
      </w:r>
      <w:r>
        <w:rPr>
          <w:rFonts w:hint="eastAsia" w:ascii="仿宋_GB2312" w:hAnsi="宋体" w:eastAsia="仿宋_GB2312" w:cs="宋体"/>
          <w:color w:val="auto"/>
          <w:kern w:val="0"/>
          <w:sz w:val="32"/>
          <w:szCs w:val="32"/>
          <w:highlight w:val="none"/>
        </w:rPr>
        <w:t>单位编制</w:t>
      </w:r>
      <w:r>
        <w:rPr>
          <w:rFonts w:hint="eastAsia" w:ascii="仿宋_GB2312" w:hAnsi="宋体" w:eastAsia="仿宋_GB2312" w:cs="宋体"/>
          <w:color w:val="auto"/>
          <w:kern w:val="0"/>
          <w:sz w:val="32"/>
          <w:szCs w:val="32"/>
          <w:highlight w:val="none"/>
          <w:lang w:val="en-US" w:eastAsia="zh-CN"/>
        </w:rPr>
        <w:t>人</w:t>
      </w:r>
      <w:r>
        <w:rPr>
          <w:rFonts w:hint="eastAsia" w:ascii="仿宋_GB2312" w:hAnsi="宋体" w:eastAsia="仿宋_GB2312" w:cs="宋体"/>
          <w:color w:val="auto"/>
          <w:kern w:val="0"/>
          <w:sz w:val="32"/>
          <w:szCs w:val="32"/>
          <w:highlight w:val="none"/>
        </w:rPr>
        <w:t>数</w:t>
      </w:r>
      <w:r>
        <w:rPr>
          <w:rFonts w:hint="eastAsia" w:ascii="仿宋_GB2312" w:hAnsi="宋体" w:eastAsia="仿宋_GB2312" w:cs="宋体"/>
          <w:color w:val="auto"/>
          <w:kern w:val="0"/>
          <w:sz w:val="32"/>
          <w:szCs w:val="32"/>
          <w:highlight w:val="none"/>
          <w:lang w:val="en-US" w:eastAsia="zh-CN"/>
        </w:rPr>
        <w:t>236人</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color w:val="auto"/>
          <w:kern w:val="0"/>
          <w:sz w:val="32"/>
          <w:szCs w:val="32"/>
          <w:highlight w:val="none"/>
          <w:lang w:val="en-US" w:eastAsia="zh-CN"/>
        </w:rPr>
        <w:t>离</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56</w:t>
      </w:r>
      <w:r>
        <w:rPr>
          <w:rFonts w:hint="eastAsia" w:ascii="仿宋_GB2312" w:hAnsi="宋体" w:eastAsia="仿宋_GB2312" w:cs="宋体"/>
          <w:color w:val="auto"/>
          <w:kern w:val="0"/>
          <w:sz w:val="32"/>
          <w:szCs w:val="32"/>
          <w:highlight w:val="none"/>
        </w:rPr>
        <w:t>人。</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spacing w:line="560" w:lineRule="exact"/>
        <w:ind w:firstLine="640" w:firstLineChars="200"/>
        <w:rPr>
          <w:rFonts w:hint="eastAsia" w:ascii="仿宋" w:hAnsi="仿宋" w:eastAsia="仿宋_GB2312" w:cs="Times New Roman"/>
          <w:color w:val="auto"/>
          <w:sz w:val="32"/>
          <w:szCs w:val="32"/>
          <w:highlight w:val="none"/>
          <w:lang w:val="en-US" w:eastAsia="zh-CN"/>
        </w:rPr>
      </w:pPr>
      <w:r>
        <w:rPr>
          <w:rFonts w:hint="eastAsia" w:ascii="仿宋_GB2312" w:hAnsi="仿宋" w:eastAsia="仿宋_GB2312"/>
          <w:bCs/>
          <w:color w:val="auto"/>
          <w:sz w:val="32"/>
          <w:szCs w:val="32"/>
          <w:highlight w:val="none"/>
          <w:lang w:eastAsia="zh-CN"/>
        </w:rPr>
        <w:t>保安人员工资补助</w:t>
      </w:r>
      <w:r>
        <w:rPr>
          <w:rFonts w:hint="eastAsia" w:ascii="仿宋_GB2312" w:hAnsi="仿宋" w:eastAsia="仿宋_GB2312"/>
          <w:bCs/>
          <w:color w:val="auto"/>
          <w:sz w:val="32"/>
          <w:szCs w:val="32"/>
          <w:highlight w:val="none"/>
        </w:rPr>
        <w:t>：</w:t>
      </w:r>
      <w:r>
        <w:rPr>
          <w:rFonts w:hint="eastAsia" w:ascii="仿宋_GB2312" w:hAnsi="仿宋" w:eastAsia="仿宋_GB2312"/>
          <w:bCs/>
          <w:color w:val="auto"/>
          <w:sz w:val="32"/>
          <w:szCs w:val="32"/>
          <w:highlight w:val="none"/>
          <w:lang w:eastAsia="zh-CN"/>
        </w:rPr>
        <w:t>发放补助保安人数8人。通过项目的实施，保证校园稳定和师生生命财产安全，改善保安生活条件。</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bookmarkStart w:id="0" w:name="_GoBack"/>
      <w:bookmarkEnd w:id="0"/>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的项目立项符合相关法规政策及</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和田市第五中学</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3155.98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3155.47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99.9</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2330.06</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825.92</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35.4</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学生人数和新增教师增加</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3148.51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3148.51</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2355.36</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793.15</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7.47</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6.96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93.2</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手续费、水费、电费、邮电费、取暖费、物业管理费、差旅费、维修（护）费、会议费、培训费、专用材料费、劳务费、工会经费、福利费、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和田市第五中学</w:t>
      </w:r>
      <w:r>
        <w:rPr>
          <w:rFonts w:hint="eastAsia" w:hAnsi="方正楷体简体"/>
          <w:color w:val="auto"/>
          <w:highlight w:val="none"/>
        </w:rPr>
        <w:t>单位项目支出共涉及</w:t>
      </w:r>
      <w:r>
        <w:rPr>
          <w:rFonts w:hint="eastAsia" w:hAnsi="方正楷体简体"/>
          <w:color w:val="auto"/>
          <w:highlight w:val="none"/>
          <w:lang w:val="en-US" w:eastAsia="zh-CN"/>
        </w:rPr>
        <w:t>2</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保安人员工资补助项目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5.47</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自治区中小学教学质量提升工程2021年专项资金项目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2</w:t>
            </w:r>
            <w:r>
              <w:rPr>
                <w:rFonts w:hint="eastAsia" w:ascii="仿宋_GB2312" w:hAnsi="仿宋" w:eastAsia="仿宋_GB2312" w:cs="宋体"/>
                <w:color w:val="auto"/>
                <w:sz w:val="32"/>
                <w:szCs w:val="32"/>
                <w:highlight w:val="none"/>
              </w:rPr>
              <w:t>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资金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和田市第五中学</w:t>
      </w:r>
      <w:r>
        <w:rPr>
          <w:rFonts w:hint="eastAsia" w:ascii="仿宋_GB2312" w:hAnsi="方正楷体简体" w:eastAsia="仿宋_GB2312" w:cs="宋体"/>
          <w:color w:val="auto"/>
          <w:sz w:val="32"/>
          <w:szCs w:val="32"/>
          <w:highlight w:val="none"/>
        </w:rPr>
        <w:t>单位基本支出预算总额</w:t>
      </w:r>
      <w:r>
        <w:rPr>
          <w:rFonts w:hint="eastAsia" w:ascii="仿宋_GB2312" w:hAnsi="方正楷体简体" w:eastAsia="仿宋_GB2312" w:cs="宋体"/>
          <w:color w:val="auto"/>
          <w:sz w:val="32"/>
          <w:szCs w:val="32"/>
          <w:highlight w:val="none"/>
          <w:lang w:val="en-US" w:eastAsia="zh-CN"/>
        </w:rPr>
        <w:t>3148.51</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2951.67</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196.84</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3148.51</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 xml:space="preserve">万元。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7.47</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6.96</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93.2</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982"/>
        <w:gridCol w:w="1328"/>
        <w:gridCol w:w="1148"/>
        <w:gridCol w:w="895"/>
        <w:gridCol w:w="1134"/>
        <w:gridCol w:w="2035"/>
      </w:tblGrid>
      <w:tr>
        <w:tblPrEx>
          <w:tblCellMar>
            <w:top w:w="0" w:type="dxa"/>
            <w:left w:w="108" w:type="dxa"/>
            <w:bottom w:w="0" w:type="dxa"/>
            <w:right w:w="108" w:type="dxa"/>
          </w:tblCellMar>
        </w:tblPrEx>
        <w:trPr>
          <w:trHeight w:val="1332" w:hRule="atLeast"/>
          <w:tblHeader/>
        </w:trPr>
        <w:tc>
          <w:tcPr>
            <w:tcW w:w="1982"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328" w:type="dxa"/>
            <w:tcBorders>
              <w:top w:val="single" w:color="auto" w:sz="8" w:space="0"/>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14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89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1123" w:hRule="atLeast"/>
          <w:tblHeader/>
        </w:trPr>
        <w:tc>
          <w:tcPr>
            <w:tcW w:w="1982" w:type="dxa"/>
            <w:tcBorders>
              <w:top w:val="nil"/>
              <w:left w:val="single" w:color="auto" w:sz="8" w:space="0"/>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1"/>
                <w:szCs w:val="21"/>
                <w:highlight w:val="none"/>
                <w:lang w:val="en-US" w:eastAsia="zh-CN" w:bidi="ar-SA"/>
              </w:rPr>
            </w:pPr>
            <w:r>
              <w:rPr>
                <w:rFonts w:hint="eastAsia" w:ascii="仿宋_GB2312" w:hAnsi="仿宋" w:eastAsia="仿宋_GB2312" w:cs="宋体"/>
                <w:color w:val="auto"/>
                <w:kern w:val="2"/>
                <w:sz w:val="21"/>
                <w:szCs w:val="21"/>
                <w:highlight w:val="none"/>
                <w:lang w:val="en-US" w:eastAsia="zh-CN" w:bidi="ar-SA"/>
              </w:rPr>
              <w:t>保安人员</w:t>
            </w:r>
            <w:r>
              <w:rPr>
                <w:rFonts w:hint="eastAsia" w:ascii="仿宋_GB2312" w:hAnsi="仿宋" w:eastAsia="仿宋_GB2312" w:cs="宋体"/>
                <w:color w:val="auto"/>
                <w:sz w:val="22"/>
                <w:szCs w:val="22"/>
                <w:highlight w:val="none"/>
                <w:lang w:val="en-US" w:eastAsia="zh-CN"/>
              </w:rPr>
              <w:t>工资</w:t>
            </w:r>
            <w:r>
              <w:rPr>
                <w:rFonts w:hint="eastAsia" w:ascii="仿宋_GB2312" w:hAnsi="仿宋" w:eastAsia="仿宋_GB2312" w:cs="宋体"/>
                <w:color w:val="auto"/>
                <w:kern w:val="2"/>
                <w:sz w:val="21"/>
                <w:szCs w:val="21"/>
                <w:highlight w:val="none"/>
                <w:lang w:val="en-US" w:eastAsia="zh-CN" w:bidi="ar-SA"/>
              </w:rPr>
              <w:t>补助</w:t>
            </w:r>
          </w:p>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p>
        </w:tc>
        <w:tc>
          <w:tcPr>
            <w:tcW w:w="1328"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lang w:val="en-US" w:eastAsia="zh-CN"/>
              </w:rPr>
              <w:t>5.47</w:t>
            </w:r>
            <w:r>
              <w:rPr>
                <w:rFonts w:hint="eastAsia" w:ascii="仿宋_GB2312" w:hAnsi="仿宋" w:eastAsia="仿宋_GB2312" w:cs="宋体"/>
                <w:color w:val="auto"/>
                <w:sz w:val="22"/>
                <w:szCs w:val="22"/>
                <w:highlight w:val="none"/>
              </w:rPr>
              <w:t>万元</w:t>
            </w:r>
          </w:p>
        </w:tc>
        <w:tc>
          <w:tcPr>
            <w:tcW w:w="1148"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lang w:val="en-US" w:eastAsia="zh-CN"/>
              </w:rPr>
              <w:t>5.47</w:t>
            </w:r>
            <w:r>
              <w:rPr>
                <w:rFonts w:hint="eastAsia" w:ascii="仿宋_GB2312" w:hAnsi="仿宋" w:eastAsia="仿宋_GB2312" w:cs="宋体"/>
                <w:color w:val="auto"/>
                <w:sz w:val="22"/>
                <w:szCs w:val="22"/>
                <w:highlight w:val="none"/>
              </w:rPr>
              <w:t>万元</w:t>
            </w:r>
          </w:p>
        </w:tc>
        <w:tc>
          <w:tcPr>
            <w:tcW w:w="895" w:type="dxa"/>
            <w:tcBorders>
              <w:top w:val="nil"/>
              <w:left w:val="nil"/>
              <w:bottom w:val="single" w:color="auto" w:sz="8" w:space="0"/>
              <w:right w:val="single" w:color="auto" w:sz="8" w:space="0"/>
            </w:tcBorders>
            <w:shd w:val="clear" w:color="auto" w:fill="auto"/>
            <w:vAlign w:val="center"/>
          </w:tcPr>
          <w:p>
            <w:pPr>
              <w:pStyle w:val="12"/>
              <w:spacing w:line="560" w:lineRule="exact"/>
              <w:ind w:firstLine="20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rPr>
              <w:t>100%</w:t>
            </w:r>
          </w:p>
        </w:tc>
        <w:tc>
          <w:tcPr>
            <w:tcW w:w="1134" w:type="dxa"/>
            <w:tcBorders>
              <w:top w:val="nil"/>
              <w:left w:val="nil"/>
              <w:bottom w:val="single" w:color="auto" w:sz="8" w:space="0"/>
              <w:right w:val="single" w:color="auto" w:sz="8" w:space="0"/>
            </w:tcBorders>
            <w:shd w:val="clear" w:color="auto" w:fill="auto"/>
            <w:vAlign w:val="center"/>
          </w:tcPr>
          <w:p>
            <w:pPr>
              <w:pStyle w:val="12"/>
              <w:spacing w:line="560" w:lineRule="exact"/>
              <w:ind w:firstLine="20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982"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2"/>
                <w:sz w:val="22"/>
                <w:szCs w:val="22"/>
                <w:highlight w:val="none"/>
                <w:lang w:val="en-US" w:eastAsia="zh-CN" w:bidi="ar-SA"/>
              </w:rPr>
              <w:t>自治区中小学教学质量提升工程2021年专项资金</w:t>
            </w:r>
          </w:p>
        </w:tc>
        <w:tc>
          <w:tcPr>
            <w:tcW w:w="132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sz w:val="22"/>
                <w:szCs w:val="22"/>
                <w:highlight w:val="none"/>
                <w:lang w:val="en-US" w:eastAsia="zh-CN"/>
              </w:rPr>
              <w:t>2</w:t>
            </w:r>
            <w:r>
              <w:rPr>
                <w:rFonts w:hint="eastAsia" w:ascii="仿宋_GB2312" w:hAnsi="仿宋" w:eastAsia="仿宋_GB2312" w:cs="宋体"/>
                <w:color w:val="auto"/>
                <w:sz w:val="22"/>
                <w:szCs w:val="22"/>
                <w:highlight w:val="none"/>
              </w:rPr>
              <w:t>万元</w:t>
            </w:r>
          </w:p>
        </w:tc>
        <w:tc>
          <w:tcPr>
            <w:tcW w:w="1148"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sz w:val="22"/>
                <w:szCs w:val="22"/>
                <w:highlight w:val="none"/>
                <w:lang w:val="en-US" w:eastAsia="zh-CN"/>
              </w:rPr>
              <w:t>1.49</w:t>
            </w:r>
            <w:r>
              <w:rPr>
                <w:rFonts w:hint="eastAsia" w:ascii="仿宋_GB2312" w:hAnsi="仿宋" w:eastAsia="仿宋_GB2312" w:cs="宋体"/>
                <w:color w:val="auto"/>
                <w:sz w:val="22"/>
                <w:szCs w:val="22"/>
                <w:highlight w:val="none"/>
              </w:rPr>
              <w:t>万元</w:t>
            </w:r>
          </w:p>
        </w:tc>
        <w:tc>
          <w:tcPr>
            <w:tcW w:w="895"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sz w:val="22"/>
                <w:szCs w:val="22"/>
                <w:highlight w:val="none"/>
                <w:lang w:val="en-US" w:eastAsia="zh-CN"/>
              </w:rPr>
              <w:t>74.5</w:t>
            </w:r>
            <w:r>
              <w:rPr>
                <w:rFonts w:hint="eastAsia" w:ascii="仿宋_GB2312" w:hAnsi="仿宋" w:eastAsia="仿宋_GB2312" w:cs="宋体"/>
                <w:color w:val="auto"/>
                <w:sz w:val="22"/>
                <w:szCs w:val="22"/>
                <w:highlight w:val="none"/>
              </w:rPr>
              <w:t>%</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kern w:val="2"/>
                <w:sz w:val="22"/>
                <w:szCs w:val="22"/>
                <w:highlight w:val="none"/>
                <w:lang w:val="en-US" w:eastAsia="zh-CN" w:bidi="ar-SA"/>
              </w:rPr>
              <w:t>其他类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2"/>
                <w:sz w:val="22"/>
                <w:szCs w:val="22"/>
                <w:highlight w:val="none"/>
                <w:lang w:val="en-US" w:eastAsia="zh-CN" w:bidi="ar-SA"/>
              </w:rPr>
            </w:pPr>
          </w:p>
        </w:tc>
      </w:tr>
      <w:tr>
        <w:tblPrEx>
          <w:tblCellMar>
            <w:top w:w="0" w:type="dxa"/>
            <w:left w:w="108" w:type="dxa"/>
            <w:bottom w:w="0" w:type="dxa"/>
            <w:right w:w="108" w:type="dxa"/>
          </w:tblCellMar>
        </w:tblPrEx>
        <w:trPr>
          <w:trHeight w:val="283" w:hRule="atLeast"/>
          <w:tblHeader/>
        </w:trPr>
        <w:tc>
          <w:tcPr>
            <w:tcW w:w="1982"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合计</w:t>
            </w:r>
          </w:p>
        </w:tc>
        <w:tc>
          <w:tcPr>
            <w:tcW w:w="132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sz w:val="22"/>
                <w:szCs w:val="22"/>
                <w:highlight w:val="none"/>
                <w:lang w:val="en-US" w:eastAsia="zh-CN"/>
              </w:rPr>
              <w:t>7.47</w:t>
            </w:r>
            <w:r>
              <w:rPr>
                <w:rFonts w:hint="eastAsia" w:ascii="仿宋_GB2312" w:hAnsi="仿宋" w:eastAsia="仿宋_GB2312" w:cs="宋体"/>
                <w:color w:val="auto"/>
                <w:sz w:val="22"/>
                <w:szCs w:val="22"/>
                <w:highlight w:val="none"/>
              </w:rPr>
              <w:t>万元</w:t>
            </w:r>
          </w:p>
        </w:tc>
        <w:tc>
          <w:tcPr>
            <w:tcW w:w="1148"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sz w:val="22"/>
                <w:szCs w:val="22"/>
                <w:highlight w:val="none"/>
                <w:lang w:val="en-US" w:eastAsia="zh-CN"/>
              </w:rPr>
              <w:t>6.96</w:t>
            </w:r>
            <w:r>
              <w:rPr>
                <w:rFonts w:hint="eastAsia" w:ascii="仿宋_GB2312" w:hAnsi="仿宋" w:eastAsia="仿宋_GB2312" w:cs="宋体"/>
                <w:color w:val="auto"/>
                <w:sz w:val="22"/>
                <w:szCs w:val="22"/>
                <w:highlight w:val="none"/>
              </w:rPr>
              <w:t>万元</w:t>
            </w:r>
          </w:p>
        </w:tc>
        <w:tc>
          <w:tcPr>
            <w:tcW w:w="895"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sz w:val="22"/>
                <w:szCs w:val="22"/>
                <w:highlight w:val="none"/>
                <w:lang w:val="en-US" w:eastAsia="zh-CN"/>
              </w:rPr>
              <w:t>93.2</w:t>
            </w:r>
            <w:r>
              <w:rPr>
                <w:rFonts w:hint="eastAsia" w:ascii="仿宋_GB2312" w:hAnsi="仿宋" w:eastAsia="仿宋_GB2312" w:cs="宋体"/>
                <w:color w:val="auto"/>
                <w:sz w:val="22"/>
                <w:szCs w:val="22"/>
                <w:highlight w:val="none"/>
              </w:rPr>
              <w:t>%</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spacing w:line="560" w:lineRule="exact"/>
        <w:ind w:firstLine="200"/>
        <w:rPr>
          <w:color w:val="auto"/>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ab/>
      </w:r>
    </w:p>
    <w:p>
      <w:pPr>
        <w:spacing w:line="560" w:lineRule="exact"/>
        <w:ind w:firstLine="200"/>
        <w:rPr>
          <w:rFonts w:hint="eastAsia" w:ascii="仿宋_GB2312" w:eastAsia="仿宋_GB2312"/>
          <w:color w:val="auto"/>
          <w:sz w:val="32"/>
          <w:szCs w:val="32"/>
          <w:highlight w:val="none"/>
          <w:lang w:val="en-US" w:eastAsia="zh-CN"/>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r>
        <w:rPr>
          <w:rFonts w:hint="eastAsia" w:ascii="仿宋_GB2312" w:eastAsia="仿宋_GB2312"/>
          <w:color w:val="auto"/>
          <w:sz w:val="32"/>
          <w:szCs w:val="32"/>
          <w:highlight w:val="none"/>
          <w:lang w:eastAsia="zh-CN"/>
        </w:rPr>
        <w:t>因报销人员未及时提供发票，导致存在差异。</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2"/>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7.47</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6.96</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6.96</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93.2</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93.2</w:t>
      </w:r>
      <w:r>
        <w:rPr>
          <w:rStyle w:val="10"/>
          <w:rFonts w:hint="eastAsia" w:ascii="仿宋_GB2312" w:hAnsi="黑体" w:eastAsia="仿宋_GB2312" w:cs="Times New Roman"/>
          <w:b w:val="0"/>
          <w:color w:val="auto"/>
          <w:spacing w:val="-4"/>
          <w:sz w:val="32"/>
          <w:szCs w:val="32"/>
          <w:highlight w:val="none"/>
        </w:rPr>
        <w:t>%。自治区中小学教学质量提升工程2021年专项资金项目由于</w:t>
      </w:r>
      <w:r>
        <w:rPr>
          <w:rStyle w:val="10"/>
          <w:rFonts w:hint="eastAsia" w:ascii="仿宋_GB2312" w:hAnsi="黑体" w:eastAsia="仿宋_GB2312" w:cs="Times New Roman"/>
          <w:b w:val="0"/>
          <w:color w:val="auto"/>
          <w:spacing w:val="-4"/>
          <w:sz w:val="32"/>
          <w:szCs w:val="32"/>
          <w:highlight w:val="none"/>
          <w:lang w:eastAsia="zh-CN"/>
        </w:rPr>
        <w:t>报销人员未及时提供发票，致使资金没有使用完</w:t>
      </w:r>
      <w:r>
        <w:rPr>
          <w:rStyle w:val="10"/>
          <w:rFonts w:hint="eastAsia" w:ascii="仿宋_GB2312" w:hAnsi="黑体" w:eastAsia="仿宋_GB2312" w:cs="Times New Roman"/>
          <w:b w:val="0"/>
          <w:color w:val="auto"/>
          <w:spacing w:val="-4"/>
          <w:sz w:val="32"/>
          <w:szCs w:val="32"/>
          <w:highlight w:val="none"/>
        </w:rPr>
        <w:t>，额度结转</w:t>
      </w:r>
      <w:r>
        <w:rPr>
          <w:rStyle w:val="10"/>
          <w:rFonts w:hint="eastAsia" w:ascii="仿宋_GB2312" w:hAnsi="黑体" w:eastAsia="仿宋_GB2312" w:cs="Times New Roman"/>
          <w:b w:val="0"/>
          <w:color w:val="auto"/>
          <w:spacing w:val="-4"/>
          <w:sz w:val="32"/>
          <w:szCs w:val="32"/>
          <w:highlight w:val="none"/>
          <w:lang w:val="en-US" w:eastAsia="zh-CN"/>
        </w:rPr>
        <w:t>0.51</w:t>
      </w:r>
      <w:r>
        <w:rPr>
          <w:rStyle w:val="10"/>
          <w:rFonts w:hint="eastAsia" w:ascii="仿宋_GB2312" w:hAnsi="黑体" w:eastAsia="仿宋_GB2312" w:cs="Times New Roman"/>
          <w:b w:val="0"/>
          <w:color w:val="auto"/>
          <w:spacing w:val="-4"/>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个项目未完成，原因是自治区中小学教学质量提升工程2021年专项资金项目由于</w:t>
      </w:r>
      <w:r>
        <w:rPr>
          <w:rStyle w:val="10"/>
          <w:rFonts w:hint="eastAsia" w:ascii="仿宋_GB2312" w:hAnsi="黑体" w:eastAsia="仿宋_GB2312" w:cs="Times New Roman"/>
          <w:b w:val="0"/>
          <w:color w:val="auto"/>
          <w:spacing w:val="-4"/>
          <w:sz w:val="32"/>
          <w:szCs w:val="32"/>
          <w:highlight w:val="none"/>
          <w:lang w:eastAsia="zh-CN"/>
        </w:rPr>
        <w:t>报销人员未及时提供发票，致使资金没有使用完</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个项目未完成验收，原因</w:t>
      </w:r>
      <w:r>
        <w:rPr>
          <w:rStyle w:val="10"/>
          <w:rFonts w:hint="eastAsia" w:ascii="仿宋_GB2312" w:hAnsi="黑体" w:eastAsia="仿宋_GB2312" w:cs="Times New Roman"/>
          <w:b w:val="0"/>
          <w:color w:val="auto"/>
          <w:spacing w:val="-4"/>
          <w:sz w:val="32"/>
          <w:szCs w:val="32"/>
          <w:highlight w:val="none"/>
          <w:lang w:eastAsia="zh-CN"/>
        </w:rPr>
        <w:t>是</w:t>
      </w:r>
      <w:r>
        <w:rPr>
          <w:rStyle w:val="10"/>
          <w:rFonts w:hint="eastAsia" w:ascii="仿宋_GB2312" w:hAnsi="黑体" w:eastAsia="仿宋_GB2312" w:cs="Times New Roman"/>
          <w:b w:val="0"/>
          <w:color w:val="auto"/>
          <w:spacing w:val="-4"/>
          <w:sz w:val="32"/>
          <w:szCs w:val="32"/>
          <w:highlight w:val="none"/>
        </w:rPr>
        <w:t>自治区中小学教学质量提升工程2021年专项资金项目由于</w:t>
      </w:r>
      <w:r>
        <w:rPr>
          <w:rStyle w:val="10"/>
          <w:rFonts w:hint="eastAsia" w:ascii="仿宋_GB2312" w:hAnsi="黑体" w:eastAsia="仿宋_GB2312" w:cs="Times New Roman"/>
          <w:b w:val="0"/>
          <w:color w:val="auto"/>
          <w:spacing w:val="-4"/>
          <w:sz w:val="32"/>
          <w:szCs w:val="32"/>
          <w:highlight w:val="none"/>
          <w:lang w:eastAsia="zh-CN"/>
        </w:rPr>
        <w:t>报销人员未及时提供发票，致使资金没有使用完</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个项目，通过项目的实施带来的效益：</w:t>
      </w:r>
      <w:r>
        <w:rPr>
          <w:rStyle w:val="10"/>
          <w:rFonts w:hint="eastAsia" w:ascii="仿宋_GB2312" w:hAnsi="黑体" w:eastAsia="仿宋_GB2312"/>
          <w:b w:val="0"/>
          <w:color w:val="auto"/>
          <w:spacing w:val="-4"/>
          <w:sz w:val="32"/>
          <w:szCs w:val="32"/>
          <w:highlight w:val="none"/>
        </w:rPr>
        <w:t>确保全校师生安全，校园安全。有利于社会的稳定和发展，师生人身安全和财产安全得到切实保障。通过专题讲座、示范课、优质课观摩等丰富多样的形式，提升工作室全体成员的教育理论素质和专业发展能力。</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r>
        <w:rPr>
          <w:rFonts w:hint="eastAsia" w:ascii="仿宋" w:hAnsi="仿宋" w:eastAsia="仿宋" w:cs="Times New Roman"/>
          <w:bCs/>
          <w:color w:val="auto"/>
          <w:sz w:val="32"/>
          <w:szCs w:val="32"/>
          <w:highlight w:val="none"/>
        </w:rPr>
        <w:t xml:space="preserve">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13</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13</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100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170</w:t>
      </w:r>
      <w:r>
        <w:rPr>
          <w:rFonts w:hint="eastAsia" w:ascii="仿宋_GB2312" w:hAnsi="仿宋" w:eastAsia="仿宋_GB2312"/>
          <w:color w:val="auto"/>
          <w:sz w:val="32"/>
          <w:szCs w:val="32"/>
          <w:highlight w:val="none"/>
        </w:rPr>
        <w:t>人，实际完成值是</w:t>
      </w:r>
      <w:r>
        <w:rPr>
          <w:rFonts w:hint="eastAsia" w:ascii="仿宋_GB2312" w:hAnsi="仿宋" w:eastAsia="仿宋_GB2312"/>
          <w:color w:val="auto"/>
          <w:sz w:val="32"/>
          <w:szCs w:val="32"/>
          <w:highlight w:val="none"/>
          <w:lang w:val="en-US" w:eastAsia="zh-CN"/>
        </w:rPr>
        <w:t>180人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24" w:firstLineChars="200"/>
        <w:rPr>
          <w:rFonts w:hint="eastAsia" w:ascii="仿宋_GB2312" w:hAnsi="仿宋" w:eastAsia="仿宋_GB2312"/>
          <w:color w:val="auto"/>
          <w:sz w:val="32"/>
          <w:szCs w:val="32"/>
          <w:highlight w:val="none"/>
        </w:rPr>
      </w:pPr>
      <w:r>
        <w:rPr>
          <w:rFonts w:hint="eastAsia" w:ascii="仿宋_GB2312" w:hAnsi="楷体" w:eastAsia="仿宋_GB2312" w:cs="仿宋"/>
          <w:color w:val="auto"/>
          <w:spacing w:val="-4"/>
          <w:sz w:val="32"/>
          <w:szCs w:val="32"/>
          <w:highlight w:val="none"/>
        </w:rPr>
        <w:t>数量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val="en-US" w:eastAsia="zh-CN"/>
        </w:rPr>
        <w:t>完成</w:t>
      </w:r>
      <w:r>
        <w:rPr>
          <w:rFonts w:hint="eastAsia" w:ascii="仿宋_GB2312" w:hAnsi="仿宋" w:eastAsia="仿宋_GB2312"/>
          <w:color w:val="auto"/>
          <w:sz w:val="32"/>
          <w:szCs w:val="32"/>
          <w:highlight w:val="none"/>
        </w:rPr>
        <w:t>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工资及社保等各项缴费发放准确率，预期指标是100%，实际完成值是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rPr>
        <w:t>保障单位正常运转率，预期指标是100%，实际完成值是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stheme="minorBidi"/>
          <w:b w:val="0"/>
          <w:bCs w:val="0"/>
          <w:color w:val="auto"/>
          <w:kern w:val="2"/>
          <w:sz w:val="32"/>
          <w:szCs w:val="32"/>
          <w:highlight w:val="none"/>
          <w:lang w:val="en-US" w:eastAsia="zh-CN" w:bidi="ar-SA"/>
        </w:rPr>
        <w:t xml:space="preserve"> </w:t>
      </w:r>
      <w:r>
        <w:rPr>
          <w:rFonts w:hint="eastAsia" w:ascii="仿宋_GB2312" w:hAnsi="仿宋" w:eastAsia="仿宋_GB2312"/>
          <w:color w:val="auto"/>
          <w:sz w:val="32"/>
          <w:szCs w:val="32"/>
          <w:highlight w:val="none"/>
          <w:lang w:val="en-US" w:eastAsia="zh-CN"/>
        </w:rPr>
        <w:t>工资及社保等各项缴费发放及时率，预期指标是大于等于95%，实际完成值是95%，指标完成率是100%。</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项目完成时间，预期指标是2021年12月，实际完成值是2021年12月，指标完成率是100%。</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个，达到预期目标，时效指标完成</w:t>
      </w:r>
      <w:r>
        <w:rPr>
          <w:rFonts w:hint="eastAsia" w:ascii="仿宋_GB2312" w:hAnsi="仿宋" w:eastAsia="仿宋_GB2312"/>
          <w:color w:val="auto"/>
          <w:sz w:val="32"/>
          <w:szCs w:val="32"/>
          <w:highlight w:val="none"/>
          <w:lang w:val="en-US"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对个人和家庭补助成本，预期指标是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84.62万元/人，实际完成值是84.62万元/人，指标完成率是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各项工资、福利、补助费用成本，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2229.01万元万元/人，实际完成值是2229.01万元万元/人，指标完成率是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保障单位正常运转支出</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41.73万元，实际完成值是41.73万元，指标完成率是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个，达到预期目标，成本指标完成。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24" w:firstLineChars="200"/>
        <w:rPr>
          <w:rFonts w:hint="eastAsia" w:ascii="仿宋_GB2312" w:eastAsia="仿宋_GB2312"/>
          <w:color w:val="auto"/>
          <w:sz w:val="32"/>
          <w:szCs w:val="32"/>
          <w:highlight w:val="none"/>
          <w:lang w:val="en-US"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持续为群众提供政府公共服务能力，预期指标是长期，实际完成值是长期，指标完成率是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干部职工满意度，</w:t>
      </w:r>
      <w:r>
        <w:rPr>
          <w:rFonts w:hint="eastAsia" w:ascii="仿宋_GB2312" w:hAnsi="仿宋" w:eastAsia="仿宋_GB2312"/>
          <w:color w:val="auto"/>
          <w:sz w:val="32"/>
          <w:szCs w:val="32"/>
          <w:highlight w:val="none"/>
          <w:lang w:val="en-US" w:eastAsia="zh-CN"/>
        </w:rPr>
        <w:t>预期指标是大于等于95%，实际完成值是95%，指标完成率是100%，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eastAsiaTheme="minorEastAsia"/>
          <w:color w:val="auto"/>
          <w:highlight w:val="none"/>
          <w:lang w:eastAsia="zh-CN"/>
        </w:rPr>
      </w:pPr>
      <w:r>
        <w:rPr>
          <w:rFonts w:hint="eastAsia" w:ascii="仿宋_GB2312" w:hAnsi="仿宋" w:eastAsia="仿宋_GB2312" w:cs="仿宋"/>
          <w:color w:val="auto"/>
          <w:spacing w:val="-4"/>
          <w:sz w:val="32"/>
          <w:szCs w:val="32"/>
          <w:highlight w:val="none"/>
        </w:rPr>
        <w:t>学生家长满意度，</w:t>
      </w:r>
      <w:r>
        <w:rPr>
          <w:rFonts w:hint="eastAsia" w:ascii="仿宋_GB2312" w:hAnsi="仿宋" w:eastAsia="仿宋_GB2312"/>
          <w:color w:val="auto"/>
          <w:sz w:val="32"/>
          <w:szCs w:val="32"/>
          <w:highlight w:val="none"/>
          <w:lang w:val="en-US" w:eastAsia="zh-CN"/>
        </w:rPr>
        <w:t>预期指标是大于等于95%，实际完成值是95%，指标完成率是100%，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年度任务在预算资金额度内完成，并通过严格的资金管理及项目管理及其他创新的管理措施实现了资金的节约。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效率性评价：各项工作计划是按预期计划按时完成，效益按预期时间产生。</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效益性评价：预期的经济效益、社会效益、可持续的影响产生，干部职工</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学生家长的满意度达到预期目标</w:t>
      </w:r>
      <w:r>
        <w:rPr>
          <w:rFonts w:hint="eastAsia" w:ascii="仿宋_GB2312" w:hAnsi="仿宋" w:eastAsia="仿宋_GB2312" w:cs="仿宋"/>
          <w:color w:val="auto"/>
          <w:spacing w:val="-4"/>
          <w:sz w:val="32"/>
          <w:szCs w:val="32"/>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lang w:eastAsia="zh-CN"/>
        </w:rPr>
        <w:t>无。</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script"/>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97CE0472"/>
    <w:multiLevelType w:val="singleLevel"/>
    <w:tmpl w:val="97CE0472"/>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DF2478"/>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11970B0A"/>
    <w:rsid w:val="141C6243"/>
    <w:rsid w:val="1A7D2E72"/>
    <w:rsid w:val="1ACC0302"/>
    <w:rsid w:val="1CEF2574"/>
    <w:rsid w:val="227375DB"/>
    <w:rsid w:val="29F9207F"/>
    <w:rsid w:val="2F187AB3"/>
    <w:rsid w:val="2F2E1EC8"/>
    <w:rsid w:val="30E07F90"/>
    <w:rsid w:val="3455214F"/>
    <w:rsid w:val="353C0AD7"/>
    <w:rsid w:val="3B2B6289"/>
    <w:rsid w:val="3CCA3DC7"/>
    <w:rsid w:val="4D457C38"/>
    <w:rsid w:val="4E31105E"/>
    <w:rsid w:val="4ECD6109"/>
    <w:rsid w:val="517E1B32"/>
    <w:rsid w:val="555C287A"/>
    <w:rsid w:val="55D03A95"/>
    <w:rsid w:val="599F2F96"/>
    <w:rsid w:val="5D6176A7"/>
    <w:rsid w:val="5FAE484C"/>
    <w:rsid w:val="616E0F8F"/>
    <w:rsid w:val="66540FAC"/>
    <w:rsid w:val="6E3F6EF2"/>
    <w:rsid w:val="6FE15325"/>
    <w:rsid w:val="7810477E"/>
    <w:rsid w:val="7D086F90"/>
    <w:rsid w:val="7D097B46"/>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1230</Words>
  <Characters>7012</Characters>
  <Lines>58</Lines>
  <Paragraphs>16</Paragraphs>
  <TotalTime>0</TotalTime>
  <ScaleCrop>false</ScaleCrop>
  <LinksUpToDate>false</LinksUpToDate>
  <CharactersWithSpaces>8226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dcterms:modified xsi:type="dcterms:W3CDTF">2022-01-14T03:42:29Z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SaveFontToCloudKey">
    <vt:lpwstr>405071676_stopsync</vt:lpwstr>
  </property>
  <property fmtid="{D5CDD505-2E9C-101B-9397-08002B2CF9AE}" pid="4" name="ICV">
    <vt:lpwstr>B97F772AD34546D294CAEEC88B538755</vt:lpwstr>
  </property>
</Properties>
</file>