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和田市乡村振兴局</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eastAsia" w:ascii="Times New Roman" w:hAnsi="宋体" w:eastAsia="仿宋_GB2312" w:cs="宋体"/>
          <w:color w:val="auto"/>
          <w:kern w:val="0"/>
          <w:sz w:val="36"/>
          <w:szCs w:val="36"/>
          <w:highlight w:val="none"/>
          <w:lang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和田市乡村振兴局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2021</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13</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和田市乡村振兴局</w:t>
      </w:r>
      <w:bookmarkStart w:id="0" w:name="_GoBack"/>
      <w:bookmarkEnd w:id="0"/>
      <w:r>
        <w:rPr>
          <w:rFonts w:hint="eastAsia" w:ascii="仿宋_GB2312" w:hAnsi="仿宋_GB2312" w:eastAsia="仿宋_GB2312" w:cs="仿宋_GB2312"/>
          <w:color w:val="auto"/>
          <w:sz w:val="32"/>
          <w:szCs w:val="32"/>
          <w:highlight w:val="none"/>
        </w:rPr>
        <w:t>贯彻</w:t>
      </w:r>
      <w:r>
        <w:rPr>
          <w:rFonts w:hint="eastAsia" w:ascii="仿宋_GB2312" w:hAnsi="仿宋_GB2312" w:eastAsia="仿宋_GB2312" w:cs="仿宋_GB2312"/>
          <w:color w:val="auto"/>
          <w:sz w:val="32"/>
          <w:szCs w:val="32"/>
          <w:highlight w:val="none"/>
          <w:lang w:eastAsia="zh-CN"/>
        </w:rPr>
        <w:t>党中央关于“三农”中乡村振兴工作的方针政策和市委市政府的决策部署</w:t>
      </w:r>
      <w:r>
        <w:rPr>
          <w:rFonts w:hint="eastAsia" w:ascii="仿宋_GB2312" w:hAnsi="仿宋_GB2312" w:eastAsia="仿宋_GB2312" w:cs="仿宋_GB2312"/>
          <w:color w:val="auto"/>
          <w:sz w:val="32"/>
          <w:szCs w:val="32"/>
          <w:highlight w:val="none"/>
        </w:rPr>
        <w:t>，在履行职责过程中坚持和加强党对</w:t>
      </w:r>
      <w:r>
        <w:rPr>
          <w:rFonts w:hint="eastAsia" w:ascii="仿宋_GB2312" w:hAnsi="仿宋_GB2312" w:eastAsia="仿宋_GB2312" w:cs="仿宋_GB2312"/>
          <w:color w:val="auto"/>
          <w:sz w:val="32"/>
          <w:szCs w:val="32"/>
          <w:highlight w:val="none"/>
          <w:lang w:eastAsia="zh-CN"/>
        </w:rPr>
        <w:t>乡村振兴</w:t>
      </w:r>
      <w:r>
        <w:rPr>
          <w:rFonts w:hint="eastAsia" w:ascii="仿宋_GB2312" w:hAnsi="仿宋_GB2312" w:eastAsia="仿宋_GB2312" w:cs="仿宋_GB2312"/>
          <w:color w:val="auto"/>
          <w:sz w:val="32"/>
          <w:szCs w:val="32"/>
          <w:highlight w:val="none"/>
        </w:rPr>
        <w:t>工作的集中统一领导。主要职责是：</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（一）贯彻落实党中央关于“三农”中乡村振兴工作的方针政策和市委市政府的决策部署，统筹实施乡村振兴战略，拟订相关政策措施并组织实施。</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拟订全市乡村振兴中长期规划和年度计划，牵头推进全市产业、人才、文化、生态和组织振兴工作，推动城乡融合发展。负责拟订全市巩固拓展脱贫攻坚成果有关政策措施并组织实施，负责健全防止返贫动态监测和帮扶机制，巩固拓展脱贫攻坚成果同乡村振兴有效衔接机制。</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（三）统筹推动农村社会事业、农村公共服务、农村文化和乡村治理改革发展，指导农业遗产的保护传承和开发利用，指导优秀农耕文化和农村精神文明建设。</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（四）牵头组织改善全市农村人居环境。参与乡镇、村庄建设规划编制，协调推动农村基础设施建设，统筹指导村庄整治、村容村貌提升改造。</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（五）负责乡村振兴示范区创建工作。</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（六）负责职责范围内的党风廉政建设、安全生产、职业健康、信访维稳、生态环境保护、网络安全、职工生产生活保障等工作。</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和田市乡村振兴局不设内设机构。和田市</w:t>
      </w:r>
      <w:r>
        <w:rPr>
          <w:rFonts w:hint="eastAsia" w:ascii="仿宋_GB2312" w:hAnsi="仿宋_GB2312" w:eastAsia="仿宋_GB2312" w:cs="仿宋_GB2312"/>
          <w:color w:val="auto"/>
          <w:sz w:val="32"/>
          <w:szCs w:val="32"/>
          <w:highlight w:val="none"/>
          <w:lang w:eastAsia="zh-CN"/>
        </w:rPr>
        <w:t>乡村振兴局核定</w:t>
      </w:r>
      <w:r>
        <w:rPr>
          <w:rFonts w:hint="eastAsia" w:ascii="仿宋_GB2312" w:hAnsi="仿宋_GB2312" w:eastAsia="仿宋_GB2312" w:cs="仿宋_GB2312"/>
          <w:color w:val="auto"/>
          <w:sz w:val="32"/>
          <w:szCs w:val="32"/>
          <w:highlight w:val="none"/>
        </w:rPr>
        <w:t>行政编制</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名，</w:t>
      </w:r>
      <w:r>
        <w:rPr>
          <w:rFonts w:hint="eastAsia" w:ascii="仿宋_GB2312" w:hAnsi="仿宋_GB2312" w:eastAsia="仿宋_GB2312" w:cs="仿宋_GB2312"/>
          <w:color w:val="auto"/>
          <w:sz w:val="32"/>
          <w:szCs w:val="32"/>
          <w:highlight w:val="none"/>
          <w:lang w:eastAsia="zh-CN"/>
        </w:rPr>
        <w:t>核定</w:t>
      </w:r>
      <w:r>
        <w:rPr>
          <w:rFonts w:hint="eastAsia" w:ascii="仿宋_GB2312" w:hAnsi="仿宋_GB2312" w:eastAsia="仿宋_GB2312" w:cs="仿宋_GB2312"/>
          <w:color w:val="auto"/>
          <w:sz w:val="32"/>
          <w:szCs w:val="32"/>
          <w:highlight w:val="none"/>
        </w:rPr>
        <w:t>科级领导职数</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名。机关工勤事业编制</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名。</w:t>
      </w:r>
      <w:r>
        <w:rPr>
          <w:rFonts w:hint="eastAsia" w:ascii="仿宋_GB2312" w:hAnsi="仿宋_GB2312" w:eastAsia="仿宋_GB2312" w:cs="仿宋_GB2312"/>
          <w:color w:val="auto"/>
          <w:sz w:val="32"/>
          <w:szCs w:val="32"/>
          <w:highlight w:val="none"/>
          <w:lang w:val="en-US" w:eastAsia="zh-CN"/>
        </w:rPr>
        <w:t>事业管理编制23名。</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eastAsia="zh-CN"/>
        </w:rPr>
        <w:t>扶贫业务经费项目预算总金额</w:t>
      </w:r>
      <w:r>
        <w:rPr>
          <w:rFonts w:hint="eastAsia" w:ascii="仿宋_GB2312" w:hAnsi="仿宋" w:eastAsia="仿宋_GB2312" w:cs="Times New Roman"/>
          <w:bCs/>
          <w:color w:val="auto"/>
          <w:sz w:val="32"/>
          <w:szCs w:val="32"/>
          <w:highlight w:val="none"/>
          <w:lang w:val="en-US" w:eastAsia="zh-CN"/>
        </w:rPr>
        <w:t>33.15万元，支出19.03万元。通过扶贫工作业务经费，有效保障乡村振兴局2021年各项业务正常运转。提升扶贫业务公共服务水平，持续提高业务开展能力。</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（2）脱贫攻坚巩固提升工作经费项目预算总金额23万元，支出5.2万元。通过项目的实施，保障单位2021年各项工作正常开展，持续为社会公众提供服务。</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0" w:firstLineChars="200"/>
        <w:rPr>
          <w:rFonts w:hint="eastAsia"/>
          <w:color w:val="auto"/>
          <w:highlight w:val="none"/>
          <w:lang w:val="en-US" w:eastAsia="zh-CN"/>
        </w:rPr>
      </w:pPr>
      <w:r>
        <w:rPr>
          <w:rFonts w:hint="eastAsia" w:ascii="仿宋_GB2312" w:hAnsi="仿宋" w:eastAsia="仿宋_GB2312" w:cs="Times New Roman"/>
          <w:bCs/>
          <w:color w:val="auto"/>
          <w:kern w:val="2"/>
          <w:sz w:val="32"/>
          <w:szCs w:val="32"/>
          <w:highlight w:val="none"/>
          <w:lang w:val="en-US" w:eastAsia="zh-CN" w:bidi="ar-SA"/>
        </w:rPr>
        <w:t>（3）食堂经费项目预算总金额10万元，支出10万元。</w:t>
      </w:r>
      <w:r>
        <w:rPr>
          <w:rFonts w:hint="eastAsia" w:ascii="仿宋_GB2312" w:hAnsi="仿宋" w:eastAsia="仿宋_GB2312" w:cs="Times New Roman"/>
          <w:bCs/>
          <w:color w:val="auto"/>
          <w:sz w:val="32"/>
          <w:szCs w:val="32"/>
          <w:highlight w:val="none"/>
          <w:lang w:val="en-US" w:eastAsia="zh-CN"/>
        </w:rPr>
        <w:t>通过食堂经费，有效保证单位40多名干部职工日常用餐问题，保障干部职工用餐质量，持续为干部职工提供服务。</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24" w:firstLineChars="200"/>
        <w:rPr>
          <w:rStyle w:val="10"/>
          <w:rFonts w:hint="eastAsia"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Style w:val="10"/>
          <w:rFonts w:hint="eastAsia" w:ascii="楷体" w:hAnsi="楷体" w:eastAsia="楷体" w:cs="Times New Roman"/>
          <w:b w:val="0"/>
          <w:bCs w:val="0"/>
          <w:color w:val="auto"/>
          <w:spacing w:val="-4"/>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r>
        <w:rPr>
          <w:rFonts w:hint="eastAsia" w:ascii="仿宋_GB2312" w:hAnsi="仿宋_GB2312" w:eastAsia="仿宋_GB2312" w:cs="仿宋_GB2312"/>
          <w:color w:val="auto"/>
          <w:sz w:val="32"/>
          <w:szCs w:val="32"/>
          <w:highlight w:val="none"/>
          <w:lang w:val="en-US" w:eastAsia="zh-CN"/>
        </w:rPr>
        <w:t xml:space="preserve"> </w:t>
      </w:r>
      <w:r>
        <w:rPr>
          <w:rFonts w:hint="eastAsia" w:ascii="仿宋" w:hAnsi="仿宋" w:eastAsia="仿宋" w:cs="宋体"/>
          <w:color w:val="auto"/>
          <w:sz w:val="32"/>
          <w:szCs w:val="32"/>
          <w:highlight w:val="none"/>
          <w:lang w:val="en-US" w:eastAsia="zh-CN"/>
        </w:rPr>
        <w:t xml:space="preserve">                        </w:t>
      </w:r>
    </w:p>
    <w:p>
      <w:pPr>
        <w:numPr>
          <w:ilvl w:val="0"/>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24" w:firstLineChars="200"/>
        <w:rPr>
          <w:rStyle w:val="10"/>
          <w:rFonts w:hint="eastAsia"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lang w:val="en-US" w:eastAsia="zh-CN"/>
        </w:rPr>
        <w:t>(三)资金分配</w:t>
      </w:r>
    </w:p>
    <w:p>
      <w:pPr>
        <w:keepNext w:val="0"/>
        <w:keepLines w:val="0"/>
        <w:pageBreakBefore w:val="0"/>
        <w:widowControl w:val="0"/>
        <w:numPr>
          <w:ilvl w:val="0"/>
          <w:numId w:val="0"/>
        </w:numPr>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numPr>
          <w:ilvl w:val="0"/>
          <w:numId w:val="1"/>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24" w:firstLineChars="200"/>
        <w:rPr>
          <w:rStyle w:val="10"/>
          <w:rFonts w:hint="eastAsia"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numPr>
          <w:numId w:val="0"/>
        </w:numPr>
        <w:pBdr>
          <w:top w:val="none" w:color="000000" w:sz="0" w:space="0"/>
          <w:left w:val="none" w:color="000000" w:sz="0" w:space="0"/>
          <w:bottom w:val="none" w:color="000000" w:sz="0" w:space="31"/>
          <w:right w:val="none" w:color="000000" w:sz="0" w:space="2"/>
        </w:pBdr>
        <w:autoSpaceDN w:val="0"/>
        <w:adjustRightInd w:val="0"/>
        <w:snapToGrid w:val="0"/>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left="319" w:leftChars="152" w:firstLine="320" w:firstLineChars="1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和田市乡村振兴局</w:t>
      </w:r>
      <w:r>
        <w:rPr>
          <w:rFonts w:hint="eastAsia" w:ascii="仿宋_GB2312" w:hAnsi="方正楷体简体" w:eastAsia="仿宋_GB2312" w:cs="宋体"/>
          <w:color w:val="auto"/>
          <w:sz w:val="32"/>
          <w:szCs w:val="32"/>
          <w:highlight w:val="none"/>
        </w:rPr>
        <w:t>整体支出全年预算总额</w:t>
      </w:r>
      <w:r>
        <w:rPr>
          <w:rFonts w:hint="eastAsia" w:ascii="仿宋_GB2312" w:hAnsi="方正楷体简体" w:eastAsia="仿宋_GB2312" w:cs="宋体"/>
          <w:color w:val="auto"/>
          <w:sz w:val="32"/>
          <w:szCs w:val="32"/>
          <w:highlight w:val="none"/>
        </w:rPr>
        <w:t>为</w:t>
      </w:r>
      <w:r>
        <w:rPr>
          <w:rFonts w:hint="eastAsia" w:ascii="仿宋_GB2312" w:hAnsi="方正楷体简体" w:eastAsia="仿宋_GB2312" w:cs="宋体"/>
          <w:color w:val="auto"/>
          <w:sz w:val="32"/>
          <w:szCs w:val="32"/>
          <w:highlight w:val="none"/>
          <w:lang w:val="en-US" w:eastAsia="zh-CN"/>
        </w:rPr>
        <w:t>610.24</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资金执行</w:t>
      </w:r>
      <w:r>
        <w:rPr>
          <w:rFonts w:hint="eastAsia" w:ascii="仿宋_GB2312" w:hAnsi="方正楷体简体" w:eastAsia="仿宋_GB2312" w:cs="宋体"/>
          <w:color w:val="auto"/>
          <w:sz w:val="32"/>
          <w:szCs w:val="32"/>
          <w:highlight w:val="none"/>
        </w:rPr>
        <w:t>数</w:t>
      </w:r>
      <w:r>
        <w:rPr>
          <w:rFonts w:hint="eastAsia" w:ascii="仿宋_GB2312" w:hAnsi="方正楷体简体" w:eastAsia="仿宋_GB2312" w:cs="宋体"/>
          <w:color w:val="auto"/>
          <w:sz w:val="32"/>
          <w:szCs w:val="32"/>
          <w:highlight w:val="none"/>
          <w:lang w:val="en-US" w:eastAsia="zh-CN"/>
        </w:rPr>
        <w:t>454.32</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，执行率</w:t>
      </w:r>
      <w:r>
        <w:rPr>
          <w:rFonts w:hint="eastAsia" w:ascii="仿宋_GB2312" w:hAnsi="方正楷体简体" w:eastAsia="仿宋_GB2312" w:cs="宋体"/>
          <w:color w:val="auto"/>
          <w:sz w:val="32"/>
          <w:szCs w:val="32"/>
          <w:highlight w:val="none"/>
          <w:lang w:val="en-US" w:eastAsia="zh-CN"/>
        </w:rPr>
        <w:t>74.4</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821.14</w:t>
      </w:r>
      <w:r>
        <w:rPr>
          <w:rFonts w:hint="eastAsia" w:ascii="仿宋_GB2312" w:hAnsi="方正楷体简体" w:eastAsia="仿宋_GB2312" w:cs="宋体"/>
          <w:color w:val="auto"/>
          <w:sz w:val="32"/>
          <w:szCs w:val="32"/>
          <w:highlight w:val="none"/>
        </w:rPr>
        <w:t>万元减少</w:t>
      </w:r>
      <w:r>
        <w:rPr>
          <w:rFonts w:hint="eastAsia" w:ascii="仿宋_GB2312" w:hAnsi="方正楷体简体" w:eastAsia="仿宋_GB2312" w:cs="宋体"/>
          <w:color w:val="auto"/>
          <w:sz w:val="32"/>
          <w:szCs w:val="32"/>
          <w:highlight w:val="none"/>
          <w:lang w:val="en-US" w:eastAsia="zh-CN"/>
        </w:rPr>
        <w:t>210.9</w:t>
      </w:r>
      <w:r>
        <w:rPr>
          <w:rFonts w:hint="eastAsia" w:ascii="仿宋_GB2312" w:hAnsi="方正楷体简体" w:eastAsia="仿宋_GB2312" w:cs="宋体"/>
          <w:color w:val="auto"/>
          <w:sz w:val="32"/>
          <w:szCs w:val="32"/>
          <w:highlight w:val="none"/>
        </w:rPr>
        <w:t>万元，减幅：</w:t>
      </w:r>
      <w:r>
        <w:rPr>
          <w:rFonts w:hint="eastAsia" w:ascii="仿宋_GB2312" w:hAnsi="方正楷体简体" w:eastAsia="仿宋_GB2312" w:cs="宋体"/>
          <w:color w:val="auto"/>
          <w:sz w:val="32"/>
          <w:szCs w:val="32"/>
          <w:highlight w:val="none"/>
          <w:lang w:val="en-US" w:eastAsia="zh-CN"/>
        </w:rPr>
        <w:t>25.7</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项目资金需求减少。</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w:t>
      </w:r>
      <w:r>
        <w:rPr>
          <w:rFonts w:hint="eastAsia" w:ascii="仿宋_GB2312" w:hAnsi="方正楷体简体" w:eastAsia="仿宋_GB2312" w:cs="宋体"/>
          <w:color w:val="auto"/>
          <w:sz w:val="32"/>
          <w:szCs w:val="32"/>
          <w:highlight w:val="none"/>
        </w:rPr>
        <w:t>数</w:t>
      </w:r>
      <w:r>
        <w:rPr>
          <w:rFonts w:hint="eastAsia" w:ascii="仿宋_GB2312" w:hAnsi="方正楷体简体" w:eastAsia="仿宋_GB2312" w:cs="宋体"/>
          <w:color w:val="auto"/>
          <w:sz w:val="32"/>
          <w:szCs w:val="32"/>
          <w:highlight w:val="none"/>
          <w:lang w:val="en-US" w:eastAsia="zh-CN"/>
        </w:rPr>
        <w:t>406.09</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，资金执行数</w:t>
      </w:r>
      <w:r>
        <w:rPr>
          <w:rFonts w:hint="eastAsia" w:ascii="仿宋_GB2312" w:hAnsi="方正楷体简体" w:eastAsia="仿宋_GB2312" w:cs="宋体"/>
          <w:color w:val="auto"/>
          <w:sz w:val="32"/>
          <w:szCs w:val="32"/>
          <w:highlight w:val="none"/>
          <w:lang w:val="en-US" w:eastAsia="zh-CN"/>
        </w:rPr>
        <w:t>406.09</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284.92</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，年中追加基本支出预算数</w:t>
      </w:r>
      <w:r>
        <w:rPr>
          <w:rFonts w:hint="eastAsia" w:ascii="仿宋_GB2312" w:hAnsi="方正楷体简体" w:eastAsia="仿宋_GB2312" w:cs="宋体"/>
          <w:color w:val="auto"/>
          <w:sz w:val="32"/>
          <w:szCs w:val="32"/>
          <w:highlight w:val="none"/>
          <w:lang w:val="en-US" w:eastAsia="zh-CN"/>
        </w:rPr>
        <w:t>121.17</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w:t>
      </w:r>
    </w:p>
    <w:p>
      <w:pPr>
        <w:spacing w:line="560" w:lineRule="exact"/>
        <w:ind w:firstLine="640" w:firstLineChars="200"/>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r>
        <w:rPr>
          <w:rFonts w:hint="eastAsia" w:ascii="仿宋_GB2312" w:hAnsi="方正楷体简体" w:eastAsia="仿宋_GB2312" w:cs="宋体"/>
          <w:color w:val="auto"/>
          <w:sz w:val="32"/>
          <w:szCs w:val="32"/>
          <w:highlight w:val="none"/>
          <w:lang w:val="en-US" w:eastAsia="zh-CN"/>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w:t>
      </w:r>
      <w:r>
        <w:rPr>
          <w:rFonts w:hint="eastAsia" w:ascii="仿宋_GB2312" w:hAnsi="方正楷体简体" w:eastAsia="仿宋_GB2312" w:cs="宋体"/>
          <w:color w:val="auto"/>
          <w:sz w:val="32"/>
          <w:szCs w:val="32"/>
          <w:highlight w:val="none"/>
        </w:rPr>
        <w:t>共计</w:t>
      </w:r>
      <w:r>
        <w:rPr>
          <w:rFonts w:hint="eastAsia" w:ascii="仿宋_GB2312" w:hAnsi="方正楷体简体" w:eastAsia="仿宋_GB2312" w:cs="宋体"/>
          <w:color w:val="auto"/>
          <w:sz w:val="32"/>
          <w:szCs w:val="32"/>
          <w:highlight w:val="none"/>
          <w:lang w:val="en-US" w:eastAsia="zh-CN"/>
        </w:rPr>
        <w:t>6</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rPr>
        <w:t>，全年预算数</w:t>
      </w:r>
      <w:r>
        <w:rPr>
          <w:rFonts w:hint="eastAsia" w:ascii="仿宋_GB2312" w:hAnsi="方正楷体简体" w:eastAsia="仿宋_GB2312" w:cs="宋体"/>
          <w:color w:val="auto"/>
          <w:sz w:val="32"/>
          <w:szCs w:val="32"/>
          <w:highlight w:val="none"/>
          <w:lang w:val="en-US" w:eastAsia="zh-CN"/>
        </w:rPr>
        <w:t>194.15</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元，资金执行数</w:t>
      </w:r>
      <w:r>
        <w:rPr>
          <w:rFonts w:hint="eastAsia" w:ascii="仿宋_GB2312" w:hAnsi="方正楷体简体" w:eastAsia="仿宋_GB2312" w:cs="宋体"/>
          <w:color w:val="auto"/>
          <w:sz w:val="32"/>
          <w:szCs w:val="32"/>
          <w:highlight w:val="none"/>
          <w:lang w:val="en-US" w:eastAsia="zh-CN"/>
        </w:rPr>
        <w:t>38.23</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元，执行率</w:t>
      </w:r>
      <w:r>
        <w:rPr>
          <w:rFonts w:hint="eastAsia" w:ascii="仿宋_GB2312" w:hAnsi="方正楷体简体" w:eastAsia="仿宋_GB2312" w:cs="宋体"/>
          <w:color w:val="auto"/>
          <w:sz w:val="32"/>
          <w:szCs w:val="32"/>
          <w:highlight w:val="none"/>
          <w:lang w:val="en-US" w:eastAsia="zh-CN"/>
        </w:rPr>
        <w:t>19.7</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126.56</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34.23</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67.59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4</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w:t>
      </w:r>
      <w:r>
        <w:rPr>
          <w:rFonts w:hint="eastAsia" w:ascii="仿宋_GB2312" w:hAnsi="方正楷体简体" w:eastAsia="仿宋_GB2312" w:cs="宋体"/>
          <w:color w:val="auto"/>
          <w:sz w:val="32"/>
          <w:szCs w:val="32"/>
          <w:highlight w:val="none"/>
        </w:rPr>
        <w:t>数</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，资金执行数</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手续费、水费、电费、邮电费、取暖费、差旅费、维修（护）费、培训费、劳务费、公务用车运行维护费、其他交通费用、税金及附加费用、其他商品和服务支出、办公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eastAsia="zh-CN"/>
        </w:rPr>
        <w:t>和田市乡村振兴局</w:t>
      </w:r>
      <w:r>
        <w:rPr>
          <w:rFonts w:hint="eastAsia" w:hAnsi="方正楷体简体"/>
          <w:color w:val="auto"/>
          <w:highlight w:val="none"/>
        </w:rPr>
        <w:t>项目支出共涉及</w:t>
      </w:r>
      <w:r>
        <w:rPr>
          <w:rFonts w:hint="eastAsia" w:hAnsi="方正楷体简体"/>
          <w:color w:val="auto"/>
          <w:highlight w:val="none"/>
          <w:lang w:val="en-US" w:eastAsia="zh-CN"/>
        </w:rPr>
        <w:t>7</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5"/>
              <w:spacing w:line="560" w:lineRule="exact"/>
              <w:ind w:left="0" w:leftChars="0" w:firstLine="0" w:firstLineChars="0"/>
              <w:jc w:val="both"/>
              <w:rPr>
                <w:rFonts w:hint="eastAsia" w:hAnsi="方正楷体简体"/>
                <w:color w:val="auto"/>
                <w:sz w:val="28"/>
                <w:szCs w:val="28"/>
                <w:highlight w:val="none"/>
              </w:rPr>
            </w:pPr>
            <w:r>
              <w:rPr>
                <w:rFonts w:hint="eastAsia" w:hAnsi="方正楷体简体"/>
                <w:color w:val="auto"/>
                <w:sz w:val="28"/>
                <w:szCs w:val="28"/>
                <w:highlight w:val="none"/>
                <w:lang w:eastAsia="zh-CN"/>
              </w:rPr>
              <w:t>食堂经费</w:t>
            </w:r>
            <w:r>
              <w:rPr>
                <w:rFonts w:hint="eastAsia" w:hAnsi="方正楷体简体"/>
                <w:color w:val="auto"/>
                <w:sz w:val="28"/>
                <w:szCs w:val="28"/>
                <w:highlight w:val="none"/>
              </w:rPr>
              <w:t>项目</w:t>
            </w:r>
          </w:p>
        </w:tc>
        <w:tc>
          <w:tcPr>
            <w:tcW w:w="4261" w:type="dxa"/>
            <w:vAlign w:val="center"/>
          </w:tcPr>
          <w:p>
            <w:pPr>
              <w:pStyle w:val="15"/>
              <w:spacing w:line="560" w:lineRule="exact"/>
              <w:ind w:firstLineChars="200"/>
              <w:jc w:val="center"/>
              <w:rPr>
                <w:rFonts w:hint="eastAsia" w:hAnsi="方正楷体简体"/>
                <w:color w:val="auto"/>
                <w:sz w:val="28"/>
                <w:szCs w:val="28"/>
                <w:highlight w:val="none"/>
              </w:rPr>
            </w:pPr>
            <w:r>
              <w:rPr>
                <w:rFonts w:hint="eastAsia" w:hAnsi="方正楷体简体"/>
                <w:color w:val="auto"/>
                <w:sz w:val="28"/>
                <w:szCs w:val="28"/>
                <w:highlight w:val="none"/>
                <w:lang w:val="en-US" w:eastAsia="zh-CN"/>
              </w:rPr>
              <w:t>10</w:t>
            </w:r>
            <w:r>
              <w:rPr>
                <w:rFonts w:hint="eastAsia" w:hAnsi="方正楷体简体"/>
                <w:color w:val="auto"/>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5"/>
              <w:spacing w:line="560" w:lineRule="exact"/>
              <w:ind w:left="0" w:leftChars="0" w:firstLine="0" w:firstLineChars="0"/>
              <w:jc w:val="both"/>
              <w:rPr>
                <w:rFonts w:hint="eastAsia" w:hAnsi="方正楷体简体"/>
                <w:color w:val="auto"/>
                <w:sz w:val="28"/>
                <w:szCs w:val="28"/>
                <w:highlight w:val="none"/>
              </w:rPr>
            </w:pPr>
            <w:r>
              <w:rPr>
                <w:rFonts w:hint="eastAsia" w:hAnsi="方正楷体简体"/>
                <w:color w:val="auto"/>
                <w:sz w:val="28"/>
                <w:szCs w:val="28"/>
                <w:highlight w:val="none"/>
                <w:lang w:eastAsia="zh-CN"/>
              </w:rPr>
              <w:t>扶贫工作业务经费</w:t>
            </w:r>
            <w:r>
              <w:rPr>
                <w:rFonts w:hint="eastAsia" w:hAnsi="方正楷体简体"/>
                <w:color w:val="auto"/>
                <w:sz w:val="28"/>
                <w:szCs w:val="28"/>
                <w:highlight w:val="none"/>
              </w:rPr>
              <w:t>项目</w:t>
            </w:r>
          </w:p>
        </w:tc>
        <w:tc>
          <w:tcPr>
            <w:tcW w:w="4261" w:type="dxa"/>
            <w:vAlign w:val="center"/>
          </w:tcPr>
          <w:p>
            <w:pPr>
              <w:pStyle w:val="15"/>
              <w:spacing w:line="560" w:lineRule="exact"/>
              <w:ind w:firstLineChars="200"/>
              <w:jc w:val="center"/>
              <w:rPr>
                <w:rFonts w:hint="eastAsia" w:hAnsi="方正楷体简体"/>
                <w:color w:val="auto"/>
                <w:sz w:val="28"/>
                <w:szCs w:val="28"/>
                <w:highlight w:val="none"/>
              </w:rPr>
            </w:pPr>
            <w:r>
              <w:rPr>
                <w:rFonts w:hint="eastAsia" w:hAnsi="方正楷体简体"/>
                <w:color w:val="auto"/>
                <w:sz w:val="28"/>
                <w:szCs w:val="28"/>
                <w:highlight w:val="none"/>
                <w:lang w:val="en-US" w:eastAsia="zh-CN"/>
              </w:rPr>
              <w:t>33.15</w:t>
            </w:r>
            <w:r>
              <w:rPr>
                <w:rFonts w:hint="eastAsia" w:hAnsi="方正楷体简体"/>
                <w:color w:val="auto"/>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5"/>
              <w:spacing w:line="560" w:lineRule="exact"/>
              <w:ind w:left="0" w:leftChars="0" w:firstLine="0" w:firstLineChars="0"/>
              <w:jc w:val="both"/>
              <w:rPr>
                <w:rFonts w:hint="default" w:hAnsi="方正楷体简体"/>
                <w:color w:val="auto"/>
                <w:sz w:val="28"/>
                <w:szCs w:val="28"/>
                <w:highlight w:val="none"/>
                <w:lang w:val="en-US" w:eastAsia="zh-CN"/>
              </w:rPr>
            </w:pPr>
            <w:r>
              <w:rPr>
                <w:rFonts w:hint="eastAsia" w:hAnsi="方正楷体简体"/>
                <w:color w:val="auto"/>
                <w:sz w:val="28"/>
                <w:szCs w:val="28"/>
                <w:highlight w:val="none"/>
                <w:lang w:eastAsia="zh-CN"/>
              </w:rPr>
              <w:t>脱贫攻坚巩固提升工作经费项目</w:t>
            </w:r>
          </w:p>
        </w:tc>
        <w:tc>
          <w:tcPr>
            <w:tcW w:w="4261" w:type="dxa"/>
            <w:vAlign w:val="center"/>
          </w:tcPr>
          <w:p>
            <w:pPr>
              <w:pStyle w:val="15"/>
              <w:spacing w:line="560" w:lineRule="exact"/>
              <w:ind w:firstLineChars="200"/>
              <w:jc w:val="center"/>
              <w:rPr>
                <w:rFonts w:hint="default" w:hAnsi="方正楷体简体" w:eastAsia="仿宋_GB2312"/>
                <w:color w:val="auto"/>
                <w:sz w:val="28"/>
                <w:szCs w:val="28"/>
                <w:highlight w:val="none"/>
                <w:lang w:val="en-US" w:eastAsia="zh-CN"/>
              </w:rPr>
            </w:pPr>
            <w:r>
              <w:rPr>
                <w:rFonts w:hint="eastAsia" w:hAnsi="方正楷体简体"/>
                <w:color w:val="auto"/>
                <w:sz w:val="28"/>
                <w:szCs w:val="28"/>
                <w:highlight w:val="none"/>
                <w:lang w:val="en-US" w:eastAsia="zh-CN"/>
              </w:rPr>
              <w:t>23万元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261" w:type="dxa"/>
            <w:vAlign w:val="center"/>
          </w:tcPr>
          <w:p>
            <w:pPr>
              <w:pStyle w:val="12"/>
              <w:spacing w:line="560" w:lineRule="exact"/>
              <w:ind w:left="0" w:leftChars="0" w:firstLine="0" w:firstLineChars="0"/>
              <w:rPr>
                <w:rFonts w:hint="eastAsia" w:ascii="仿宋_GB2312" w:hAnsi="仿宋" w:eastAsia="仿宋_GB2312" w:cs="宋体"/>
                <w:color w:val="auto"/>
                <w:sz w:val="28"/>
                <w:szCs w:val="28"/>
                <w:highlight w:val="none"/>
                <w:lang w:eastAsia="zh-CN"/>
              </w:rPr>
            </w:pPr>
            <w:r>
              <w:rPr>
                <w:rFonts w:hint="eastAsia" w:ascii="仿宋_GB2312" w:hAnsi="仿宋" w:eastAsia="仿宋_GB2312" w:cs="宋体"/>
                <w:color w:val="auto"/>
                <w:sz w:val="28"/>
                <w:szCs w:val="28"/>
                <w:highlight w:val="none"/>
                <w:lang w:eastAsia="zh-CN"/>
              </w:rPr>
              <w:t>脱贫攻坚观摩会工作经费项目</w:t>
            </w:r>
          </w:p>
        </w:tc>
        <w:tc>
          <w:tcPr>
            <w:tcW w:w="4261" w:type="dxa"/>
            <w:vAlign w:val="center"/>
          </w:tcPr>
          <w:p>
            <w:pPr>
              <w:pStyle w:val="12"/>
              <w:spacing w:line="560" w:lineRule="exact"/>
              <w:jc w:val="center"/>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60.41万元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32"/>
                <w:szCs w:val="32"/>
                <w:highlight w:val="none"/>
                <w:lang w:eastAsia="zh-CN"/>
              </w:rPr>
              <w:t>感恩墙制作费项目</w:t>
            </w:r>
          </w:p>
        </w:tc>
        <w:tc>
          <w:tcPr>
            <w:tcW w:w="4261" w:type="dxa"/>
            <w:vAlign w:val="center"/>
          </w:tcPr>
          <w:p>
            <w:pPr>
              <w:pStyle w:val="12"/>
              <w:spacing w:line="560" w:lineRule="exact"/>
              <w:ind w:firstLine="200" w:firstLineChars="0"/>
              <w:jc w:val="center"/>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47.59万元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left="0" w:leftChars="0" w:firstLine="0" w:firstLineChars="0"/>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28"/>
                <w:szCs w:val="28"/>
                <w:highlight w:val="none"/>
                <w:lang w:eastAsia="zh-CN"/>
              </w:rPr>
              <w:t>农村“厕改”工作业务经费项目</w:t>
            </w:r>
          </w:p>
        </w:tc>
        <w:tc>
          <w:tcPr>
            <w:tcW w:w="4261" w:type="dxa"/>
            <w:vAlign w:val="center"/>
          </w:tcPr>
          <w:p>
            <w:pPr>
              <w:pStyle w:val="12"/>
              <w:spacing w:line="560" w:lineRule="exact"/>
              <w:ind w:firstLine="200" w:firstLineChars="0"/>
              <w:jc w:val="center"/>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4261" w:type="dxa"/>
            <w:vAlign w:val="center"/>
          </w:tcPr>
          <w:p>
            <w:pPr>
              <w:pStyle w:val="12"/>
              <w:spacing w:line="560" w:lineRule="exact"/>
              <w:ind w:left="0" w:leftChars="0" w:firstLine="0" w:firstLineChars="0"/>
              <w:rPr>
                <w:rFonts w:hint="eastAsia" w:ascii="仿宋_GB2312" w:hAnsi="仿宋" w:eastAsia="仿宋_GB2312" w:cs="宋体"/>
                <w:color w:val="auto"/>
                <w:sz w:val="28"/>
                <w:szCs w:val="28"/>
                <w:highlight w:val="none"/>
                <w:lang w:eastAsia="zh-CN"/>
              </w:rPr>
            </w:pPr>
            <w:r>
              <w:rPr>
                <w:rFonts w:hint="eastAsia" w:ascii="仿宋_GB2312" w:hAnsi="仿宋" w:eastAsia="仿宋_GB2312" w:cs="宋体"/>
                <w:color w:val="auto"/>
                <w:sz w:val="28"/>
                <w:szCs w:val="28"/>
                <w:highlight w:val="none"/>
                <w:lang w:eastAsia="zh-CN"/>
              </w:rPr>
              <w:t>2021年自治区“访惠聚”驻村工作经费</w:t>
            </w:r>
          </w:p>
        </w:tc>
        <w:tc>
          <w:tcPr>
            <w:tcW w:w="4261" w:type="dxa"/>
            <w:vAlign w:val="center"/>
          </w:tcPr>
          <w:p>
            <w:pPr>
              <w:pStyle w:val="12"/>
              <w:spacing w:line="560" w:lineRule="exact"/>
              <w:ind w:left="0" w:leftChars="0" w:firstLine="0" w:firstLineChars="0"/>
              <w:jc w:val="center"/>
              <w:rPr>
                <w:rFonts w:hint="default" w:ascii="仿宋_GB2312" w:hAnsi="方正楷体简体" w:eastAsia="仿宋_GB2312" w:cs="宋体"/>
                <w:color w:val="auto"/>
                <w:kern w:val="2"/>
                <w:sz w:val="28"/>
                <w:szCs w:val="28"/>
                <w:highlight w:val="none"/>
                <w:lang w:val="en-US" w:eastAsia="zh-CN" w:bidi="ar-SA"/>
              </w:rPr>
            </w:pPr>
            <w:r>
              <w:rPr>
                <w:rFonts w:hint="eastAsia" w:ascii="仿宋_GB2312" w:hAnsi="方正楷体简体" w:eastAsia="仿宋_GB2312" w:cs="宋体"/>
                <w:color w:val="auto"/>
                <w:kern w:val="2"/>
                <w:sz w:val="28"/>
                <w:szCs w:val="28"/>
                <w:highlight w:val="none"/>
                <w:lang w:val="en-US" w:eastAsia="zh-CN" w:bidi="ar-SA"/>
              </w:rPr>
              <w:t>10万元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w:t>
      </w:r>
      <w:r>
        <w:rPr>
          <w:rFonts w:hint="eastAsia" w:ascii="仿宋_GB2312" w:hAnsi="方正楷体简体" w:eastAsia="仿宋_GB2312" w:cs="宋体"/>
          <w:color w:val="auto"/>
          <w:sz w:val="32"/>
          <w:szCs w:val="32"/>
          <w:highlight w:val="none"/>
        </w:rPr>
        <w:t>建立了</w:t>
      </w:r>
      <w:r>
        <w:rPr>
          <w:rFonts w:hint="eastAsia" w:ascii="仿宋_GB2312" w:hAnsi="方正楷体简体" w:eastAsia="仿宋_GB2312" w:cs="宋体"/>
          <w:color w:val="auto"/>
          <w:sz w:val="32"/>
          <w:szCs w:val="32"/>
          <w:highlight w:val="none"/>
          <w:lang w:eastAsia="zh-CN"/>
        </w:rPr>
        <w:t>乡村振兴局财务管理</w:t>
      </w:r>
      <w:r>
        <w:rPr>
          <w:rFonts w:hint="eastAsia" w:ascii="仿宋_GB2312" w:hAnsi="方正楷体简体" w:eastAsia="仿宋_GB2312" w:cs="宋体"/>
          <w:color w:val="auto"/>
          <w:sz w:val="32"/>
          <w:szCs w:val="32"/>
          <w:highlight w:val="none"/>
        </w:rPr>
        <w:t>制度，</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 xml:space="preserve">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w:t>
      </w:r>
      <w:r>
        <w:rPr>
          <w:rFonts w:hint="eastAsia" w:ascii="仿宋_GB2312" w:hAnsi="方正楷体简体" w:eastAsia="仿宋_GB2312" w:cs="宋体"/>
          <w:color w:val="auto"/>
          <w:sz w:val="32"/>
          <w:szCs w:val="32"/>
          <w:highlight w:val="none"/>
        </w:rPr>
        <w:t>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和田市乡村振兴局</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406.09</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lang w:val="en-US" w:eastAsia="zh-CN"/>
        </w:rPr>
        <w:t>68.51</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37.58</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406.09</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3.04</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4.8</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4.8</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3.04</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3.04</w:t>
      </w:r>
      <w:r>
        <w:rPr>
          <w:rFonts w:hint="eastAsia" w:ascii="仿宋_GB2312" w:hAnsi="方正楷体简体" w:eastAsia="仿宋_GB2312" w:cs="宋体"/>
          <w:color w:val="auto"/>
          <w:sz w:val="32"/>
          <w:szCs w:val="32"/>
          <w:highlight w:val="none"/>
        </w:rPr>
        <w:t>万元，，较20</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6.59</w:t>
      </w:r>
      <w:r>
        <w:rPr>
          <w:rFonts w:hint="eastAsia" w:ascii="仿宋_GB2312" w:hAnsi="方正楷体简体" w:eastAsia="仿宋_GB2312" w:cs="宋体"/>
          <w:color w:val="auto"/>
          <w:sz w:val="32"/>
          <w:szCs w:val="32"/>
          <w:highlight w:val="none"/>
        </w:rPr>
        <w:t>万</w:t>
      </w:r>
      <w:r>
        <w:rPr>
          <w:rFonts w:hint="eastAsia" w:ascii="仿宋_GB2312" w:hAnsi="方正楷体简体" w:eastAsia="仿宋_GB2312" w:cs="宋体"/>
          <w:color w:val="auto"/>
          <w:sz w:val="32"/>
          <w:szCs w:val="32"/>
          <w:highlight w:val="none"/>
        </w:rPr>
        <w:t>元，</w:t>
      </w:r>
      <w:r>
        <w:rPr>
          <w:rFonts w:hint="eastAsia" w:ascii="仿宋_GB2312" w:hAnsi="方正楷体简体" w:eastAsia="仿宋_GB2312" w:cs="宋体"/>
          <w:color w:val="auto"/>
          <w:sz w:val="32"/>
          <w:szCs w:val="32"/>
          <w:highlight w:val="none"/>
        </w:rPr>
        <w:t>下降</w:t>
      </w:r>
      <w:r>
        <w:rPr>
          <w:rFonts w:hint="eastAsia" w:ascii="仿宋_GB2312" w:hAnsi="方正楷体简体" w:eastAsia="仿宋_GB2312" w:cs="宋体"/>
          <w:color w:val="auto"/>
          <w:sz w:val="32"/>
          <w:szCs w:val="32"/>
          <w:highlight w:val="none"/>
          <w:lang w:val="en-US" w:eastAsia="zh-CN"/>
        </w:rPr>
        <w:t>53.88</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firstLineChars="0"/>
              <w:jc w:val="center"/>
              <w:rPr>
                <w:rFonts w:hint="eastAsia" w:ascii="仿宋_GB2312" w:hAnsi="仿宋" w:eastAsia="仿宋_GB2312" w:cs="宋体"/>
                <w:color w:val="auto"/>
                <w:kern w:val="0"/>
                <w:sz w:val="22"/>
                <w:szCs w:val="22"/>
                <w:highlight w:val="none"/>
                <w:lang w:val="en-US" w:eastAsia="zh-CN" w:bidi="ar-SA"/>
              </w:rPr>
            </w:pPr>
            <w:r>
              <w:rPr>
                <w:rFonts w:hint="eastAsia" w:ascii="仿宋_GB2312" w:hAnsi="仿宋" w:eastAsia="仿宋_GB2312" w:cs="宋体"/>
                <w:color w:val="auto"/>
                <w:kern w:val="0"/>
                <w:sz w:val="22"/>
                <w:szCs w:val="22"/>
                <w:highlight w:val="none"/>
                <w:lang w:val="en-US" w:eastAsia="zh-CN"/>
              </w:rPr>
              <w:t>2021年自治区“访惠聚”驻村工作经费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jc w:val="both"/>
              <w:rPr>
                <w:rFonts w:hint="eastAsia" w:ascii="仿宋_GB2312" w:hAnsi="仿宋" w:eastAsia="仿宋_GB2312" w:cs="宋体"/>
                <w:color w:val="auto"/>
                <w:kern w:val="0"/>
                <w:sz w:val="22"/>
                <w:szCs w:val="22"/>
                <w:highlight w:val="none"/>
                <w:lang w:val="en-US" w:eastAsia="zh-CN" w:bidi="ar-SA"/>
              </w:rPr>
            </w:pPr>
            <w:r>
              <w:rPr>
                <w:rFonts w:hint="eastAsia" w:ascii="仿宋_GB2312" w:hAnsi="仿宋" w:eastAsia="仿宋_GB2312" w:cs="宋体"/>
                <w:color w:val="auto"/>
                <w:kern w:val="0"/>
                <w:sz w:val="22"/>
                <w:szCs w:val="22"/>
                <w:highlight w:val="none"/>
                <w:lang w:val="en-US" w:eastAsia="zh-CN"/>
              </w:rPr>
              <w:t>10万元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jc w:val="both"/>
              <w:rPr>
                <w:rFonts w:hint="default" w:ascii="仿宋_GB2312" w:hAnsi="仿宋" w:eastAsia="仿宋_GB2312" w:cs="宋体"/>
                <w:color w:val="auto"/>
                <w:kern w:val="0"/>
                <w:sz w:val="22"/>
                <w:szCs w:val="22"/>
                <w:highlight w:val="none"/>
                <w:lang w:val="en-US" w:eastAsia="zh-CN" w:bidi="ar-SA"/>
              </w:rPr>
            </w:pPr>
            <w:r>
              <w:rPr>
                <w:rFonts w:hint="eastAsia" w:ascii="仿宋_GB2312" w:hAnsi="仿宋" w:eastAsia="仿宋_GB2312" w:cs="宋体"/>
                <w:color w:val="auto"/>
                <w:kern w:val="0"/>
                <w:sz w:val="22"/>
                <w:szCs w:val="22"/>
                <w:highlight w:val="none"/>
                <w:lang w:val="en-US" w:eastAsia="zh-CN"/>
              </w:rPr>
              <w:t>10万元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jc w:val="center"/>
              <w:rPr>
                <w:rFonts w:hint="eastAsia" w:ascii="仿宋_GB2312" w:hAnsi="仿宋" w:eastAsia="仿宋_GB2312" w:cs="宋体"/>
                <w:color w:val="auto"/>
                <w:kern w:val="0"/>
                <w:sz w:val="22"/>
                <w:szCs w:val="22"/>
                <w:highlight w:val="none"/>
                <w:lang w:val="en-US" w:eastAsia="zh-CN" w:bidi="ar-SA"/>
              </w:rPr>
            </w:pPr>
            <w:r>
              <w:rPr>
                <w:rFonts w:hint="eastAsia" w:ascii="仿宋_GB2312" w:hAnsi="仿宋" w:eastAsia="仿宋_GB2312" w:cs="宋体"/>
                <w:color w:val="auto"/>
                <w:kern w:val="0"/>
                <w:sz w:val="22"/>
                <w:szCs w:val="22"/>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jc w:val="center"/>
              <w:rPr>
                <w:rFonts w:hint="eastAsia" w:ascii="仿宋_GB2312" w:hAnsi="仿宋" w:eastAsia="仿宋_GB2312" w:cs="宋体"/>
                <w:color w:val="auto"/>
                <w:kern w:val="0"/>
                <w:sz w:val="22"/>
                <w:szCs w:val="22"/>
                <w:highlight w:val="none"/>
                <w:lang w:val="en-US" w:eastAsia="zh-CN" w:bidi="ar-SA"/>
              </w:rPr>
            </w:pPr>
            <w:r>
              <w:rPr>
                <w:rFonts w:hint="eastAsia" w:ascii="仿宋" w:hAnsi="仿宋" w:eastAsia="仿宋" w:cs="Times New Roman"/>
                <w:bCs/>
                <w:color w:val="auto"/>
                <w:sz w:val="22"/>
                <w:szCs w:val="22"/>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firstLineChars="0"/>
              <w:jc w:val="center"/>
              <w:rPr>
                <w:rFonts w:hint="eastAsia" w:ascii="仿宋_GB2312" w:hAnsi="仿宋" w:eastAsia="仿宋_GB2312" w:cs="宋体"/>
                <w:color w:val="auto"/>
                <w:kern w:val="0"/>
                <w:sz w:val="22"/>
                <w:szCs w:val="22"/>
                <w:highlight w:val="none"/>
                <w:lang w:val="en-US" w:eastAsia="zh-CN"/>
              </w:rPr>
            </w:pPr>
            <w:r>
              <w:rPr>
                <w:rFonts w:hint="eastAsia" w:ascii="仿宋_GB2312" w:hAnsi="仿宋" w:eastAsia="仿宋_GB2312" w:cs="宋体"/>
                <w:color w:val="auto"/>
                <w:kern w:val="0"/>
                <w:sz w:val="22"/>
                <w:szCs w:val="22"/>
                <w:highlight w:val="none"/>
                <w:lang w:val="en-US" w:eastAsia="zh-CN"/>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jc w:val="both"/>
              <w:rPr>
                <w:rFonts w:hint="default" w:ascii="仿宋_GB2312" w:hAnsi="仿宋" w:eastAsia="仿宋_GB2312" w:cs="宋体"/>
                <w:color w:val="auto"/>
                <w:kern w:val="0"/>
                <w:sz w:val="22"/>
                <w:szCs w:val="22"/>
                <w:highlight w:val="none"/>
                <w:lang w:val="en-US" w:eastAsia="zh-CN"/>
              </w:rPr>
            </w:pPr>
            <w:r>
              <w:rPr>
                <w:rFonts w:hint="eastAsia" w:ascii="仿宋_GB2312" w:hAnsi="仿宋" w:eastAsia="仿宋_GB2312" w:cs="宋体"/>
                <w:color w:val="auto"/>
                <w:kern w:val="0"/>
                <w:sz w:val="22"/>
                <w:szCs w:val="22"/>
                <w:highlight w:val="none"/>
                <w:lang w:val="en-US" w:eastAsia="zh-CN"/>
              </w:rPr>
              <w:t>10万元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jc w:val="both"/>
              <w:rPr>
                <w:rFonts w:hint="default" w:ascii="仿宋_GB2312" w:hAnsi="仿宋" w:eastAsia="仿宋_GB2312" w:cs="宋体"/>
                <w:color w:val="auto"/>
                <w:kern w:val="0"/>
                <w:sz w:val="22"/>
                <w:szCs w:val="22"/>
                <w:highlight w:val="none"/>
                <w:lang w:val="en-US" w:eastAsia="zh-CN"/>
              </w:rPr>
            </w:pPr>
            <w:r>
              <w:rPr>
                <w:rFonts w:hint="eastAsia" w:ascii="仿宋_GB2312" w:hAnsi="仿宋" w:eastAsia="仿宋_GB2312" w:cs="宋体"/>
                <w:color w:val="auto"/>
                <w:kern w:val="0"/>
                <w:sz w:val="22"/>
                <w:szCs w:val="22"/>
                <w:highlight w:val="none"/>
                <w:lang w:val="en-US" w:eastAsia="zh-CN"/>
              </w:rPr>
              <w:t>10万元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jc w:val="center"/>
              <w:rPr>
                <w:rFonts w:hint="default" w:ascii="仿宋_GB2312" w:hAnsi="仿宋" w:eastAsia="仿宋_GB2312" w:cs="宋体"/>
                <w:color w:val="auto"/>
                <w:kern w:val="0"/>
                <w:sz w:val="22"/>
                <w:szCs w:val="22"/>
                <w:highlight w:val="none"/>
                <w:lang w:val="en-US" w:eastAsia="zh-CN"/>
              </w:rPr>
            </w:pPr>
            <w:r>
              <w:rPr>
                <w:rFonts w:hint="eastAsia" w:ascii="仿宋_GB2312" w:hAnsi="仿宋" w:eastAsia="仿宋_GB2312" w:cs="宋体"/>
                <w:color w:val="auto"/>
                <w:kern w:val="0"/>
                <w:sz w:val="22"/>
                <w:szCs w:val="22"/>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jc w:val="center"/>
              <w:rPr>
                <w:rFonts w:hint="eastAsia" w:ascii="仿宋_GB2312" w:hAnsi="仿宋" w:eastAsia="仿宋_GB2312" w:cs="宋体"/>
                <w:color w:val="auto"/>
                <w:kern w:val="0"/>
                <w:sz w:val="22"/>
                <w:szCs w:val="22"/>
                <w:highlight w:val="none"/>
                <w:lang w:val="en-US" w:eastAsia="zh-CN"/>
              </w:rPr>
            </w:pPr>
            <w:r>
              <w:rPr>
                <w:rFonts w:hint="eastAsia" w:ascii="仿宋_GB2312" w:hAnsi="仿宋" w:eastAsia="仿宋_GB2312" w:cs="宋体"/>
                <w:color w:val="auto"/>
                <w:kern w:val="0"/>
                <w:sz w:val="22"/>
                <w:szCs w:val="22"/>
                <w:highlight w:val="none"/>
                <w:lang w:val="en-US" w:eastAsia="zh-CN"/>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rStyle w:val="10"/>
          <w:rFonts w:ascii="黑体" w:hAnsi="黑体" w:eastAsia="黑体" w:cs="Times New Roman"/>
          <w:b w:val="0"/>
          <w:color w:val="auto"/>
          <w:spacing w:val="-4"/>
          <w:sz w:val="32"/>
          <w:szCs w:val="32"/>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lang w:val="en-US" w:eastAsia="zh-CN"/>
        </w:rPr>
        <w:t xml:space="preserve">    </w:t>
      </w: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204.15</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204.15</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48.23</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23.6</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w:t>
      </w:r>
      <w:r>
        <w:rPr>
          <w:rStyle w:val="10"/>
          <w:rFonts w:hint="eastAsia" w:ascii="仿宋_GB2312" w:hAnsi="黑体" w:eastAsia="仿宋_GB2312" w:cs="Times New Roman"/>
          <w:b w:val="0"/>
          <w:color w:val="auto"/>
          <w:spacing w:val="-4"/>
          <w:sz w:val="32"/>
          <w:szCs w:val="32"/>
          <w:highlight w:val="none"/>
        </w:rPr>
        <w:t>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hint="default" w:ascii="仿宋_GB2312" w:hAnsi="黑体" w:eastAsia="仿宋_GB2312" w:cs="Times New Roman"/>
          <w:b w:val="0"/>
          <w:color w:val="auto"/>
          <w:spacing w:val="-4"/>
          <w:sz w:val="32"/>
          <w:szCs w:val="32"/>
          <w:highlight w:val="none"/>
          <w:lang w:val="en-US"/>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23.6</w:t>
      </w:r>
      <w:r>
        <w:rPr>
          <w:rStyle w:val="10"/>
          <w:rFonts w:hint="eastAsia" w:ascii="仿宋_GB2312" w:hAnsi="黑体" w:eastAsia="仿宋_GB2312" w:cs="Times New Roman"/>
          <w:b w:val="0"/>
          <w:color w:val="auto"/>
          <w:spacing w:val="-4"/>
          <w:sz w:val="32"/>
          <w:szCs w:val="32"/>
          <w:highlight w:val="none"/>
        </w:rPr>
        <w:t>%。</w:t>
      </w:r>
      <w:r>
        <w:rPr>
          <w:rFonts w:hint="eastAsia" w:ascii="仿宋_GB2312" w:hAnsi="仿宋" w:eastAsia="仿宋_GB2312" w:cs="Times New Roman"/>
          <w:bCs/>
          <w:color w:val="auto"/>
          <w:sz w:val="32"/>
          <w:szCs w:val="32"/>
          <w:highlight w:val="none"/>
          <w:lang w:eastAsia="zh-CN"/>
        </w:rPr>
        <w:t>扶贫工作业务经费项目预算总金额</w:t>
      </w:r>
      <w:r>
        <w:rPr>
          <w:rFonts w:hint="eastAsia" w:ascii="仿宋_GB2312" w:hAnsi="仿宋" w:eastAsia="仿宋_GB2312" w:cs="Times New Roman"/>
          <w:bCs/>
          <w:color w:val="auto"/>
          <w:sz w:val="32"/>
          <w:szCs w:val="32"/>
          <w:highlight w:val="none"/>
          <w:lang w:val="en-US" w:eastAsia="zh-CN"/>
        </w:rPr>
        <w:t>33.15万元，支出19.03万元，原因是相关部门报账不及时，部分资金未形成支出。脱贫攻坚巩固提升工作经费项目预算资金23万元，支出5.2万元，原因是相关部门报账不及时，部分资金未形成支出。食堂经费项目预算资金10万元，支出10万元。脱贫攻坚观摩会工作经费项目预算资金60.41万元，未形成支出。感恩墙制作费项目预算资金47.59万元，未形成支出。农村“厕改”工作业务经费项目预算资金20万元，支出4万元，</w:t>
      </w:r>
      <w:r>
        <w:rPr>
          <w:rFonts w:hint="eastAsia" w:ascii="仿宋_GB2312" w:hAnsi="仿宋" w:eastAsia="仿宋_GB2312" w:cs="Times New Roman"/>
          <w:bCs/>
          <w:color w:val="auto"/>
          <w:kern w:val="2"/>
          <w:sz w:val="32"/>
          <w:szCs w:val="32"/>
          <w:highlight w:val="none"/>
          <w:lang w:val="en-US" w:eastAsia="zh-CN" w:bidi="ar-SA"/>
        </w:rPr>
        <w:t>根据2021年实际工作开展情况支付资金。</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28.5</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个项目未完成，</w:t>
      </w:r>
      <w:r>
        <w:rPr>
          <w:rStyle w:val="10"/>
          <w:rFonts w:hint="eastAsia" w:ascii="仿宋_GB2312" w:hAnsi="黑体" w:eastAsia="仿宋_GB2312" w:cs="Times New Roman"/>
          <w:b w:val="0"/>
          <w:color w:val="auto"/>
          <w:spacing w:val="-4"/>
          <w:sz w:val="32"/>
          <w:szCs w:val="32"/>
          <w:highlight w:val="none"/>
          <w:lang w:eastAsia="zh-CN"/>
        </w:rPr>
        <w:t>其中</w:t>
      </w:r>
      <w:r>
        <w:rPr>
          <w:rStyle w:val="10"/>
          <w:rFonts w:hint="eastAsia" w:ascii="仿宋_GB2312" w:hAnsi="黑体" w:eastAsia="仿宋_GB2312" w:cs="Times New Roman"/>
          <w:b w:val="0"/>
          <w:color w:val="auto"/>
          <w:spacing w:val="-4"/>
          <w:sz w:val="32"/>
          <w:szCs w:val="32"/>
          <w:highlight w:val="none"/>
        </w:rPr>
        <w:t>扶贫工作业务经费</w:t>
      </w:r>
      <w:r>
        <w:rPr>
          <w:rStyle w:val="10"/>
          <w:rFonts w:hint="eastAsia" w:ascii="仿宋_GB2312" w:hAnsi="黑体" w:eastAsia="仿宋_GB2312" w:cs="Times New Roman"/>
          <w:b w:val="0"/>
          <w:color w:val="auto"/>
          <w:spacing w:val="-4"/>
          <w:sz w:val="32"/>
          <w:szCs w:val="32"/>
          <w:highlight w:val="none"/>
          <w:lang w:eastAsia="zh-CN"/>
        </w:rPr>
        <w:t>、脱贫攻坚巩固提升工作经费、脱贫攻坚观摩会工作经费、感恩墙制作费项目未完成原因均为：相关部门报账</w:t>
      </w:r>
      <w:r>
        <w:rPr>
          <w:rStyle w:val="10"/>
          <w:rFonts w:hint="eastAsia" w:ascii="仿宋_GB2312" w:hAnsi="黑体" w:eastAsia="仿宋_GB2312" w:cs="Times New Roman"/>
          <w:b w:val="0"/>
          <w:color w:val="auto"/>
          <w:spacing w:val="-4"/>
          <w:sz w:val="32"/>
          <w:szCs w:val="32"/>
          <w:highlight w:val="none"/>
          <w:lang w:val="en-US" w:eastAsia="zh-CN"/>
        </w:rPr>
        <w:t>不及时。</w:t>
      </w:r>
      <w:r>
        <w:rPr>
          <w:rStyle w:val="10"/>
          <w:rFonts w:hint="eastAsia" w:ascii="仿宋_GB2312" w:hAnsi="黑体" w:eastAsia="仿宋_GB2312" w:cs="Times New Roman"/>
          <w:b w:val="0"/>
          <w:color w:val="auto"/>
          <w:spacing w:val="-4"/>
          <w:sz w:val="32"/>
          <w:szCs w:val="32"/>
          <w:highlight w:val="none"/>
          <w:lang w:eastAsia="zh-CN"/>
        </w:rPr>
        <w:t>农村“厕改”工作业务经费项目，未完成</w:t>
      </w:r>
      <w:r>
        <w:rPr>
          <w:rStyle w:val="10"/>
          <w:rFonts w:hint="eastAsia" w:ascii="仿宋_GB2312" w:hAnsi="黑体" w:eastAsia="仿宋_GB2312" w:cs="Times New Roman"/>
          <w:b w:val="0"/>
          <w:color w:val="auto"/>
          <w:spacing w:val="-4"/>
          <w:sz w:val="32"/>
          <w:szCs w:val="32"/>
          <w:highlight w:val="none"/>
        </w:rPr>
        <w:t>原因是</w:t>
      </w:r>
      <w:r>
        <w:rPr>
          <w:rStyle w:val="10"/>
          <w:rFonts w:hint="eastAsia" w:ascii="仿宋_GB2312" w:hAnsi="黑体" w:eastAsia="仿宋_GB2312" w:cs="Times New Roman"/>
          <w:b w:val="0"/>
          <w:color w:val="auto"/>
          <w:spacing w:val="-4"/>
          <w:sz w:val="32"/>
          <w:szCs w:val="32"/>
          <w:highlight w:val="none"/>
          <w:lang w:eastAsia="zh-CN"/>
        </w:rPr>
        <w:t>按照项目实际进展情况支付资金。</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28.5</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个项目未完成，</w:t>
      </w:r>
      <w:r>
        <w:rPr>
          <w:rStyle w:val="10"/>
          <w:rFonts w:hint="eastAsia" w:ascii="仿宋_GB2312" w:hAnsi="黑体" w:eastAsia="仿宋_GB2312" w:cs="Times New Roman"/>
          <w:b w:val="0"/>
          <w:color w:val="auto"/>
          <w:spacing w:val="-4"/>
          <w:sz w:val="32"/>
          <w:szCs w:val="32"/>
          <w:highlight w:val="none"/>
          <w:lang w:eastAsia="zh-CN"/>
        </w:rPr>
        <w:t>其中</w:t>
      </w:r>
      <w:r>
        <w:rPr>
          <w:rStyle w:val="10"/>
          <w:rFonts w:hint="eastAsia" w:ascii="仿宋_GB2312" w:hAnsi="黑体" w:eastAsia="仿宋_GB2312" w:cs="Times New Roman"/>
          <w:b w:val="0"/>
          <w:color w:val="auto"/>
          <w:spacing w:val="-4"/>
          <w:sz w:val="32"/>
          <w:szCs w:val="32"/>
          <w:highlight w:val="none"/>
        </w:rPr>
        <w:t>扶贫工作业务经费</w:t>
      </w:r>
      <w:r>
        <w:rPr>
          <w:rStyle w:val="10"/>
          <w:rFonts w:hint="eastAsia" w:ascii="仿宋_GB2312" w:hAnsi="黑体" w:eastAsia="仿宋_GB2312" w:cs="Times New Roman"/>
          <w:b w:val="0"/>
          <w:color w:val="auto"/>
          <w:spacing w:val="-4"/>
          <w:sz w:val="32"/>
          <w:szCs w:val="32"/>
          <w:highlight w:val="none"/>
          <w:lang w:eastAsia="zh-CN"/>
        </w:rPr>
        <w:t>、脱贫攻坚巩固提升工作经费、脱贫攻坚观摩会工作经费、感恩墙制作费项目未完成原因均为：相关部门报账</w:t>
      </w:r>
      <w:r>
        <w:rPr>
          <w:rStyle w:val="10"/>
          <w:rFonts w:hint="eastAsia" w:ascii="仿宋_GB2312" w:hAnsi="黑体" w:eastAsia="仿宋_GB2312" w:cs="Times New Roman"/>
          <w:b w:val="0"/>
          <w:color w:val="auto"/>
          <w:spacing w:val="-4"/>
          <w:sz w:val="32"/>
          <w:szCs w:val="32"/>
          <w:highlight w:val="none"/>
          <w:lang w:val="en-US" w:eastAsia="zh-CN"/>
        </w:rPr>
        <w:t>不及时。</w:t>
      </w:r>
      <w:r>
        <w:rPr>
          <w:rStyle w:val="10"/>
          <w:rFonts w:hint="eastAsia" w:ascii="仿宋_GB2312" w:hAnsi="黑体" w:eastAsia="仿宋_GB2312" w:cs="Times New Roman"/>
          <w:b w:val="0"/>
          <w:color w:val="auto"/>
          <w:spacing w:val="-4"/>
          <w:sz w:val="32"/>
          <w:szCs w:val="32"/>
          <w:highlight w:val="none"/>
          <w:lang w:eastAsia="zh-CN"/>
        </w:rPr>
        <w:t>农村“厕改”工作业务经费项目，未完成</w:t>
      </w:r>
      <w:r>
        <w:rPr>
          <w:rStyle w:val="10"/>
          <w:rFonts w:hint="eastAsia" w:ascii="仿宋_GB2312" w:hAnsi="黑体" w:eastAsia="仿宋_GB2312" w:cs="Times New Roman"/>
          <w:b w:val="0"/>
          <w:color w:val="auto"/>
          <w:spacing w:val="-4"/>
          <w:sz w:val="32"/>
          <w:szCs w:val="32"/>
          <w:highlight w:val="none"/>
        </w:rPr>
        <w:t>原因是</w:t>
      </w:r>
      <w:r>
        <w:rPr>
          <w:rStyle w:val="10"/>
          <w:rFonts w:hint="eastAsia" w:ascii="仿宋_GB2312" w:hAnsi="黑体" w:eastAsia="仿宋_GB2312" w:cs="Times New Roman"/>
          <w:b w:val="0"/>
          <w:color w:val="auto"/>
          <w:spacing w:val="-4"/>
          <w:sz w:val="32"/>
          <w:szCs w:val="32"/>
          <w:highlight w:val="none"/>
          <w:lang w:eastAsia="zh-CN"/>
        </w:rPr>
        <w:t>按照项目实际进展情况支付资金。</w:t>
      </w: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numPr>
          <w:numId w:val="0"/>
        </w:numPr>
        <w:spacing w:line="560" w:lineRule="exact"/>
        <w:ind w:firstLine="640" w:firstLineChars="200"/>
        <w:rPr>
          <w:rStyle w:val="10"/>
          <w:rFonts w:ascii="仿宋_GB2312" w:hAnsi="黑体" w:eastAsia="仿宋_GB2312" w:cs="Times New Roman"/>
          <w:b w:val="0"/>
          <w:color w:val="auto"/>
          <w:spacing w:val="-4"/>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7</w:t>
      </w:r>
      <w:r>
        <w:rPr>
          <w:rStyle w:val="10"/>
          <w:rFonts w:hint="eastAsia" w:ascii="仿宋_GB2312" w:hAnsi="黑体" w:eastAsia="仿宋_GB2312" w:cs="Times New Roman"/>
          <w:b w:val="0"/>
          <w:color w:val="auto"/>
          <w:spacing w:val="-4"/>
          <w:sz w:val="32"/>
          <w:szCs w:val="32"/>
          <w:highlight w:val="none"/>
        </w:rPr>
        <w:t>个项目，通过项目的实施带来的效益：</w:t>
      </w:r>
      <w:r>
        <w:rPr>
          <w:rFonts w:hint="eastAsia" w:ascii="仿宋_GB2312" w:hAnsi="方正楷体简体" w:eastAsia="仿宋_GB2312" w:cs="宋体"/>
          <w:color w:val="auto"/>
          <w:sz w:val="32"/>
          <w:szCs w:val="32"/>
          <w:highlight w:val="none"/>
          <w:lang w:eastAsia="zh-CN"/>
        </w:rPr>
        <w:t>有效衔接乡村振兴，</w:t>
      </w:r>
      <w:r>
        <w:rPr>
          <w:rFonts w:hint="eastAsia" w:ascii="仿宋_GB2312" w:hAnsi="方正楷体简体" w:eastAsia="仿宋_GB2312" w:cs="宋体"/>
          <w:color w:val="auto"/>
          <w:sz w:val="32"/>
          <w:szCs w:val="32"/>
          <w:highlight w:val="none"/>
        </w:rPr>
        <w:t>抓住用好乡村振兴战略的机遇，加快推进农业农村现代化步伐；</w:t>
      </w:r>
      <w:r>
        <w:rPr>
          <w:rFonts w:hint="eastAsia" w:ascii="仿宋_GB2312" w:hAnsi="方正楷体简体" w:eastAsia="仿宋_GB2312" w:cs="宋体"/>
          <w:color w:val="auto"/>
          <w:sz w:val="32"/>
          <w:szCs w:val="32"/>
          <w:highlight w:val="none"/>
          <w:lang w:eastAsia="zh-CN"/>
        </w:rPr>
        <w:t>管理全市扶贫项目档案，保障乡村振兴衔接项目有效促进增收；宣传脱贫攻坚成果，确保乡村振兴业务正常开展，保障和田市乡村振兴局日常运转。</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14</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77.8</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保障单位干部职工工资正常发放人数，预期指标是20人，实际完成值是2</w:t>
      </w: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rPr>
        <w:t>人，指标完成率是</w:t>
      </w:r>
      <w:r>
        <w:rPr>
          <w:rFonts w:hint="eastAsia" w:ascii="仿宋_GB2312" w:hAnsi="仿宋" w:eastAsia="仿宋_GB2312"/>
          <w:color w:val="auto"/>
          <w:sz w:val="32"/>
          <w:szCs w:val="32"/>
          <w:highlight w:val="none"/>
          <w:lang w:val="en-US" w:eastAsia="zh-CN"/>
        </w:rPr>
        <w:t>130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w:t>
      </w:r>
      <w:r>
        <w:rPr>
          <w:rFonts w:hint="eastAsia" w:ascii="仿宋_GB2312" w:hAnsi="仿宋" w:eastAsia="仿宋_GB2312"/>
          <w:color w:val="auto"/>
          <w:sz w:val="32"/>
          <w:szCs w:val="32"/>
          <w:highlight w:val="none"/>
          <w:lang w:val="en-US" w:eastAsia="zh-CN"/>
        </w:rPr>
        <w:t>2021年新招录8人，调出2人。</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保障运转车辆数，预期指标是3辆，实际完成值是7辆，指标完成率是</w:t>
      </w:r>
      <w:r>
        <w:rPr>
          <w:rFonts w:hint="eastAsia" w:ascii="仿宋_GB2312" w:hAnsi="仿宋" w:eastAsia="仿宋_GB2312"/>
          <w:color w:val="auto"/>
          <w:sz w:val="32"/>
          <w:szCs w:val="32"/>
          <w:highlight w:val="none"/>
          <w:lang w:val="en-US" w:eastAsia="zh-CN"/>
        </w:rPr>
        <w:t>233</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原因：乡村振兴工作繁忙，租赁公务用车数量增加。</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保障部门预算项目数，预期指标是4个，实际完成值是</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个，指标完成率是</w:t>
      </w:r>
      <w:r>
        <w:rPr>
          <w:rFonts w:hint="eastAsia" w:ascii="仿宋_GB2312" w:hAnsi="仿宋" w:eastAsia="仿宋_GB2312"/>
          <w:color w:val="auto"/>
          <w:sz w:val="32"/>
          <w:szCs w:val="32"/>
          <w:highlight w:val="none"/>
          <w:lang w:val="en-US" w:eastAsia="zh-CN"/>
        </w:rPr>
        <w:t>25</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原因：报账不及时。</w:t>
      </w:r>
    </w:p>
    <w:p>
      <w:pPr>
        <w:spacing w:line="560" w:lineRule="exact"/>
        <w:ind w:firstLine="624" w:firstLineChars="200"/>
        <w:rPr>
          <w:rFonts w:hint="eastAsia" w:eastAsia="仿宋_GB2312"/>
          <w:color w:val="auto"/>
          <w:highlight w:val="none"/>
          <w:lang w:eastAsia="zh-CN"/>
        </w:rPr>
      </w:pP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指标完成</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措施：后期加强预算精准度。</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工资及社保等各项缴费发放准确率，预期指标是100%，实际完成值是100%，指标完成率是100%%</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车辆正常运转率，预期指标是100%，实际完成值是100%，指标完成率是100%%</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工作完成准确率，预期指标是100%，实际完成值是100%，指标完成率是100%%</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color w:val="auto"/>
          <w:highlight w:val="none"/>
          <w:lang w:eastAsia="zh-CN"/>
        </w:rPr>
      </w:pPr>
      <w:r>
        <w:rPr>
          <w:rFonts w:hint="eastAsia" w:ascii="仿宋_GB2312" w:hAnsi="仿宋" w:eastAsia="仿宋_GB2312"/>
          <w:color w:val="auto"/>
          <w:sz w:val="32"/>
          <w:szCs w:val="32"/>
          <w:highlight w:val="none"/>
        </w:rPr>
        <w:t>采购设备政府采购率，预期指标是100%，实际完成值是100%，指标完成率是100%%</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rPr>
        <w:t>质量指标完成</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项目完成时间，预期指标是</w:t>
      </w:r>
      <w:r>
        <w:rPr>
          <w:rFonts w:hint="eastAsia" w:ascii="仿宋_GB2312" w:hAnsi="仿宋" w:eastAsia="仿宋_GB2312"/>
          <w:color w:val="auto"/>
          <w:sz w:val="32"/>
          <w:szCs w:val="32"/>
          <w:highlight w:val="none"/>
          <w:lang w:eastAsia="zh-CN"/>
        </w:rPr>
        <w:t>2021年12月</w:t>
      </w:r>
      <w:r>
        <w:rPr>
          <w:rFonts w:hint="eastAsia" w:ascii="仿宋_GB2312" w:hAnsi="仿宋" w:eastAsia="仿宋_GB2312"/>
          <w:color w:val="auto"/>
          <w:sz w:val="32"/>
          <w:szCs w:val="32"/>
          <w:highlight w:val="none"/>
        </w:rPr>
        <w:t>，实际完成值是2021年12月，指标完成率是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项目完成及时率，预期指标是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rPr>
        <w:t>95%，实际完成值是95%，指标完成率是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rPr>
        <w:t>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各项工资、福利、补助费用人均成本，预期指标是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13.17元/人，实际完成值是13.17元/人，指标完成率是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2.17万元，实际完成值是2.17万元，指标完成率是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正常运转支出成本，预期指标是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19.28万元，实际完成值是19.28万元，指标完成率是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eastAsia="仿宋_GB2312"/>
          <w:color w:val="auto"/>
          <w:highlight w:val="none"/>
          <w:lang w:eastAsia="zh-CN"/>
        </w:rPr>
      </w:pPr>
      <w:r>
        <w:rPr>
          <w:rFonts w:hint="eastAsia" w:ascii="仿宋_GB2312" w:hAnsi="仿宋" w:eastAsia="仿宋_GB2312"/>
          <w:color w:val="auto"/>
          <w:sz w:val="32"/>
          <w:szCs w:val="32"/>
          <w:highlight w:val="none"/>
        </w:rPr>
        <w:t>预算项目成本，预期指标是</w:t>
      </w:r>
      <w:r>
        <w:rPr>
          <w:rFonts w:hint="eastAsia" w:ascii="仿宋_GB2312" w:hAnsi="仿宋" w:eastAsia="仿宋_GB2312"/>
          <w:color w:val="auto"/>
          <w:sz w:val="32"/>
          <w:szCs w:val="32"/>
          <w:highlight w:val="none"/>
          <w:lang w:eastAsia="zh-CN"/>
        </w:rPr>
        <w:t>小于等于</w:t>
      </w:r>
      <w:r>
        <w:rPr>
          <w:rFonts w:hint="eastAsia" w:ascii="仿宋_GB2312" w:hAnsi="仿宋" w:eastAsia="仿宋_GB2312"/>
          <w:color w:val="auto"/>
          <w:sz w:val="32"/>
          <w:szCs w:val="32"/>
          <w:highlight w:val="none"/>
        </w:rPr>
        <w:t>126.56万元，实际完成值是34.23万元，指标完成率是</w:t>
      </w:r>
      <w:r>
        <w:rPr>
          <w:rFonts w:hint="eastAsia" w:ascii="仿宋_GB2312" w:hAnsi="仿宋" w:eastAsia="仿宋_GB2312"/>
          <w:color w:val="auto"/>
          <w:sz w:val="32"/>
          <w:szCs w:val="32"/>
          <w:highlight w:val="none"/>
          <w:lang w:val="en-US" w:eastAsia="zh-CN"/>
        </w:rPr>
        <w:t>27.1</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原因：报账不及时。</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rPr>
        <w:t>成本指标</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完成</w:t>
      </w:r>
      <w:r>
        <w:rPr>
          <w:rFonts w:hint="eastAsia" w:ascii="仿宋_GB2312" w:hAnsi="仿宋" w:eastAsia="仿宋_GB2312"/>
          <w:color w:val="auto"/>
          <w:sz w:val="32"/>
          <w:szCs w:val="32"/>
          <w:highlight w:val="none"/>
        </w:rPr>
        <w:t>，措施</w:t>
      </w:r>
      <w:r>
        <w:rPr>
          <w:rFonts w:hint="eastAsia" w:ascii="仿宋_GB2312" w:hAnsi="仿宋" w:eastAsia="仿宋_GB2312"/>
          <w:color w:val="auto"/>
          <w:sz w:val="32"/>
          <w:szCs w:val="32"/>
          <w:highlight w:val="none"/>
          <w:lang w:eastAsia="zh-CN"/>
        </w:rPr>
        <w:t>：督促相关部门及时报账。</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608" w:firstLineChars="195"/>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rPr>
        <w:t>95%，实际完成值是95%，指标完成率是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08" w:firstLineChars="195"/>
        <w:rPr>
          <w:rFonts w:hint="eastAsia"/>
          <w:color w:val="auto"/>
          <w:highlight w:val="none"/>
        </w:rPr>
      </w:pPr>
      <w:r>
        <w:rPr>
          <w:rFonts w:hint="eastAsia" w:ascii="仿宋_GB2312" w:hAnsi="仿宋" w:eastAsia="仿宋_GB2312" w:cs="仿宋"/>
          <w:color w:val="auto"/>
          <w:spacing w:val="-4"/>
          <w:sz w:val="32"/>
          <w:szCs w:val="32"/>
          <w:highlight w:val="none"/>
        </w:rPr>
        <w:t>受益群众满意度，预期指标是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rPr>
        <w:t>95%，实际完成值是95%，指标完成率是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hint="default"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效益性评价：预期的经济效益、社会效益、可持续的影响产生，干部职工满意</w:t>
      </w:r>
      <w:r>
        <w:rPr>
          <w:rFonts w:hint="eastAsia" w:ascii="仿宋_GB2312" w:hAnsi="仿宋" w:eastAsia="仿宋_GB2312" w:cs="仿宋"/>
          <w:color w:val="auto"/>
          <w:spacing w:val="-4"/>
          <w:sz w:val="32"/>
          <w:szCs w:val="32"/>
          <w:highlight w:val="none"/>
          <w:lang w:eastAsia="zh-CN"/>
        </w:rPr>
        <w:t>度、受益群众满意度达</w:t>
      </w:r>
      <w:r>
        <w:rPr>
          <w:rFonts w:hint="eastAsia" w:ascii="仿宋_GB2312" w:hAnsi="仿宋" w:eastAsia="仿宋_GB2312" w:cs="仿宋"/>
          <w:color w:val="auto"/>
          <w:spacing w:val="-4"/>
          <w:sz w:val="32"/>
          <w:szCs w:val="32"/>
          <w:highlight w:val="none"/>
          <w:lang w:val="en-US" w:eastAsia="zh-CN"/>
        </w:rPr>
        <w:t>95%。</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对个别项目资金使用方面预算不够细致，出现实际支出数超出了预算申报数和出现项目资金结金数额多的情况。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仿宋_GB2312"/>
    <w:panose1 w:val="02010601030101010101"/>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 w:name="方正隶书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2981A"/>
    <w:multiLevelType w:val="singleLevel"/>
    <w:tmpl w:val="8182981A"/>
    <w:lvl w:ilvl="0" w:tentative="0">
      <w:start w:val="4"/>
      <w:numFmt w:val="chineseCounting"/>
      <w:suff w:val="nothing"/>
      <w:lvlText w:val="（%1）"/>
      <w:lvlJc w:val="left"/>
      <w:rPr>
        <w:rFonts w:hint="eastAsia"/>
      </w:rPr>
    </w:lvl>
  </w:abstractNum>
  <w:abstractNum w:abstractNumId="1">
    <w:nsid w:val="8E714EA0"/>
    <w:multiLevelType w:val="singleLevel"/>
    <w:tmpl w:val="8E714EA0"/>
    <w:lvl w:ilvl="0" w:tentative="0">
      <w:start w:val="2"/>
      <w:numFmt w:val="chineseCounting"/>
      <w:suff w:val="nothing"/>
      <w:lvlText w:val="（%1）"/>
      <w:lvlJc w:val="left"/>
      <w:rPr>
        <w:rFonts w:hint="eastAsia"/>
      </w:rPr>
    </w:lvl>
  </w:abstractNum>
  <w:abstractNum w:abstractNumId="2">
    <w:nsid w:val="3C23768A"/>
    <w:multiLevelType w:val="singleLevel"/>
    <w:tmpl w:val="3C23768A"/>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97D42F3"/>
    <w:rsid w:val="0A531B8B"/>
    <w:rsid w:val="0E2D1421"/>
    <w:rsid w:val="0F484CBE"/>
    <w:rsid w:val="11970B0A"/>
    <w:rsid w:val="141C6243"/>
    <w:rsid w:val="14D42464"/>
    <w:rsid w:val="1A7D2E72"/>
    <w:rsid w:val="1ACC0302"/>
    <w:rsid w:val="1CEF2574"/>
    <w:rsid w:val="1DCD4E73"/>
    <w:rsid w:val="211B39F2"/>
    <w:rsid w:val="227375DB"/>
    <w:rsid w:val="28096C9A"/>
    <w:rsid w:val="29F9207F"/>
    <w:rsid w:val="2F187AB3"/>
    <w:rsid w:val="2F2E1EC8"/>
    <w:rsid w:val="30E07F90"/>
    <w:rsid w:val="3455214F"/>
    <w:rsid w:val="353C0AD7"/>
    <w:rsid w:val="3B2B6289"/>
    <w:rsid w:val="3CCA3DC7"/>
    <w:rsid w:val="3EA36360"/>
    <w:rsid w:val="3F742363"/>
    <w:rsid w:val="4ADF3B5F"/>
    <w:rsid w:val="4D457C38"/>
    <w:rsid w:val="4E31105E"/>
    <w:rsid w:val="4ECD6109"/>
    <w:rsid w:val="4FD23C92"/>
    <w:rsid w:val="50083B6A"/>
    <w:rsid w:val="517E1B32"/>
    <w:rsid w:val="555C287A"/>
    <w:rsid w:val="55D03A95"/>
    <w:rsid w:val="599F2F96"/>
    <w:rsid w:val="5D6176A7"/>
    <w:rsid w:val="5EC73666"/>
    <w:rsid w:val="616E0F8F"/>
    <w:rsid w:val="64A95436"/>
    <w:rsid w:val="66540FAC"/>
    <w:rsid w:val="6D8B1745"/>
    <w:rsid w:val="6FE15325"/>
    <w:rsid w:val="75843A56"/>
    <w:rsid w:val="767E42D5"/>
    <w:rsid w:val="7810477E"/>
    <w:rsid w:val="7B6B0973"/>
    <w:rsid w:val="7CF877B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1230</Words>
  <Characters>7012</Characters>
  <Lines>58</Lines>
  <Paragraphs>16</Paragraphs>
  <TotalTime>3</TotalTime>
  <ScaleCrop>false</ScaleCrop>
  <LinksUpToDate>false</LinksUpToDate>
  <CharactersWithSpaces>8226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2022-01-15T05:10:13Z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SaveFontToCloudKey">
    <vt:lpwstr>405071676_stopsync</vt:lpwstr>
  </property>
  <property fmtid="{D5CDD505-2E9C-101B-9397-08002B2CF9AE}" pid="4" name="ICV">
    <vt:lpwstr>B97F772AD34546D294CAEEC88B538755</vt:lpwstr>
  </property>
</Properties>
</file>