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w:t>
      </w:r>
      <w:r>
        <w:rPr>
          <w:rFonts w:hint="eastAsia" w:ascii="方正小标宋_GBK" w:hAnsi="华文中宋" w:eastAsia="方正小标宋_GBK" w:cs="宋体"/>
          <w:b/>
          <w:color w:val="auto"/>
          <w:kern w:val="0"/>
          <w:sz w:val="44"/>
          <w:szCs w:val="44"/>
          <w:highlight w:val="none"/>
          <w:lang w:eastAsia="zh-CN"/>
        </w:rPr>
        <w:t>文化体育广播电视和旅游局</w:t>
      </w:r>
      <w:r>
        <w:rPr>
          <w:rFonts w:hint="eastAsia" w:ascii="方正小标宋_GBK" w:hAnsi="华文中宋" w:eastAsia="方正小标宋_GBK" w:cs="宋体"/>
          <w:b/>
          <w:color w:val="auto"/>
          <w:kern w:val="0"/>
          <w:sz w:val="44"/>
          <w:szCs w:val="44"/>
          <w:highlight w:val="none"/>
        </w:rPr>
        <w:t>单位整体支出绩效自评报告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ind w:left="3240" w:hanging="3240" w:hangingChars="900"/>
        <w:rPr>
          <w:rFonts w:hint="eastAsia" w:ascii="Times New Roman" w:hAnsi="宋体" w:eastAsia="仿宋_GB2312" w:cs="宋体"/>
          <w:color w:val="auto"/>
          <w:kern w:val="0"/>
          <w:sz w:val="36"/>
          <w:szCs w:val="36"/>
          <w:highlight w:val="none"/>
          <w:lang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和田市文化体育广播电视和旅游局（和田市文物局）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 xml:space="preserve"> 月</w:t>
      </w:r>
      <w:r>
        <w:rPr>
          <w:rFonts w:hint="eastAsia" w:ascii="Times New Roman" w:hAnsi="宋体" w:eastAsia="仿宋_GB2312" w:cs="宋体"/>
          <w:color w:val="auto"/>
          <w:kern w:val="0"/>
          <w:sz w:val="36"/>
          <w:szCs w:val="36"/>
          <w:highlight w:val="none"/>
          <w:lang w:val="en-US" w:eastAsia="zh-CN"/>
        </w:rPr>
        <w:t>21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r>
        <w:rPr>
          <w:rFonts w:hint="eastAsia" w:ascii="仿宋_GB2312" w:hAnsi="仿宋" w:eastAsia="仿宋_GB2312" w:cs="Times New Roman"/>
          <w:bCs/>
          <w:color w:val="auto"/>
          <w:sz w:val="32"/>
          <w:szCs w:val="32"/>
          <w:highlight w:val="none"/>
          <w:lang w:val="en-US" w:eastAsia="zh-CN"/>
        </w:rPr>
        <w:t>主要职责研究拟定全市旅游发展的方针、政策、法规、规章和实施办法，并组织检查实施；负责和田市旅游业的宏观调控和组织编制旅游发展的中、长期规划以及年度计划，并组织指导实施。</w:t>
      </w:r>
    </w:p>
    <w:p>
      <w:pPr>
        <w:pStyle w:val="12"/>
        <w:spacing w:line="560" w:lineRule="exact"/>
        <w:ind w:firstLine="640"/>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r>
        <w:rPr>
          <w:rFonts w:hint="eastAsia" w:ascii="仿宋_GB2312" w:hAnsi="仿宋" w:eastAsia="仿宋_GB2312" w:cs="Times New Roman"/>
          <w:bCs/>
          <w:color w:val="auto"/>
          <w:sz w:val="32"/>
          <w:szCs w:val="32"/>
          <w:highlight w:val="none"/>
          <w:lang w:eastAsia="zh-CN"/>
        </w:rPr>
        <w:t>单位在职人员</w:t>
      </w:r>
      <w:r>
        <w:rPr>
          <w:rFonts w:hint="eastAsia" w:ascii="仿宋_GB2312" w:hAnsi="仿宋" w:eastAsia="仿宋_GB2312" w:cs="Times New Roman"/>
          <w:bCs/>
          <w:color w:val="auto"/>
          <w:sz w:val="32"/>
          <w:szCs w:val="32"/>
          <w:highlight w:val="none"/>
          <w:lang w:val="en-US" w:eastAsia="zh-CN"/>
        </w:rPr>
        <w:t>*人，退休人员*人。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Style w:val="12"/>
        <w:spacing w:line="560" w:lineRule="exact"/>
        <w:ind w:firstLine="640"/>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eastAsia="zh-CN"/>
        </w:rPr>
        <w:t>旅游发展基金</w:t>
      </w:r>
      <w:r>
        <w:rPr>
          <w:rFonts w:hint="eastAsia" w:ascii="仿宋_GB2312" w:hAnsi="仿宋" w:eastAsia="仿宋_GB2312" w:cs="Times New Roman"/>
          <w:bCs/>
          <w:color w:val="auto"/>
          <w:sz w:val="32"/>
          <w:szCs w:val="32"/>
          <w:highlight w:val="none"/>
        </w:rPr>
        <w:t>项目。</w:t>
      </w:r>
      <w:r>
        <w:rPr>
          <w:rFonts w:hint="eastAsia" w:ascii="仿宋_GB2312" w:hAnsi="仿宋" w:eastAsia="仿宋_GB2312" w:cs="Times New Roman"/>
          <w:bCs/>
          <w:color w:val="auto"/>
          <w:sz w:val="32"/>
          <w:szCs w:val="32"/>
          <w:highlight w:val="none"/>
          <w:lang w:val="zh-CN"/>
        </w:rPr>
        <w:t>202</w:t>
      </w:r>
      <w:r>
        <w:rPr>
          <w:rFonts w:hint="eastAsia" w:ascii="仿宋_GB2312" w:hAnsi="仿宋" w:eastAsia="仿宋_GB2312" w:cs="Times New Roman"/>
          <w:bCs/>
          <w:color w:val="auto"/>
          <w:sz w:val="32"/>
          <w:szCs w:val="32"/>
          <w:highlight w:val="none"/>
          <w:lang w:val="en-US" w:eastAsia="zh-CN"/>
        </w:rPr>
        <w:t>1</w:t>
      </w:r>
      <w:bookmarkStart w:id="0" w:name="_GoBack"/>
      <w:r>
        <w:rPr>
          <w:rFonts w:hint="eastAsia" w:ascii="仿宋_GB2312" w:hAnsi="仿宋" w:eastAsia="仿宋_GB2312" w:cs="Times New Roman"/>
          <w:bCs/>
          <w:color w:val="auto"/>
          <w:sz w:val="32"/>
          <w:szCs w:val="32"/>
          <w:highlight w:val="none"/>
          <w:lang w:val="zh-CN"/>
        </w:rPr>
        <w:t>年旅游发展基金项目总金额</w:t>
      </w:r>
      <w:r>
        <w:rPr>
          <w:rFonts w:hint="eastAsia" w:ascii="仿宋_GB2312" w:hAnsi="仿宋" w:eastAsia="仿宋_GB2312" w:cs="Times New Roman"/>
          <w:bCs/>
          <w:color w:val="auto"/>
          <w:sz w:val="32"/>
          <w:szCs w:val="32"/>
          <w:highlight w:val="none"/>
          <w:lang w:val="en-US" w:eastAsia="zh-CN"/>
        </w:rPr>
        <w:t>150</w:t>
      </w:r>
      <w:r>
        <w:rPr>
          <w:rFonts w:hint="eastAsia" w:ascii="仿宋_GB2312" w:hAnsi="仿宋" w:eastAsia="仿宋_GB2312" w:cs="Times New Roman"/>
          <w:bCs/>
          <w:color w:val="auto"/>
          <w:sz w:val="32"/>
          <w:szCs w:val="32"/>
          <w:highlight w:val="none"/>
          <w:lang w:val="zh-CN"/>
        </w:rPr>
        <w:t>万元，制作</w:t>
      </w:r>
      <w:r>
        <w:rPr>
          <w:rFonts w:hint="eastAsia" w:ascii="仿宋_GB2312" w:hAnsi="仿宋" w:eastAsia="仿宋_GB2312" w:cs="Times New Roman"/>
          <w:bCs/>
          <w:color w:val="auto"/>
          <w:sz w:val="32"/>
          <w:szCs w:val="32"/>
          <w:highlight w:val="none"/>
          <w:lang w:val="en-US" w:eastAsia="zh-CN"/>
        </w:rPr>
        <w:t>180条旅游宣传</w:t>
      </w:r>
      <w:bookmarkEnd w:id="0"/>
      <w:r>
        <w:rPr>
          <w:rFonts w:hint="eastAsia" w:ascii="仿宋_GB2312" w:hAnsi="仿宋" w:eastAsia="仿宋_GB2312" w:cs="Times New Roman"/>
          <w:bCs/>
          <w:color w:val="auto"/>
          <w:sz w:val="32"/>
          <w:szCs w:val="32"/>
          <w:highlight w:val="none"/>
          <w:lang w:val="en-US" w:eastAsia="zh-CN"/>
        </w:rPr>
        <w:t>视频、制作4个规划方案、创建1个旅游示范区。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按时发放在职及退休人员工资福利</w:t>
      </w:r>
      <w:r>
        <w:rPr>
          <w:rFonts w:hint="eastAsia" w:ascii="仿宋_GB2312" w:hAnsi="仿宋" w:eastAsia="仿宋_GB2312" w:cs="Times New Roman"/>
          <w:bCs/>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年度和田市文化体育广播电视和旅游局（和田市文物局）</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523.74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247.49</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47.3</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2243.1</w:t>
      </w:r>
      <w:r>
        <w:rPr>
          <w:rFonts w:hint="eastAsia" w:ascii="仿宋_GB2312" w:hAnsi="方正楷体简体" w:eastAsia="仿宋_GB2312" w:cs="宋体"/>
          <w:color w:val="auto"/>
          <w:sz w:val="32"/>
          <w:szCs w:val="32"/>
          <w:highlight w:val="none"/>
        </w:rPr>
        <w:t>万元减少</w:t>
      </w:r>
      <w:r>
        <w:rPr>
          <w:rFonts w:hint="eastAsia" w:ascii="仿宋_GB2312" w:hAnsi="方正楷体简体" w:eastAsia="仿宋_GB2312" w:cs="宋体"/>
          <w:color w:val="auto"/>
          <w:sz w:val="32"/>
          <w:szCs w:val="32"/>
          <w:highlight w:val="none"/>
          <w:lang w:val="en-US" w:eastAsia="zh-CN"/>
        </w:rPr>
        <w:t>1719.36</w:t>
      </w:r>
      <w:r>
        <w:rPr>
          <w:rFonts w:hint="eastAsia" w:ascii="仿宋_GB2312" w:hAnsi="方正楷体简体" w:eastAsia="仿宋_GB2312" w:cs="宋体"/>
          <w:color w:val="auto"/>
          <w:sz w:val="32"/>
          <w:szCs w:val="32"/>
          <w:highlight w:val="none"/>
        </w:rPr>
        <w:t>万元，减幅：</w:t>
      </w:r>
      <w:r>
        <w:rPr>
          <w:rFonts w:hint="eastAsia" w:ascii="仿宋_GB2312" w:hAnsi="方正楷体简体" w:eastAsia="仿宋_GB2312" w:cs="宋体"/>
          <w:color w:val="auto"/>
          <w:sz w:val="32"/>
          <w:szCs w:val="32"/>
          <w:highlight w:val="none"/>
          <w:lang w:val="en-US" w:eastAsia="zh-CN"/>
        </w:rPr>
        <w:t>76.7</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预算项目减少</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152.72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152.22</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99.6</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129.2</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23.52</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181.02</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71.6</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39.6</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160.35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71.6</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20.67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190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23.67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12.5</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差旅费、维修（护）费、租赁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年度和田市文化体育广播电视和旅游局（和田市文物局）单位项目支出共涉及</w:t>
      </w:r>
      <w:r>
        <w:rPr>
          <w:rFonts w:hint="eastAsia" w:hAnsi="方正楷体简体"/>
          <w:color w:val="auto"/>
          <w:highlight w:val="none"/>
          <w:lang w:val="en-US" w:eastAsia="zh-CN"/>
        </w:rPr>
        <w:t>5</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eastAsia="zh-CN"/>
              </w:rPr>
              <w:t>旅游发展基金</w:t>
            </w:r>
            <w:r>
              <w:rPr>
                <w:rFonts w:hint="eastAsia" w:ascii="仿宋_GB2312" w:hAnsi="仿宋" w:eastAsia="仿宋_GB2312" w:cs="宋体"/>
                <w:color w:val="auto"/>
                <w:sz w:val="32"/>
                <w:szCs w:val="32"/>
                <w:highlight w:val="none"/>
              </w:rPr>
              <w:t>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150</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eastAsia="zh-CN"/>
              </w:rPr>
              <w:t>业务费</w:t>
            </w:r>
            <w:r>
              <w:rPr>
                <w:rFonts w:hint="eastAsia" w:ascii="仿宋_GB2312" w:hAnsi="仿宋" w:eastAsia="仿宋_GB2312" w:cs="宋体"/>
                <w:color w:val="auto"/>
                <w:sz w:val="32"/>
                <w:szCs w:val="32"/>
                <w:highlight w:val="none"/>
              </w:rPr>
              <w:t>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10.35</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32"/>
                <w:szCs w:val="32"/>
                <w:highlight w:val="none"/>
              </w:rPr>
              <w:t>地方公共文化服务体系建设（绩效奖励金）</w:t>
            </w:r>
            <w:r>
              <w:rPr>
                <w:rFonts w:hint="eastAsia" w:ascii="仿宋_GB2312" w:hAnsi="仿宋" w:eastAsia="仿宋_GB2312" w:cs="宋体"/>
                <w:color w:val="auto"/>
                <w:sz w:val="32"/>
                <w:szCs w:val="32"/>
                <w:highlight w:val="none"/>
                <w:lang w:eastAsia="zh-CN"/>
              </w:rPr>
              <w:t>项目</w:t>
            </w:r>
          </w:p>
        </w:tc>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150万元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访惠聚工作队经费</w:t>
            </w:r>
          </w:p>
        </w:tc>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40万元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和田市全民健身中心室外消防管网工程项目</w:t>
            </w:r>
          </w:p>
        </w:tc>
        <w:tc>
          <w:tcPr>
            <w:tcW w:w="4261" w:type="dxa"/>
            <w:vAlign w:val="center"/>
          </w:tcPr>
          <w:p>
            <w:pPr>
              <w:pStyle w:val="12"/>
              <w:spacing w:line="560" w:lineRule="exact"/>
              <w:ind w:firstLine="200" w:firstLineChars="0"/>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20.67万元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eastAsia="zh-CN"/>
        </w:rPr>
        <w:t>和田市文旅局资金管理</w:t>
      </w:r>
      <w:r>
        <w:rPr>
          <w:rFonts w:hint="eastAsia" w:ascii="仿宋_GB2312" w:hAnsi="方正楷体简体" w:eastAsia="仿宋_GB2312" w:cs="宋体"/>
          <w:color w:val="auto"/>
          <w:sz w:val="32"/>
          <w:szCs w:val="32"/>
          <w:highlight w:val="none"/>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年和田市文化体育广播电视和旅游局（和田市文物局）单位基本支出预算总额</w:t>
      </w:r>
      <w:r>
        <w:rPr>
          <w:rFonts w:hint="eastAsia" w:ascii="仿宋_GB2312" w:hAnsi="方正楷体简体" w:eastAsia="仿宋_GB2312" w:cs="宋体"/>
          <w:color w:val="auto"/>
          <w:sz w:val="32"/>
          <w:szCs w:val="32"/>
          <w:highlight w:val="none"/>
          <w:lang w:val="en-US" w:eastAsia="zh-CN"/>
        </w:rPr>
        <w:t>152.72</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148.58</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4.14</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152.22</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99.6</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1.79</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4.5</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4.5</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1.79</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1.79</w:t>
      </w:r>
      <w:r>
        <w:rPr>
          <w:rFonts w:hint="eastAsia" w:ascii="仿宋_GB2312" w:hAnsi="方正楷体简体" w:eastAsia="仿宋_GB2312" w:cs="宋体"/>
          <w:color w:val="auto"/>
          <w:sz w:val="32"/>
          <w:szCs w:val="32"/>
          <w:highlight w:val="none"/>
        </w:rPr>
        <w:t>万元，较</w:t>
      </w:r>
      <w:r>
        <w:rPr>
          <w:rFonts w:hint="eastAsia" w:ascii="仿宋_GB2312" w:hAnsi="方正楷体简体" w:eastAsia="仿宋_GB2312" w:cs="宋体"/>
          <w:color w:val="auto"/>
          <w:sz w:val="32"/>
          <w:szCs w:val="32"/>
          <w:highlight w:val="none"/>
          <w:lang w:val="en-US" w:eastAsia="zh-CN"/>
        </w:rPr>
        <w:t>2020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1.75</w:t>
      </w:r>
      <w:r>
        <w:rPr>
          <w:rFonts w:hint="eastAsia" w:ascii="仿宋_GB2312" w:hAnsi="方正楷体简体" w:eastAsia="仿宋_GB2312" w:cs="宋体"/>
          <w:color w:val="auto"/>
          <w:sz w:val="32"/>
          <w:szCs w:val="32"/>
          <w:highlight w:val="none"/>
        </w:rPr>
        <w:t>万元，上浮</w:t>
      </w:r>
      <w:r>
        <w:rPr>
          <w:rFonts w:hint="eastAsia" w:ascii="仿宋_GB2312" w:hAnsi="方正楷体简体" w:eastAsia="仿宋_GB2312" w:cs="宋体"/>
          <w:color w:val="auto"/>
          <w:sz w:val="32"/>
          <w:szCs w:val="32"/>
          <w:highlight w:val="none"/>
          <w:lang w:val="en-US" w:eastAsia="zh-CN"/>
        </w:rPr>
        <w:t>2.3</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190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23.67</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12.5</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pStyle w:val="12"/>
              <w:spacing w:line="560" w:lineRule="exact"/>
              <w:ind w:firstLine="200" w:firstLineChars="0"/>
              <w:rPr>
                <w:rFonts w:hint="eastAsia" w:ascii="仿宋_GB2312" w:hAnsi="仿宋" w:eastAsia="仿宋_GB2312" w:cs="宋体"/>
                <w:color w:val="auto"/>
                <w:kern w:val="2"/>
                <w:sz w:val="32"/>
                <w:szCs w:val="32"/>
                <w:highlight w:val="none"/>
                <w:lang w:val="en-US" w:eastAsia="zh-CN" w:bidi="ar-SA"/>
              </w:rPr>
            </w:pPr>
            <w:r>
              <w:rPr>
                <w:rFonts w:hint="eastAsia" w:ascii="仿宋_GB2312" w:hAnsi="仿宋" w:eastAsia="仿宋_GB2312" w:cs="宋体"/>
                <w:color w:val="auto"/>
                <w:sz w:val="32"/>
                <w:szCs w:val="32"/>
                <w:highlight w:val="none"/>
              </w:rPr>
              <w:t>地方公共文化服务体系建设（绩效奖励金）</w:t>
            </w:r>
            <w:r>
              <w:rPr>
                <w:rFonts w:hint="eastAsia" w:ascii="仿宋_GB2312" w:hAnsi="仿宋" w:eastAsia="仿宋_GB2312" w:cs="宋体"/>
                <w:color w:val="auto"/>
                <w:sz w:val="32"/>
                <w:szCs w:val="32"/>
                <w:highlight w:val="none"/>
                <w:lang w:eastAsia="zh-CN"/>
              </w:rPr>
              <w:t>项目</w:t>
            </w:r>
          </w:p>
        </w:tc>
        <w:tc>
          <w:tcPr>
            <w:tcW w:w="1581"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rPr>
                <w:rFonts w:hint="eastAsia" w:ascii="仿宋_GB2312" w:hAnsi="仿宋" w:eastAsia="仿宋_GB2312" w:cs="宋体"/>
                <w:color w:val="auto"/>
                <w:kern w:val="2"/>
                <w:sz w:val="32"/>
                <w:szCs w:val="32"/>
                <w:highlight w:val="none"/>
                <w:lang w:val="en-US" w:eastAsia="zh-CN" w:bidi="ar-SA"/>
              </w:rPr>
            </w:pPr>
            <w:r>
              <w:rPr>
                <w:rFonts w:hint="eastAsia" w:ascii="仿宋_GB2312" w:hAnsi="仿宋" w:eastAsia="仿宋_GB2312" w:cs="宋体"/>
                <w:color w:val="auto"/>
                <w:sz w:val="32"/>
                <w:szCs w:val="32"/>
                <w:highlight w:val="none"/>
                <w:lang w:val="en-US" w:eastAsia="zh-CN"/>
              </w:rPr>
              <w:t>150万元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16.37万元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10.9%</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lang w:eastAsia="zh-CN"/>
              </w:rPr>
              <w:t>其他类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pStyle w:val="12"/>
              <w:spacing w:line="560" w:lineRule="exact"/>
              <w:ind w:firstLine="200" w:firstLineChars="0"/>
              <w:rPr>
                <w:rFonts w:hint="eastAsia" w:ascii="仿宋_GB2312" w:hAnsi="仿宋" w:eastAsia="仿宋_GB2312" w:cs="宋体"/>
                <w:color w:val="auto"/>
                <w:kern w:val="2"/>
                <w:sz w:val="32"/>
                <w:szCs w:val="32"/>
                <w:highlight w:val="none"/>
                <w:lang w:val="en-US" w:eastAsia="zh-CN" w:bidi="ar-SA"/>
              </w:rPr>
            </w:pPr>
            <w:r>
              <w:rPr>
                <w:rFonts w:hint="eastAsia" w:ascii="仿宋_GB2312" w:hAnsi="仿宋" w:eastAsia="仿宋_GB2312" w:cs="宋体"/>
                <w:color w:val="auto"/>
                <w:sz w:val="32"/>
                <w:szCs w:val="32"/>
                <w:highlight w:val="none"/>
              </w:rPr>
              <w:t>访惠聚工作队经费</w:t>
            </w:r>
          </w:p>
        </w:tc>
        <w:tc>
          <w:tcPr>
            <w:tcW w:w="1581"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rPr>
                <w:rFonts w:hint="eastAsia" w:ascii="仿宋_GB2312" w:hAnsi="仿宋" w:eastAsia="仿宋_GB2312" w:cs="宋体"/>
                <w:color w:val="auto"/>
                <w:kern w:val="2"/>
                <w:sz w:val="32"/>
                <w:szCs w:val="32"/>
                <w:highlight w:val="none"/>
                <w:lang w:val="en-US" w:eastAsia="zh-CN" w:bidi="ar-SA"/>
              </w:rPr>
            </w:pPr>
            <w:r>
              <w:rPr>
                <w:rFonts w:hint="eastAsia" w:ascii="仿宋_GB2312" w:hAnsi="仿宋" w:eastAsia="仿宋_GB2312" w:cs="宋体"/>
                <w:color w:val="auto"/>
                <w:sz w:val="32"/>
                <w:szCs w:val="32"/>
                <w:highlight w:val="none"/>
                <w:lang w:val="en-US" w:eastAsia="zh-CN"/>
              </w:rPr>
              <w:t>40万元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7.3万元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18.3%</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32"/>
                <w:szCs w:val="32"/>
                <w:highlight w:val="none"/>
                <w:lang w:eastAsia="zh-CN"/>
              </w:rPr>
            </w:pPr>
            <w:r>
              <w:rPr>
                <w:rFonts w:hint="eastAsia" w:ascii="仿宋_GB2312" w:hAnsi="仿宋" w:eastAsia="仿宋_GB2312" w:cs="宋体"/>
                <w:color w:val="auto"/>
                <w:kern w:val="0"/>
                <w:sz w:val="32"/>
                <w:szCs w:val="32"/>
                <w:highlight w:val="none"/>
                <w:lang w:eastAsia="zh-CN"/>
              </w:rPr>
              <w:t>其他类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190万元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23.67万元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lang w:val="en-US" w:eastAsia="zh-CN"/>
              </w:rPr>
              <w:t>12.5%</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rFonts w:hint="eastAsia" w:ascii="仿宋_GB2312" w:eastAsia="仿宋_GB2312"/>
          <w:color w:val="auto"/>
          <w:sz w:val="32"/>
          <w:szCs w:val="32"/>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宋体"/>
          <w:b w:val="0"/>
          <w:bCs w:val="0"/>
          <w:color w:val="auto"/>
          <w:sz w:val="32"/>
          <w:szCs w:val="32"/>
          <w:highlight w:val="none"/>
          <w:lang w:eastAsia="zh-CN"/>
        </w:rPr>
      </w:pPr>
      <w:r>
        <w:rPr>
          <w:rFonts w:hint="eastAsia" w:ascii="仿宋_GB2312" w:hAnsi="仿宋" w:eastAsia="仿宋_GB2312" w:cs="宋体"/>
          <w:b w:val="0"/>
          <w:bCs w:val="0"/>
          <w:color w:val="auto"/>
          <w:sz w:val="32"/>
          <w:szCs w:val="32"/>
          <w:highlight w:val="none"/>
          <w:lang w:val="en-US" w:eastAsia="zh-CN"/>
        </w:rPr>
        <w:t>1.</w:t>
      </w:r>
      <w:r>
        <w:rPr>
          <w:rFonts w:hint="eastAsia" w:ascii="仿宋_GB2312" w:hAnsi="仿宋" w:eastAsia="仿宋_GB2312" w:cs="宋体"/>
          <w:b w:val="0"/>
          <w:bCs w:val="0"/>
          <w:color w:val="auto"/>
          <w:sz w:val="32"/>
          <w:szCs w:val="32"/>
          <w:highlight w:val="none"/>
        </w:rPr>
        <w:t>地方公共文化服务体系建设（绩效奖励金）</w:t>
      </w:r>
      <w:r>
        <w:rPr>
          <w:rFonts w:hint="eastAsia" w:ascii="仿宋_GB2312" w:hAnsi="仿宋" w:eastAsia="仿宋_GB2312" w:cs="宋体"/>
          <w:b w:val="0"/>
          <w:bCs w:val="0"/>
          <w:color w:val="auto"/>
          <w:sz w:val="32"/>
          <w:szCs w:val="32"/>
          <w:highlight w:val="none"/>
          <w:lang w:eastAsia="zh-CN"/>
        </w:rPr>
        <w:t>项目：</w:t>
      </w:r>
      <w:r>
        <w:rPr>
          <w:rStyle w:val="10"/>
          <w:rFonts w:hint="eastAsia" w:ascii="仿宋_GB2312" w:hAnsi="黑体" w:eastAsia="仿宋_GB2312" w:cs="Times New Roman"/>
          <w:b w:val="0"/>
          <w:bCs w:val="0"/>
          <w:color w:val="auto"/>
          <w:spacing w:val="-4"/>
          <w:kern w:val="2"/>
          <w:sz w:val="32"/>
          <w:szCs w:val="32"/>
          <w:highlight w:val="none"/>
          <w:lang w:val="en-US" w:eastAsia="zh-CN" w:bidi="ar-SA"/>
        </w:rPr>
        <w:t>相关发票材料未按时提供，未能按时支付相关费用。</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color w:val="auto"/>
          <w:highlight w:val="none"/>
          <w:lang w:val="en-US" w:eastAsia="zh-CN"/>
        </w:rPr>
      </w:pPr>
      <w:r>
        <w:rPr>
          <w:rFonts w:hint="eastAsia" w:ascii="仿宋_GB2312" w:hAnsi="仿宋" w:eastAsia="仿宋_GB2312" w:cs="宋体"/>
          <w:b w:val="0"/>
          <w:bCs w:val="0"/>
          <w:color w:val="auto"/>
          <w:sz w:val="32"/>
          <w:szCs w:val="32"/>
          <w:highlight w:val="none"/>
          <w:lang w:val="en-US" w:eastAsia="zh-CN"/>
        </w:rPr>
        <w:t>2.</w:t>
      </w:r>
      <w:r>
        <w:rPr>
          <w:rFonts w:hint="eastAsia" w:ascii="仿宋_GB2312" w:hAnsi="仿宋" w:eastAsia="仿宋_GB2312" w:cs="宋体"/>
          <w:b w:val="0"/>
          <w:bCs w:val="0"/>
          <w:color w:val="auto"/>
          <w:sz w:val="32"/>
          <w:szCs w:val="32"/>
          <w:highlight w:val="none"/>
        </w:rPr>
        <w:t>访惠聚工作队经费</w:t>
      </w:r>
      <w:r>
        <w:rPr>
          <w:rFonts w:hint="eastAsia" w:ascii="仿宋_GB2312" w:hAnsi="仿宋" w:eastAsia="仿宋_GB2312" w:cs="宋体"/>
          <w:b w:val="0"/>
          <w:bCs w:val="0"/>
          <w:color w:val="auto"/>
          <w:sz w:val="32"/>
          <w:szCs w:val="32"/>
          <w:highlight w:val="none"/>
          <w:lang w:eastAsia="zh-CN"/>
        </w:rPr>
        <w:t>：</w:t>
      </w:r>
      <w:r>
        <w:rPr>
          <w:rStyle w:val="10"/>
          <w:rFonts w:hint="eastAsia" w:ascii="仿宋_GB2312" w:hAnsi="黑体" w:eastAsia="仿宋_GB2312" w:cs="Times New Roman"/>
          <w:b w:val="0"/>
          <w:bCs w:val="0"/>
          <w:color w:val="auto"/>
          <w:spacing w:val="-4"/>
          <w:kern w:val="2"/>
          <w:sz w:val="32"/>
          <w:szCs w:val="32"/>
          <w:highlight w:val="none"/>
          <w:lang w:val="en-US" w:eastAsia="zh-CN" w:bidi="ar-SA"/>
        </w:rPr>
        <w:t>相关发票材料未按时提供，未能按时支付相关费用。</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371.02</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371.02</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95.27</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25.7</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val="en-US" w:eastAsia="zh-CN"/>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4</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25.7</w:t>
      </w:r>
      <w:r>
        <w:rPr>
          <w:rStyle w:val="10"/>
          <w:rFonts w:hint="eastAsia" w:ascii="仿宋_GB2312" w:hAnsi="黑体" w:eastAsia="仿宋_GB2312" w:cs="Times New Roman"/>
          <w:b w:val="0"/>
          <w:color w:val="auto"/>
          <w:spacing w:val="-4"/>
          <w:sz w:val="32"/>
          <w:szCs w:val="32"/>
          <w:highlight w:val="none"/>
        </w:rPr>
        <w:t>%。和田市全民健身中心室外消防管网工程项目</w:t>
      </w:r>
      <w:r>
        <w:rPr>
          <w:rStyle w:val="10"/>
          <w:rFonts w:hint="eastAsia" w:ascii="仿宋_GB2312" w:hAnsi="黑体" w:eastAsia="仿宋_GB2312" w:cs="Times New Roman"/>
          <w:b w:val="0"/>
          <w:color w:val="auto"/>
          <w:spacing w:val="-4"/>
          <w:sz w:val="32"/>
          <w:szCs w:val="32"/>
          <w:highlight w:val="none"/>
          <w:lang w:val="en-US" w:eastAsia="zh-CN"/>
        </w:rPr>
        <w:t>:资金未及时申请。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val="en-US" w:eastAsia="zh-CN"/>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4</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80</w:t>
      </w:r>
      <w:r>
        <w:rPr>
          <w:rStyle w:val="10"/>
          <w:rFonts w:hint="eastAsia" w:ascii="仿宋_GB2312" w:hAnsi="黑体" w:eastAsia="仿宋_GB2312" w:cs="Times New Roman"/>
          <w:b w:val="0"/>
          <w:color w:val="auto"/>
          <w:spacing w:val="-4"/>
          <w:sz w:val="32"/>
          <w:szCs w:val="32"/>
          <w:highlight w:val="none"/>
        </w:rPr>
        <w:t>%。和田市全民健身中心室外消防管网工程项目</w:t>
      </w:r>
      <w:r>
        <w:rPr>
          <w:rStyle w:val="10"/>
          <w:rFonts w:hint="eastAsia" w:ascii="仿宋_GB2312" w:hAnsi="黑体" w:eastAsia="仿宋_GB2312" w:cs="Times New Roman"/>
          <w:b w:val="0"/>
          <w:color w:val="auto"/>
          <w:spacing w:val="-4"/>
          <w:sz w:val="32"/>
          <w:szCs w:val="32"/>
          <w:highlight w:val="none"/>
          <w:lang w:val="en-US" w:eastAsia="zh-CN"/>
        </w:rPr>
        <w:t>:资金未及时申请。</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4</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80</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个项目未完成验收，和田市全民健身中心室外消防管网工程项目</w:t>
      </w:r>
      <w:r>
        <w:rPr>
          <w:rStyle w:val="10"/>
          <w:rFonts w:hint="eastAsia" w:ascii="仿宋_GB2312" w:hAnsi="黑体" w:eastAsia="仿宋_GB2312" w:cs="Times New Roman"/>
          <w:b w:val="0"/>
          <w:color w:val="auto"/>
          <w:spacing w:val="-4"/>
          <w:sz w:val="32"/>
          <w:szCs w:val="32"/>
          <w:highlight w:val="none"/>
          <w:lang w:val="en-US" w:eastAsia="zh-CN"/>
        </w:rPr>
        <w:t>:资金未及时申请。</w:t>
      </w:r>
    </w:p>
    <w:p>
      <w:pPr>
        <w:numPr>
          <w:ilvl w:val="0"/>
          <w:numId w:val="2"/>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个项目，通过项目的实施带来的效益：</w:t>
      </w:r>
      <w:r>
        <w:rPr>
          <w:rFonts w:hint="eastAsia" w:ascii="仿宋_GB2312" w:hAnsi="方正楷体简体" w:eastAsia="仿宋_GB2312" w:cs="宋体"/>
          <w:color w:val="auto"/>
          <w:sz w:val="32"/>
          <w:szCs w:val="32"/>
          <w:highlight w:val="none"/>
          <w:lang w:eastAsia="zh-CN"/>
        </w:rPr>
        <w:t>开发农村旅游项目，开展村级文化活动，大力推动农村文化、体育、广播、旅游事业的发展，提高农村综合能力。</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Fonts w:hint="eastAsia" w:ascii="仿宋_GB2312" w:hAnsi="仿宋" w:eastAsia="仿宋_GB2312"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20</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19</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95</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8人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112.5</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保障退休人员工资正常发放人数，预期指标是</w:t>
      </w:r>
      <w:r>
        <w:rPr>
          <w:rFonts w:hint="eastAsia" w:ascii="仿宋_GB2312" w:hAnsi="仿宋" w:eastAsia="仿宋_GB2312"/>
          <w:color w:val="auto"/>
          <w:sz w:val="32"/>
          <w:szCs w:val="32"/>
          <w:highlight w:val="none"/>
          <w:lang w:val="en-US" w:eastAsia="zh-CN"/>
        </w:rPr>
        <w:t>4人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4人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保障运转车辆数，预期指标是</w:t>
      </w:r>
      <w:r>
        <w:rPr>
          <w:rFonts w:hint="eastAsia" w:ascii="仿宋_GB2312" w:hAnsi="仿宋" w:eastAsia="仿宋_GB2312"/>
          <w:color w:val="auto"/>
          <w:sz w:val="32"/>
          <w:szCs w:val="32"/>
          <w:highlight w:val="none"/>
          <w:lang w:val="en-US" w:eastAsia="zh-CN"/>
        </w:rPr>
        <w:t>3辆</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3辆</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保障部门预算项目数，预期指标是</w:t>
      </w:r>
      <w:r>
        <w:rPr>
          <w:rFonts w:hint="eastAsia" w:ascii="仿宋_GB2312" w:hAnsi="仿宋" w:eastAsia="仿宋_GB2312"/>
          <w:color w:val="auto"/>
          <w:sz w:val="32"/>
          <w:szCs w:val="32"/>
          <w:highlight w:val="none"/>
          <w:lang w:val="en-US" w:eastAsia="zh-CN"/>
        </w:rPr>
        <w:t>2个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制作小视频数量数量，预期指标是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180个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180个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lang w:eastAsia="zh-CN"/>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数量</w:t>
      </w:r>
      <w:r>
        <w:rPr>
          <w:rFonts w:hint="eastAsia" w:ascii="仿宋_GB2312" w:hAnsi="仿宋" w:eastAsia="仿宋_GB2312"/>
          <w:color w:val="auto"/>
          <w:sz w:val="32"/>
          <w:szCs w:val="32"/>
          <w:highlight w:val="none"/>
        </w:rPr>
        <w:t>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lang w:eastAsia="zh-CN"/>
        </w:rPr>
        <w:t>（</w:t>
      </w:r>
      <w:r>
        <w:rPr>
          <w:rFonts w:hint="eastAsia" w:ascii="仿宋_GB2312" w:hAnsi="楷体" w:eastAsia="仿宋_GB2312" w:cs="仿宋"/>
          <w:color w:val="auto"/>
          <w:spacing w:val="-4"/>
          <w:sz w:val="32"/>
          <w:szCs w:val="32"/>
          <w:highlight w:val="none"/>
          <w:lang w:val="en-US" w:eastAsia="zh-CN"/>
        </w:rPr>
        <w:t>2</w:t>
      </w:r>
      <w:r>
        <w:rPr>
          <w:rFonts w:hint="eastAsia" w:ascii="仿宋_GB2312" w:hAnsi="楷体" w:eastAsia="仿宋_GB2312" w:cs="仿宋"/>
          <w:color w:val="auto"/>
          <w:spacing w:val="-4"/>
          <w:sz w:val="32"/>
          <w:szCs w:val="32"/>
          <w:highlight w:val="none"/>
          <w:lang w:eastAsia="zh-CN"/>
        </w:rPr>
        <w:t>）</w:t>
      </w:r>
      <w:r>
        <w:rPr>
          <w:rFonts w:hint="eastAsia" w:ascii="仿宋_GB2312" w:hAnsi="楷体" w:eastAsia="仿宋_GB2312" w:cs="仿宋"/>
          <w:color w:val="auto"/>
          <w:spacing w:val="-4"/>
          <w:sz w:val="32"/>
          <w:szCs w:val="32"/>
          <w:highlight w:val="none"/>
        </w:rPr>
        <w:t>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工资及社保等各项缴费发放准确率，预期指标是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车辆正常运转率，预期指标是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验收通过率，预期指标是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项目完成时间，预期指标是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项目完成及时率，预期指标是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12.48万元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12.48万元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112.58万元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112.58万元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正常运转支出成本，预期指标是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4.14万元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3.64万元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87.9</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预算项目成本，预期指标是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lang w:val="en-US" w:eastAsia="zh-CN"/>
        </w:rPr>
        <w:t>160.35万元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71.6万元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44.7</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olor w:val="auto"/>
          <w:sz w:val="32"/>
          <w:szCs w:val="32"/>
          <w:highlight w:val="none"/>
        </w:rPr>
        <w:t>未达到预期目标，</w:t>
      </w:r>
      <w:r>
        <w:rPr>
          <w:rFonts w:hint="eastAsia" w:ascii="仿宋_GB2312" w:hAnsi="仿宋" w:eastAsia="仿宋_GB2312"/>
          <w:color w:val="auto"/>
          <w:sz w:val="32"/>
          <w:szCs w:val="32"/>
          <w:highlight w:val="none"/>
          <w:lang w:eastAsia="zh-CN"/>
        </w:rPr>
        <w:t>原因：未按时提供发票材料导致项目资金未能及时支付</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措施：及时提供发票。</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个，成本指标未达到预期目标，</w:t>
      </w:r>
      <w:r>
        <w:rPr>
          <w:rFonts w:hint="eastAsia" w:ascii="仿宋_GB2312" w:hAnsi="仿宋" w:eastAsia="仿宋_GB2312"/>
          <w:color w:val="auto"/>
          <w:sz w:val="32"/>
          <w:szCs w:val="32"/>
          <w:highlight w:val="none"/>
          <w:lang w:eastAsia="zh-CN"/>
        </w:rPr>
        <w:t>成本指标未完成。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w:t>
      </w:r>
      <w:r>
        <w:rPr>
          <w:rFonts w:hint="eastAsia" w:ascii="仿宋_GB2312" w:hAnsi="仿宋" w:eastAsia="仿宋_GB2312"/>
          <w:color w:val="auto"/>
          <w:sz w:val="32"/>
          <w:szCs w:val="32"/>
          <w:highlight w:val="none"/>
          <w:lang w:eastAsia="zh-CN"/>
        </w:rPr>
        <w:t>有效保障</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有效保障</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带动旅游收入增长率，预期指标是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10%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936" w:firstLineChars="3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lang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w:t>
      </w:r>
      <w:r>
        <w:rPr>
          <w:rFonts w:hint="eastAsia" w:ascii="仿宋_GB2312" w:hAnsi="仿宋" w:eastAsia="仿宋_GB2312" w:cs="仿宋"/>
          <w:color w:val="auto"/>
          <w:spacing w:val="-4"/>
          <w:sz w:val="32"/>
          <w:szCs w:val="32"/>
          <w:highlight w:val="none"/>
          <w:lang w:eastAsia="zh-CN"/>
        </w:rPr>
        <w:t>长期</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长期</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608" w:firstLineChars="195"/>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val="en-US"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08" w:firstLineChars="195"/>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hint="default"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效益性评价：预期的经济效益、社会效益、可持续的影响产生，干部职工满意度</w:t>
      </w:r>
      <w:r>
        <w:rPr>
          <w:rFonts w:hint="eastAsia" w:ascii="仿宋_GB2312" w:hAnsi="仿宋" w:eastAsia="仿宋_GB2312" w:cs="仿宋"/>
          <w:color w:val="auto"/>
          <w:spacing w:val="-4"/>
          <w:sz w:val="32"/>
          <w:szCs w:val="32"/>
          <w:highlight w:val="none"/>
          <w:lang w:val="en-US" w:eastAsia="zh-CN"/>
        </w:rPr>
        <w:t>95%，受益群众满意度95%。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eastAsia="zh-CN"/>
        </w:rPr>
        <w:t>未按时提供发票材料导致项目资金未能及时支付</w:t>
      </w:r>
      <w:r>
        <w:rPr>
          <w:rFonts w:hint="eastAsia" w:ascii="仿宋_GB2312" w:hAnsi="仿宋" w:eastAsia="仿宋_GB2312"/>
          <w:color w:val="auto"/>
          <w:sz w:val="32"/>
          <w:szCs w:val="32"/>
          <w:highlight w:val="none"/>
        </w:rPr>
        <w:t>。</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B53981A0"/>
    <w:multiLevelType w:val="singleLevel"/>
    <w:tmpl w:val="B53981A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0F4A4CAB"/>
    <w:rsid w:val="11970B0A"/>
    <w:rsid w:val="141C6243"/>
    <w:rsid w:val="1A7D2E72"/>
    <w:rsid w:val="1ACC0302"/>
    <w:rsid w:val="1CEF2574"/>
    <w:rsid w:val="1D630E10"/>
    <w:rsid w:val="227375DB"/>
    <w:rsid w:val="29F9207F"/>
    <w:rsid w:val="2F187AB3"/>
    <w:rsid w:val="2F2E1EC8"/>
    <w:rsid w:val="2F951F86"/>
    <w:rsid w:val="30E07F90"/>
    <w:rsid w:val="3455214F"/>
    <w:rsid w:val="353C0AD7"/>
    <w:rsid w:val="38E03A11"/>
    <w:rsid w:val="3B2B6289"/>
    <w:rsid w:val="3CCA3DC7"/>
    <w:rsid w:val="43A16D94"/>
    <w:rsid w:val="4D457C38"/>
    <w:rsid w:val="4E31105E"/>
    <w:rsid w:val="4ECD6109"/>
    <w:rsid w:val="517E1B32"/>
    <w:rsid w:val="555C287A"/>
    <w:rsid w:val="55D03A95"/>
    <w:rsid w:val="599F2F96"/>
    <w:rsid w:val="5D6176A7"/>
    <w:rsid w:val="616E0F8F"/>
    <w:rsid w:val="66540FAC"/>
    <w:rsid w:val="666E3F89"/>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7138</Words>
  <Characters>7550</Characters>
  <Lines>58</Lines>
  <Paragraphs>16</Paragraphs>
  <TotalTime>0</TotalTime>
  <ScaleCrop>false</ScaleCrop>
  <LinksUpToDate>false</LinksUpToDate>
  <CharactersWithSpaces>7573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2022-09-05T10:36:14Z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