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中国人民政治协商会议新疆和田市委员会</w:t>
      </w:r>
      <w:r>
        <w:rPr>
          <w:rFonts w:hint="eastAsia" w:ascii="方正小标宋_GBK" w:hAnsi="华文中宋" w:eastAsia="方正小标宋_GBK" w:cs="宋体"/>
          <w:b/>
          <w:color w:val="auto"/>
          <w:kern w:val="0"/>
          <w:sz w:val="44"/>
          <w:szCs w:val="44"/>
          <w:highlight w:val="none"/>
        </w:rPr>
        <w:t>整体支出绩效自评报告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ascii="仿宋_GB2312" w:hAnsi="宋体" w:eastAsia="仿宋_GB2312" w:cs="宋体"/>
          <w:color w:val="auto"/>
          <w:kern w:val="0"/>
          <w:sz w:val="36"/>
          <w:szCs w:val="36"/>
          <w:highlight w:val="none"/>
        </w:rPr>
        <w:t>202</w:t>
      </w:r>
      <w:r>
        <w:rPr>
          <w:rFonts w:hint="eastAsia" w:ascii="仿宋_GB2312" w:hAnsi="宋体" w:eastAsia="仿宋_GB2312" w:cs="宋体"/>
          <w:color w:val="auto"/>
          <w:kern w:val="0"/>
          <w:sz w:val="36"/>
          <w:szCs w:val="36"/>
          <w:highlight w:val="none"/>
          <w:lang w:val="en-US" w:eastAsia="zh-CN"/>
        </w:rPr>
        <w:t>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ind w:left="3240" w:hanging="3240" w:hangingChars="900"/>
        <w:rPr>
          <w:rFonts w:hint="eastAsia" w:ascii="Times New Roman" w:hAnsi="宋体" w:eastAsia="仿宋_GB2312" w:cs="宋体"/>
          <w:color w:val="auto"/>
          <w:kern w:val="0"/>
          <w:sz w:val="36"/>
          <w:szCs w:val="36"/>
          <w:highlight w:val="none"/>
          <w:lang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eastAsia="zh-CN"/>
        </w:rPr>
        <w:t>中国人民政治协商会议新疆和田市委员会</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ascii="Times New Roman" w:hAnsi="宋体" w:eastAsia="仿宋_GB2312" w:cs="宋体"/>
          <w:color w:val="auto"/>
          <w:kern w:val="0"/>
          <w:sz w:val="36"/>
          <w:szCs w:val="36"/>
          <w:highlight w:val="none"/>
        </w:rPr>
        <w:t>202</w:t>
      </w:r>
      <w:r>
        <w:rPr>
          <w:rFonts w:hint="eastAsia" w:ascii="Times New Roman" w:hAnsi="宋体" w:eastAsia="仿宋_GB2312" w:cs="宋体"/>
          <w:color w:val="auto"/>
          <w:kern w:val="0"/>
          <w:sz w:val="36"/>
          <w:szCs w:val="36"/>
          <w:highlight w:val="none"/>
          <w:lang w:val="en-US" w:eastAsia="zh-CN"/>
        </w:rPr>
        <w:t>2</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1</w:t>
      </w:r>
      <w:r>
        <w:rPr>
          <w:rFonts w:hint="eastAsia" w:ascii="Times New Roman" w:hAnsi="宋体" w:eastAsia="仿宋_GB2312" w:cs="宋体"/>
          <w:color w:val="auto"/>
          <w:kern w:val="0"/>
          <w:sz w:val="36"/>
          <w:szCs w:val="36"/>
          <w:highlight w:val="none"/>
        </w:rPr>
        <w:t>月</w:t>
      </w:r>
      <w:r>
        <w:rPr>
          <w:rFonts w:ascii="Times New Roman" w:hAnsi="宋体" w:eastAsia="仿宋_GB2312" w:cs="宋体"/>
          <w:color w:val="auto"/>
          <w:kern w:val="0"/>
          <w:sz w:val="36"/>
          <w:szCs w:val="36"/>
          <w:highlight w:val="none"/>
        </w:rPr>
        <w:t>1</w:t>
      </w:r>
      <w:r>
        <w:rPr>
          <w:rFonts w:hint="eastAsia" w:ascii="Times New Roman" w:hAnsi="宋体" w:eastAsia="仿宋_GB2312" w:cs="宋体"/>
          <w:color w:val="auto"/>
          <w:kern w:val="0"/>
          <w:sz w:val="36"/>
          <w:szCs w:val="36"/>
          <w:highlight w:val="none"/>
          <w:lang w:val="en-US" w:eastAsia="zh-CN"/>
        </w:rPr>
        <w:t>5</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16"/>
        <w:spacing w:line="480" w:lineRule="atLeast"/>
        <w:ind w:left="0" w:leftChars="0" w:firstLine="0" w:firstLineChars="0"/>
        <w:rPr>
          <w:rStyle w:val="10"/>
          <w:rFonts w:hint="eastAsia" w:ascii="黑体" w:hAnsi="黑体" w:eastAsia="黑体"/>
          <w:b w:val="0"/>
          <w:color w:val="auto"/>
          <w:spacing w:val="-4"/>
          <w:sz w:val="32"/>
          <w:szCs w:val="32"/>
          <w:highlight w:val="none"/>
        </w:rPr>
      </w:pPr>
    </w:p>
    <w:p>
      <w:pPr>
        <w:pStyle w:val="16"/>
        <w:spacing w:line="480" w:lineRule="atLeast"/>
        <w:ind w:left="0" w:leftChars="0" w:firstLine="0" w:firstLineChars="0"/>
        <w:rPr>
          <w:rStyle w:val="10"/>
          <w:rFonts w:hint="eastAsia" w:ascii="黑体" w:hAnsi="黑体" w:eastAsia="黑体"/>
          <w:b w:val="0"/>
          <w:color w:val="auto"/>
          <w:spacing w:val="-4"/>
          <w:sz w:val="32"/>
          <w:szCs w:val="32"/>
          <w:highlight w:val="none"/>
        </w:rPr>
      </w:pPr>
    </w:p>
    <w:p>
      <w:pPr>
        <w:pStyle w:val="16"/>
        <w:spacing w:line="480" w:lineRule="atLeast"/>
        <w:ind w:left="0" w:leftChars="0" w:firstLine="624" w:firstLineChars="200"/>
        <w:rPr>
          <w:rStyle w:val="10"/>
          <w:rFonts w:ascii="黑体" w:hAnsi="黑体" w:eastAsia="黑体"/>
          <w:b w:val="0"/>
          <w:color w:val="auto"/>
          <w:spacing w:val="-4"/>
          <w:sz w:val="32"/>
          <w:szCs w:val="32"/>
          <w:highlight w:val="none"/>
        </w:rPr>
      </w:pPr>
      <w:r>
        <w:rPr>
          <w:rStyle w:val="10"/>
          <w:rFonts w:hint="eastAsia" w:ascii="黑体" w:hAnsi="黑体" w:eastAsia="黑体"/>
          <w:b w:val="0"/>
          <w:color w:val="auto"/>
          <w:spacing w:val="-4"/>
          <w:sz w:val="32"/>
          <w:szCs w:val="32"/>
          <w:highlight w:val="none"/>
        </w:rPr>
        <w:t>一、基本概况</w:t>
      </w:r>
    </w:p>
    <w:p>
      <w:pPr>
        <w:spacing w:line="480" w:lineRule="atLeas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（一）单位基本情况</w:t>
      </w:r>
    </w:p>
    <w:p>
      <w:pPr>
        <w:pStyle w:val="16"/>
        <w:spacing w:line="480" w:lineRule="atLeast"/>
        <w:ind w:firstLine="31680"/>
        <w:rPr>
          <w:rFonts w:ascii="仿宋_GB2312" w:hAnsi="仿宋_GB2312" w:eastAsia="仿宋_GB2312" w:cs="仿宋_GB2312"/>
          <w:bCs/>
          <w:color w:val="auto"/>
          <w:sz w:val="32"/>
          <w:szCs w:val="32"/>
          <w:highlight w:val="none"/>
        </w:rPr>
      </w:pPr>
      <w:r>
        <w:rPr>
          <w:rFonts w:ascii="仿宋_GB2312" w:hAnsi="仿宋_GB2312" w:eastAsia="仿宋_GB2312" w:cs="仿宋_GB2312"/>
          <w:bCs/>
          <w:color w:val="auto"/>
          <w:sz w:val="32"/>
          <w:szCs w:val="32"/>
          <w:highlight w:val="none"/>
        </w:rPr>
        <w:t>1</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Cs/>
          <w:color w:val="auto"/>
          <w:sz w:val="32"/>
          <w:szCs w:val="32"/>
          <w:highlight w:val="none"/>
        </w:rPr>
        <w:t>单位主要职能：</w:t>
      </w:r>
      <w:r>
        <w:rPr>
          <w:rFonts w:hint="eastAsia" w:ascii="仿宋_GB2312" w:hAnsi="仿宋_GB2312" w:eastAsia="仿宋_GB2312" w:cs="仿宋_GB2312"/>
          <w:color w:val="auto"/>
          <w:sz w:val="32"/>
          <w:szCs w:val="32"/>
          <w:highlight w:val="none"/>
        </w:rPr>
        <w:t>提案办理、参政议政与民族监督、工资调研、参政议政、帮扶帮困、政协队伍建设、信息上报、制度建设、政协委员调整。</w:t>
      </w:r>
    </w:p>
    <w:p>
      <w:pPr>
        <w:pStyle w:val="16"/>
        <w:spacing w:line="480" w:lineRule="atLeast"/>
        <w:ind w:firstLine="31680"/>
        <w:rPr>
          <w:rFonts w:ascii="仿宋_GB2312" w:hAnsi="仿宋_GB2312" w:eastAsia="仿宋_GB2312" w:cs="仿宋_GB2312"/>
          <w:color w:val="auto"/>
          <w:sz w:val="32"/>
          <w:szCs w:val="32"/>
          <w:highlight w:val="none"/>
        </w:rPr>
      </w:pPr>
      <w:r>
        <w:rPr>
          <w:rFonts w:ascii="仿宋_GB2312" w:hAnsi="仿宋" w:eastAsia="仿宋_GB2312"/>
          <w:bCs/>
          <w:color w:val="auto"/>
          <w:sz w:val="32"/>
          <w:szCs w:val="32"/>
          <w:highlight w:val="none"/>
        </w:rPr>
        <w:t>2</w:t>
      </w:r>
      <w:r>
        <w:rPr>
          <w:rFonts w:hint="eastAsia" w:ascii="仿宋_GB2312" w:hAnsi="仿宋" w:eastAsia="仿宋_GB2312"/>
          <w:bCs/>
          <w:color w:val="auto"/>
          <w:sz w:val="32"/>
          <w:szCs w:val="32"/>
          <w:highlight w:val="none"/>
        </w:rPr>
        <w:t>．单位机构设置及人员情况：政协和田市委员</w:t>
      </w:r>
      <w:r>
        <w:rPr>
          <w:rFonts w:hint="eastAsia" w:ascii="仿宋_GB2312" w:hAnsi="仿宋_GB2312" w:eastAsia="仿宋_GB2312" w:cs="仿宋_GB2312"/>
          <w:color w:val="auto"/>
          <w:sz w:val="32"/>
          <w:szCs w:val="32"/>
          <w:highlight w:val="none"/>
        </w:rPr>
        <w:t>本级无下属预算单位，下设</w:t>
      </w: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个处室，分别是：政协办公室、专委会工作科。</w:t>
      </w:r>
      <w:r>
        <w:rPr>
          <w:rFonts w:hint="eastAsia" w:ascii="仿宋_GB2312" w:hAnsi="仿宋_GB2312" w:eastAsia="仿宋_GB2312" w:cs="仿宋_GB2312"/>
          <w:color w:val="auto"/>
          <w:sz w:val="32"/>
          <w:szCs w:val="32"/>
          <w:highlight w:val="none"/>
          <w:lang w:eastAsia="zh-CN"/>
        </w:rPr>
        <w:t>中国人民政治协商会议新疆和田市委员会</w:t>
      </w:r>
      <w:r>
        <w:rPr>
          <w:rFonts w:hint="eastAsia" w:ascii="仿宋_GB2312" w:hAnsi="仿宋_GB2312" w:eastAsia="仿宋_GB2312" w:cs="仿宋_GB2312"/>
          <w:color w:val="auto"/>
          <w:sz w:val="32"/>
          <w:szCs w:val="32"/>
          <w:highlight w:val="none"/>
        </w:rPr>
        <w:t>编制数</w:t>
      </w:r>
      <w:r>
        <w:rPr>
          <w:rFonts w:ascii="仿宋_GB2312" w:hAnsi="仿宋_GB2312" w:eastAsia="仿宋_GB2312" w:cs="仿宋_GB2312"/>
          <w:color w:val="auto"/>
          <w:sz w:val="32"/>
          <w:szCs w:val="32"/>
          <w:highlight w:val="none"/>
        </w:rPr>
        <w:t>12</w:t>
      </w:r>
      <w:r>
        <w:rPr>
          <w:rFonts w:hint="eastAsia" w:ascii="仿宋_GB2312" w:hAnsi="仿宋_GB2312" w:eastAsia="仿宋_GB2312" w:cs="仿宋_GB2312"/>
          <w:color w:val="auto"/>
          <w:sz w:val="32"/>
          <w:szCs w:val="32"/>
          <w:highlight w:val="none"/>
        </w:rPr>
        <w:t>名，行政编制</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名、事业编制</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名，实有人数</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人，其中：在职</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人，退休</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val="0"/>
        <w:spacing w:line="560" w:lineRule="atLeast"/>
        <w:ind w:firstLine="640" w:firstLineChars="200"/>
        <w:textAlignment w:val="auto"/>
        <w:rPr>
          <w:rFonts w:ascii="仿宋" w:hAnsi="仿宋" w:eastAsia="仿宋_GB2312"/>
          <w:color w:val="auto"/>
          <w:sz w:val="32"/>
          <w:szCs w:val="32"/>
          <w:highlight w:val="none"/>
        </w:rPr>
      </w:pPr>
      <w:r>
        <w:rPr>
          <w:rFonts w:ascii="仿宋_GB2312" w:hAnsi="仿宋" w:eastAsia="仿宋_GB2312"/>
          <w:bCs/>
          <w:color w:val="auto"/>
          <w:sz w:val="32"/>
          <w:szCs w:val="32"/>
          <w:highlight w:val="none"/>
        </w:rPr>
        <w:t>3</w:t>
      </w:r>
      <w:r>
        <w:rPr>
          <w:rFonts w:hint="eastAsia" w:ascii="仿宋_GB2312" w:hAnsi="仿宋" w:eastAsia="仿宋_GB2312"/>
          <w:bCs/>
          <w:color w:val="auto"/>
          <w:sz w:val="32"/>
          <w:szCs w:val="32"/>
          <w:highlight w:val="none"/>
        </w:rPr>
        <w:t>．</w:t>
      </w:r>
      <w:r>
        <w:rPr>
          <w:rFonts w:ascii="仿宋_GB2312" w:hAnsi="仿宋" w:eastAsia="仿宋_GB2312"/>
          <w:bCs/>
          <w:color w:val="auto"/>
          <w:sz w:val="32"/>
          <w:szCs w:val="32"/>
          <w:highlight w:val="none"/>
        </w:rPr>
        <w:t>202</w:t>
      </w:r>
      <w:r>
        <w:rPr>
          <w:rFonts w:hint="eastAsia" w:ascii="仿宋_GB2312" w:hAnsi="仿宋" w:eastAsia="仿宋_GB2312"/>
          <w:bCs/>
          <w:color w:val="auto"/>
          <w:sz w:val="32"/>
          <w:szCs w:val="32"/>
          <w:highlight w:val="none"/>
          <w:lang w:val="en-US" w:eastAsia="zh-CN"/>
        </w:rPr>
        <w:t>1</w:t>
      </w:r>
      <w:r>
        <w:rPr>
          <w:rFonts w:hint="eastAsia" w:ascii="仿宋_GB2312" w:hAnsi="仿宋" w:eastAsia="仿宋_GB2312"/>
          <w:bCs/>
          <w:color w:val="auto"/>
          <w:sz w:val="32"/>
          <w:szCs w:val="32"/>
          <w:highlight w:val="none"/>
        </w:rPr>
        <w:t>年度单位重点工作计划：（</w:t>
      </w:r>
      <w:r>
        <w:rPr>
          <w:rFonts w:ascii="仿宋_GB2312" w:hAnsi="仿宋" w:eastAsia="仿宋_GB2312"/>
          <w:bCs/>
          <w:color w:val="auto"/>
          <w:sz w:val="32"/>
          <w:szCs w:val="32"/>
          <w:highlight w:val="none"/>
        </w:rPr>
        <w:t>1</w:t>
      </w:r>
      <w:r>
        <w:rPr>
          <w:rFonts w:hint="eastAsia" w:ascii="仿宋_GB2312" w:hAnsi="仿宋" w:eastAsia="仿宋_GB2312"/>
          <w:bCs/>
          <w:color w:val="auto"/>
          <w:sz w:val="32"/>
          <w:szCs w:val="32"/>
          <w:highlight w:val="none"/>
        </w:rPr>
        <w:t>）召开“两会”；（</w:t>
      </w:r>
      <w:r>
        <w:rPr>
          <w:rFonts w:ascii="仿宋_GB2312" w:hAnsi="仿宋" w:eastAsia="仿宋_GB2312"/>
          <w:bCs/>
          <w:color w:val="auto"/>
          <w:sz w:val="32"/>
          <w:szCs w:val="32"/>
          <w:highlight w:val="none"/>
        </w:rPr>
        <w:t>2</w:t>
      </w:r>
      <w:r>
        <w:rPr>
          <w:rFonts w:hint="eastAsia" w:ascii="仿宋_GB2312" w:hAnsi="仿宋" w:eastAsia="仿宋_GB2312"/>
          <w:bCs/>
          <w:color w:val="auto"/>
          <w:sz w:val="32"/>
          <w:szCs w:val="32"/>
          <w:highlight w:val="none"/>
        </w:rPr>
        <w:t>）召开提案交办会；（</w:t>
      </w:r>
      <w:r>
        <w:rPr>
          <w:rFonts w:ascii="仿宋_GB2312" w:hAnsi="仿宋" w:eastAsia="仿宋_GB2312"/>
          <w:bCs/>
          <w:color w:val="auto"/>
          <w:sz w:val="32"/>
          <w:szCs w:val="32"/>
          <w:highlight w:val="none"/>
        </w:rPr>
        <w:t>3</w:t>
      </w:r>
      <w:r>
        <w:rPr>
          <w:rFonts w:hint="eastAsia" w:ascii="仿宋_GB2312" w:hAnsi="仿宋" w:eastAsia="仿宋_GB2312"/>
          <w:bCs/>
          <w:color w:val="auto"/>
          <w:sz w:val="32"/>
          <w:szCs w:val="32"/>
          <w:highlight w:val="none"/>
        </w:rPr>
        <w:t>）加强统筹谋划，制定帮扶计划；（</w:t>
      </w:r>
      <w:r>
        <w:rPr>
          <w:rFonts w:ascii="仿宋_GB2312" w:hAnsi="仿宋" w:eastAsia="仿宋_GB2312"/>
          <w:bCs/>
          <w:color w:val="auto"/>
          <w:sz w:val="32"/>
          <w:szCs w:val="32"/>
          <w:highlight w:val="none"/>
        </w:rPr>
        <w:t>4</w:t>
      </w:r>
      <w:r>
        <w:rPr>
          <w:rFonts w:hint="eastAsia" w:ascii="仿宋_GB2312" w:hAnsi="仿宋" w:eastAsia="仿宋_GB2312"/>
          <w:bCs/>
          <w:color w:val="auto"/>
          <w:sz w:val="32"/>
          <w:szCs w:val="32"/>
          <w:highlight w:val="none"/>
        </w:rPr>
        <w:t>）开展节前慰问活动；（</w:t>
      </w:r>
      <w:r>
        <w:rPr>
          <w:rFonts w:ascii="仿宋_GB2312" w:hAnsi="仿宋" w:eastAsia="仿宋_GB2312"/>
          <w:bCs/>
          <w:color w:val="auto"/>
          <w:sz w:val="32"/>
          <w:szCs w:val="32"/>
          <w:highlight w:val="none"/>
        </w:rPr>
        <w:t>5</w:t>
      </w:r>
      <w:r>
        <w:rPr>
          <w:rFonts w:hint="eastAsia" w:ascii="仿宋_GB2312" w:hAnsi="仿宋" w:eastAsia="仿宋_GB2312"/>
          <w:bCs/>
          <w:color w:val="auto"/>
          <w:sz w:val="32"/>
          <w:szCs w:val="32"/>
          <w:highlight w:val="none"/>
        </w:rPr>
        <w:t>）开展视察和调研；（</w:t>
      </w:r>
      <w:r>
        <w:rPr>
          <w:rFonts w:ascii="仿宋_GB2312" w:hAnsi="仿宋" w:eastAsia="仿宋_GB2312"/>
          <w:bCs/>
          <w:color w:val="auto"/>
          <w:sz w:val="32"/>
          <w:szCs w:val="32"/>
          <w:highlight w:val="none"/>
        </w:rPr>
        <w:t>6</w:t>
      </w:r>
      <w:r>
        <w:rPr>
          <w:rFonts w:hint="eastAsia" w:ascii="仿宋_GB2312" w:hAnsi="仿宋" w:eastAsia="仿宋_GB2312"/>
          <w:bCs/>
          <w:color w:val="auto"/>
          <w:sz w:val="32"/>
          <w:szCs w:val="32"/>
          <w:highlight w:val="none"/>
        </w:rPr>
        <w:t>）加强协商议政。</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（二）决策过程</w:t>
      </w:r>
    </w:p>
    <w:p>
      <w:pPr>
        <w:pStyle w:val="16"/>
        <w:spacing w:line="560" w:lineRule="exact"/>
        <w:ind w:firstLine="3168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本单位的项目立项符合相关法规政策及单位职责，依据充分；项目按照规定的程序申请设立；审批文件、材料符合相关要求；项目前期已经经过必要的绩效评估、集体决策。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（三）资金分配</w:t>
      </w:r>
    </w:p>
    <w:p>
      <w:pPr>
        <w:pStyle w:val="16"/>
        <w:spacing w:line="560" w:lineRule="exact"/>
        <w:ind w:firstLine="3168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在资金投入方面，预算编制经过科学论证、有明确标准，资金额度与年度目标一致，用以反映和考核项目预算编制的科学性、合理性情况。本年度合理安排专项项目与单位预算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（四）单位整体支出规模、使用方法、主要内容及涉及范围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rPr>
        <w:t>．单位整体支出规模</w:t>
      </w:r>
    </w:p>
    <w:p>
      <w:pPr>
        <w:ind w:firstLine="640" w:firstLineChars="200"/>
        <w:rPr>
          <w:rFonts w:hint="eastAsia" w:ascii="仿宋_GB2312" w:hAnsi="仿宋" w:eastAsia="仿宋_GB2312"/>
          <w:color w:val="auto"/>
          <w:sz w:val="32"/>
          <w:szCs w:val="32"/>
          <w:highlight w:val="none"/>
          <w:lang w:eastAsia="zh-CN"/>
        </w:rPr>
      </w:pPr>
      <w:r>
        <w:rPr>
          <w:rFonts w:ascii="仿宋_GB2312" w:hAnsi="仿宋" w:eastAsia="仿宋_GB2312"/>
          <w:color w:val="auto"/>
          <w:sz w:val="32"/>
          <w:szCs w:val="32"/>
          <w:highlight w:val="none"/>
        </w:rPr>
        <w:t>202</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lang w:eastAsia="zh-CN"/>
        </w:rPr>
        <w:t>中国人民政治协商会议新疆和田市委员会</w:t>
      </w:r>
      <w:r>
        <w:rPr>
          <w:rFonts w:hint="eastAsia" w:ascii="仿宋_GB2312" w:hAnsi="仿宋" w:eastAsia="仿宋_GB2312"/>
          <w:color w:val="auto"/>
          <w:sz w:val="32"/>
          <w:szCs w:val="32"/>
          <w:highlight w:val="none"/>
        </w:rPr>
        <w:t>整体支出全年预算总额为</w:t>
      </w:r>
      <w:r>
        <w:rPr>
          <w:rFonts w:hint="eastAsia" w:ascii="仿宋_GB2312" w:hAnsi="仿宋" w:eastAsia="仿宋_GB2312"/>
          <w:color w:val="auto"/>
          <w:sz w:val="32"/>
          <w:szCs w:val="32"/>
          <w:highlight w:val="none"/>
          <w:lang w:val="en-US" w:eastAsia="zh-CN"/>
        </w:rPr>
        <w:t>457.23</w:t>
      </w:r>
      <w:r>
        <w:rPr>
          <w:rFonts w:hint="eastAsia" w:ascii="仿宋_GB2312" w:hAnsi="仿宋" w:eastAsia="仿宋_GB2312"/>
          <w:color w:val="auto"/>
          <w:sz w:val="32"/>
          <w:szCs w:val="32"/>
          <w:highlight w:val="none"/>
        </w:rPr>
        <w:t>万元，资金执行数</w:t>
      </w:r>
      <w:r>
        <w:rPr>
          <w:rFonts w:hint="eastAsia" w:ascii="仿宋_GB2312" w:hAnsi="仿宋" w:eastAsia="仿宋_GB2312"/>
          <w:color w:val="auto"/>
          <w:sz w:val="32"/>
          <w:szCs w:val="32"/>
          <w:highlight w:val="none"/>
          <w:lang w:val="en-US" w:eastAsia="zh-CN"/>
        </w:rPr>
        <w:t>435.31</w:t>
      </w:r>
      <w:r>
        <w:rPr>
          <w:rFonts w:hint="eastAsia" w:ascii="仿宋_GB2312" w:hAnsi="仿宋" w:eastAsia="仿宋_GB2312"/>
          <w:color w:val="auto"/>
          <w:sz w:val="32"/>
          <w:szCs w:val="32"/>
          <w:highlight w:val="none"/>
        </w:rPr>
        <w:t>万元，执行率</w:t>
      </w:r>
      <w:r>
        <w:rPr>
          <w:rFonts w:hint="eastAsia" w:ascii="仿宋_GB2312" w:hAnsi="仿宋" w:eastAsia="仿宋_GB2312"/>
          <w:color w:val="auto"/>
          <w:sz w:val="32"/>
          <w:szCs w:val="32"/>
          <w:highlight w:val="none"/>
          <w:lang w:val="en-US" w:eastAsia="zh-CN"/>
        </w:rPr>
        <w:t>95.2</w:t>
      </w:r>
      <w:r>
        <w:rPr>
          <w:rFonts w:ascii="仿宋_GB2312" w:hAnsi="仿宋" w:eastAsia="仿宋_GB2312"/>
          <w:color w:val="auto"/>
          <w:sz w:val="32"/>
          <w:szCs w:val="32"/>
          <w:highlight w:val="none"/>
        </w:rPr>
        <w:t>%</w:t>
      </w:r>
      <w:r>
        <w:rPr>
          <w:rFonts w:hint="eastAsia" w:ascii="仿宋_GB2312" w:hAnsi="仿宋" w:eastAsia="仿宋_GB2312"/>
          <w:color w:val="auto"/>
          <w:sz w:val="32"/>
          <w:szCs w:val="32"/>
          <w:highlight w:val="none"/>
        </w:rPr>
        <w:t>；全年预算总额较上年</w:t>
      </w:r>
      <w:r>
        <w:rPr>
          <w:rFonts w:hint="eastAsia" w:ascii="仿宋_GB2312" w:hAnsi="仿宋" w:eastAsia="仿宋_GB2312"/>
          <w:color w:val="auto"/>
          <w:sz w:val="32"/>
          <w:szCs w:val="32"/>
          <w:highlight w:val="none"/>
          <w:lang w:val="en-US" w:eastAsia="zh-CN"/>
        </w:rPr>
        <w:t>428.05</w:t>
      </w:r>
      <w:r>
        <w:rPr>
          <w:rFonts w:hint="eastAsia" w:ascii="仿宋_GB2312" w:hAnsi="仿宋" w:eastAsia="仿宋_GB2312"/>
          <w:color w:val="auto"/>
          <w:sz w:val="32"/>
          <w:szCs w:val="32"/>
          <w:highlight w:val="none"/>
        </w:rPr>
        <w:t>万元，</w:t>
      </w:r>
      <w:r>
        <w:rPr>
          <w:rFonts w:hint="eastAsia" w:ascii="仿宋_GB2312" w:hAnsi="仿宋" w:eastAsia="仿宋_GB2312"/>
          <w:color w:val="auto"/>
          <w:sz w:val="32"/>
          <w:szCs w:val="32"/>
          <w:highlight w:val="none"/>
          <w:lang w:eastAsia="zh-CN"/>
        </w:rPr>
        <w:t>增加</w:t>
      </w:r>
      <w:r>
        <w:rPr>
          <w:rFonts w:hint="eastAsia" w:ascii="仿宋_GB2312" w:hAnsi="仿宋" w:eastAsia="仿宋_GB2312"/>
          <w:color w:val="auto"/>
          <w:sz w:val="32"/>
          <w:szCs w:val="32"/>
          <w:highlight w:val="none"/>
          <w:lang w:val="en-US" w:eastAsia="zh-CN"/>
        </w:rPr>
        <w:t>29.18</w:t>
      </w:r>
      <w:r>
        <w:rPr>
          <w:rFonts w:hint="eastAsia" w:ascii="仿宋_GB2312" w:hAnsi="仿宋" w:eastAsia="仿宋_GB2312"/>
          <w:color w:val="auto"/>
          <w:sz w:val="32"/>
          <w:szCs w:val="32"/>
          <w:highlight w:val="none"/>
        </w:rPr>
        <w:t>万元，</w:t>
      </w:r>
      <w:r>
        <w:rPr>
          <w:rFonts w:hint="eastAsia" w:ascii="仿宋_GB2312" w:hAnsi="仿宋" w:eastAsia="仿宋_GB2312"/>
          <w:color w:val="auto"/>
          <w:sz w:val="32"/>
          <w:szCs w:val="32"/>
          <w:highlight w:val="none"/>
          <w:lang w:eastAsia="zh-CN"/>
        </w:rPr>
        <w:t>增</w:t>
      </w:r>
      <w:r>
        <w:rPr>
          <w:rFonts w:hint="eastAsia" w:ascii="仿宋_GB2312" w:hAnsi="仿宋" w:eastAsia="仿宋_GB2312"/>
          <w:color w:val="auto"/>
          <w:sz w:val="32"/>
          <w:szCs w:val="32"/>
          <w:highlight w:val="none"/>
        </w:rPr>
        <w:t>幅：</w:t>
      </w:r>
      <w:r>
        <w:rPr>
          <w:rFonts w:hint="eastAsia" w:ascii="仿宋_GB2312" w:hAnsi="仿宋" w:eastAsia="仿宋_GB2312"/>
          <w:color w:val="auto"/>
          <w:sz w:val="32"/>
          <w:szCs w:val="32"/>
          <w:highlight w:val="none"/>
          <w:lang w:val="en-US" w:eastAsia="zh-CN"/>
        </w:rPr>
        <w:t>6.8</w:t>
      </w:r>
      <w:r>
        <w:rPr>
          <w:rFonts w:ascii="仿宋_GB2312" w:hAnsi="仿宋" w:eastAsia="仿宋_GB2312"/>
          <w:color w:val="auto"/>
          <w:sz w:val="32"/>
          <w:szCs w:val="32"/>
          <w:highlight w:val="none"/>
        </w:rPr>
        <w:t>%</w:t>
      </w:r>
      <w:r>
        <w:rPr>
          <w:rFonts w:hint="eastAsia" w:ascii="仿宋_GB2312" w:hAnsi="仿宋" w:eastAsia="仿宋_GB2312"/>
          <w:color w:val="auto"/>
          <w:sz w:val="32"/>
          <w:szCs w:val="32"/>
          <w:highlight w:val="none"/>
        </w:rPr>
        <w:t>，变动主要原因是：</w:t>
      </w:r>
      <w:r>
        <w:rPr>
          <w:rFonts w:hint="eastAsia" w:ascii="仿宋_GB2312" w:hAnsi="仿宋" w:eastAsia="仿宋_GB2312"/>
          <w:color w:val="auto"/>
          <w:sz w:val="32"/>
          <w:szCs w:val="32"/>
          <w:highlight w:val="none"/>
          <w:lang w:eastAsia="zh-CN"/>
        </w:rPr>
        <w:t>人员增加，工资增加。</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w:t>
      </w:r>
      <w:r>
        <w:rPr>
          <w:rFonts w:ascii="仿宋_GB2312" w:hAnsi="仿宋" w:eastAsia="仿宋_GB2312"/>
          <w:color w:val="auto"/>
          <w:sz w:val="32"/>
          <w:szCs w:val="32"/>
          <w:highlight w:val="none"/>
        </w:rPr>
        <w:t>1</w:t>
      </w:r>
      <w:r>
        <w:rPr>
          <w:rFonts w:hint="eastAsia" w:ascii="仿宋_GB2312" w:hAnsi="仿宋" w:eastAsia="仿宋_GB2312"/>
          <w:color w:val="auto"/>
          <w:sz w:val="32"/>
          <w:szCs w:val="32"/>
          <w:highlight w:val="none"/>
        </w:rPr>
        <w:t>）基本支出情况</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截至</w:t>
      </w:r>
      <w:r>
        <w:rPr>
          <w:rFonts w:ascii="仿宋_GB2312" w:hAnsi="仿宋" w:eastAsia="仿宋_GB2312"/>
          <w:color w:val="auto"/>
          <w:sz w:val="32"/>
          <w:szCs w:val="32"/>
          <w:highlight w:val="none"/>
        </w:rPr>
        <w:t>12</w:t>
      </w:r>
      <w:r>
        <w:rPr>
          <w:rFonts w:hint="eastAsia" w:ascii="仿宋_GB2312" w:hAnsi="仿宋" w:eastAsia="仿宋_GB2312"/>
          <w:color w:val="auto"/>
          <w:sz w:val="32"/>
          <w:szCs w:val="32"/>
          <w:highlight w:val="none"/>
        </w:rPr>
        <w:t>月</w:t>
      </w:r>
      <w:r>
        <w:rPr>
          <w:rFonts w:ascii="仿宋_GB2312" w:hAnsi="仿宋" w:eastAsia="仿宋_GB2312"/>
          <w:color w:val="auto"/>
          <w:sz w:val="32"/>
          <w:szCs w:val="32"/>
          <w:highlight w:val="none"/>
        </w:rPr>
        <w:t>31</w:t>
      </w:r>
      <w:r>
        <w:rPr>
          <w:rFonts w:hint="eastAsia" w:ascii="仿宋_GB2312" w:hAnsi="仿宋" w:eastAsia="仿宋_GB2312"/>
          <w:color w:val="auto"/>
          <w:sz w:val="32"/>
          <w:szCs w:val="32"/>
          <w:highlight w:val="none"/>
        </w:rPr>
        <w:t>日</w:t>
      </w:r>
      <w:r>
        <w:rPr>
          <w:rFonts w:ascii="仿宋_GB2312" w:hAnsi="仿宋" w:eastAsia="仿宋_GB2312"/>
          <w:color w:val="auto"/>
          <w:sz w:val="32"/>
          <w:szCs w:val="32"/>
          <w:highlight w:val="none"/>
        </w:rPr>
        <w:t>,</w:t>
      </w:r>
      <w:r>
        <w:rPr>
          <w:rFonts w:hint="eastAsia" w:ascii="仿宋_GB2312" w:hAnsi="仿宋" w:eastAsia="仿宋_GB2312"/>
          <w:color w:val="auto"/>
          <w:sz w:val="32"/>
          <w:szCs w:val="32"/>
          <w:highlight w:val="none"/>
        </w:rPr>
        <w:t>基本支出全年预算数</w:t>
      </w:r>
      <w:r>
        <w:rPr>
          <w:rFonts w:hint="eastAsia" w:ascii="仿宋_GB2312" w:hAnsi="仿宋" w:eastAsia="仿宋_GB2312"/>
          <w:color w:val="auto"/>
          <w:sz w:val="32"/>
          <w:szCs w:val="32"/>
          <w:highlight w:val="none"/>
          <w:lang w:val="en-US" w:eastAsia="zh-CN"/>
        </w:rPr>
        <w:t>399.39</w:t>
      </w:r>
      <w:r>
        <w:rPr>
          <w:rFonts w:hint="eastAsia" w:ascii="仿宋_GB2312" w:hAnsi="仿宋" w:eastAsia="仿宋_GB2312"/>
          <w:color w:val="auto"/>
          <w:sz w:val="32"/>
          <w:szCs w:val="32"/>
          <w:highlight w:val="none"/>
        </w:rPr>
        <w:t>万元，资金执行数</w:t>
      </w:r>
      <w:r>
        <w:rPr>
          <w:rFonts w:hint="eastAsia" w:ascii="仿宋_GB2312" w:hAnsi="仿宋" w:eastAsia="仿宋_GB2312"/>
          <w:color w:val="auto"/>
          <w:sz w:val="32"/>
          <w:szCs w:val="32"/>
          <w:highlight w:val="none"/>
          <w:lang w:val="en-US" w:eastAsia="zh-CN"/>
        </w:rPr>
        <w:t>390.33</w:t>
      </w:r>
      <w:r>
        <w:rPr>
          <w:rFonts w:hint="eastAsia" w:ascii="仿宋_GB2312" w:hAnsi="仿宋" w:eastAsia="仿宋_GB2312"/>
          <w:color w:val="auto"/>
          <w:sz w:val="32"/>
          <w:szCs w:val="32"/>
          <w:highlight w:val="none"/>
        </w:rPr>
        <w:t>万元，执行率</w:t>
      </w:r>
      <w:r>
        <w:rPr>
          <w:rFonts w:hint="eastAsia" w:ascii="仿宋_GB2312" w:hAnsi="仿宋" w:eastAsia="仿宋_GB2312"/>
          <w:color w:val="auto"/>
          <w:sz w:val="32"/>
          <w:szCs w:val="32"/>
          <w:highlight w:val="none"/>
          <w:lang w:val="en-US" w:eastAsia="zh-CN"/>
        </w:rPr>
        <w:t>97.7</w:t>
      </w:r>
      <w:r>
        <w:rPr>
          <w:rFonts w:ascii="仿宋_GB2312" w:hAnsi="仿宋" w:eastAsia="仿宋_GB2312"/>
          <w:color w:val="auto"/>
          <w:sz w:val="32"/>
          <w:szCs w:val="32"/>
          <w:highlight w:val="none"/>
        </w:rPr>
        <w:t>%</w:t>
      </w:r>
      <w:r>
        <w:rPr>
          <w:rFonts w:hint="eastAsia" w:ascii="仿宋_GB2312" w:hAnsi="仿宋" w:eastAsia="仿宋_GB2312"/>
          <w:color w:val="auto"/>
          <w:sz w:val="32"/>
          <w:szCs w:val="32"/>
          <w:highlight w:val="none"/>
        </w:rPr>
        <w:t>；其中，年初单位预算批复的整体支出绩效目标表中，基本支出预算数</w:t>
      </w:r>
      <w:r>
        <w:rPr>
          <w:rFonts w:hint="eastAsia" w:ascii="仿宋_GB2312" w:hAnsi="仿宋" w:eastAsia="仿宋_GB2312"/>
          <w:color w:val="auto"/>
          <w:sz w:val="32"/>
          <w:szCs w:val="32"/>
          <w:highlight w:val="none"/>
          <w:lang w:val="en-US" w:eastAsia="zh-CN"/>
        </w:rPr>
        <w:t>325.49</w:t>
      </w:r>
      <w:r>
        <w:rPr>
          <w:rFonts w:hint="eastAsia" w:ascii="仿宋_GB2312" w:hAnsi="仿宋" w:eastAsia="仿宋_GB2312"/>
          <w:color w:val="auto"/>
          <w:sz w:val="32"/>
          <w:szCs w:val="32"/>
          <w:highlight w:val="none"/>
        </w:rPr>
        <w:t>万元，年中</w:t>
      </w:r>
      <w:r>
        <w:rPr>
          <w:rFonts w:hint="eastAsia" w:ascii="仿宋_GB2312" w:hAnsi="仿宋" w:eastAsia="仿宋_GB2312"/>
          <w:color w:val="auto"/>
          <w:sz w:val="32"/>
          <w:szCs w:val="32"/>
          <w:highlight w:val="none"/>
          <w:lang w:val="en-US" w:eastAsia="zh-CN"/>
        </w:rPr>
        <w:t>追加</w:t>
      </w:r>
      <w:r>
        <w:rPr>
          <w:rFonts w:hint="eastAsia" w:ascii="仿宋_GB2312" w:hAnsi="仿宋" w:eastAsia="仿宋_GB2312"/>
          <w:color w:val="auto"/>
          <w:sz w:val="32"/>
          <w:szCs w:val="32"/>
          <w:highlight w:val="none"/>
        </w:rPr>
        <w:t>基本支出预算数</w:t>
      </w:r>
      <w:r>
        <w:rPr>
          <w:rFonts w:hint="eastAsia" w:ascii="仿宋_GB2312" w:hAnsi="仿宋" w:eastAsia="仿宋_GB2312"/>
          <w:color w:val="auto"/>
          <w:sz w:val="32"/>
          <w:szCs w:val="32"/>
          <w:highlight w:val="none"/>
          <w:lang w:val="en-US" w:eastAsia="zh-CN"/>
        </w:rPr>
        <w:t>73.90</w:t>
      </w:r>
      <w:r>
        <w:rPr>
          <w:rFonts w:hint="eastAsia" w:ascii="仿宋_GB2312" w:hAnsi="仿宋" w:eastAsia="仿宋_GB2312"/>
          <w:color w:val="auto"/>
          <w:sz w:val="32"/>
          <w:szCs w:val="32"/>
          <w:highlight w:val="none"/>
        </w:rPr>
        <w:t>万元。</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w:t>
      </w:r>
      <w:r>
        <w:rPr>
          <w:rFonts w:ascii="仿宋_GB2312" w:hAnsi="仿宋" w:eastAsia="仿宋_GB2312"/>
          <w:color w:val="auto"/>
          <w:sz w:val="32"/>
          <w:szCs w:val="32"/>
          <w:highlight w:val="none"/>
        </w:rPr>
        <w:t>2</w:t>
      </w:r>
      <w:r>
        <w:rPr>
          <w:rFonts w:hint="eastAsia" w:ascii="仿宋_GB2312" w:hAnsi="仿宋" w:eastAsia="仿宋_GB2312"/>
          <w:color w:val="auto"/>
          <w:sz w:val="32"/>
          <w:szCs w:val="32"/>
          <w:highlight w:val="none"/>
        </w:rPr>
        <w:t>）单位预算项目支出情况</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截至</w:t>
      </w:r>
      <w:r>
        <w:rPr>
          <w:rFonts w:ascii="仿宋_GB2312" w:hAnsi="仿宋" w:eastAsia="仿宋_GB2312"/>
          <w:color w:val="auto"/>
          <w:sz w:val="32"/>
          <w:szCs w:val="32"/>
          <w:highlight w:val="none"/>
        </w:rPr>
        <w:t>12</w:t>
      </w:r>
      <w:r>
        <w:rPr>
          <w:rFonts w:hint="eastAsia" w:ascii="仿宋_GB2312" w:hAnsi="仿宋" w:eastAsia="仿宋_GB2312"/>
          <w:color w:val="auto"/>
          <w:sz w:val="32"/>
          <w:szCs w:val="32"/>
          <w:highlight w:val="none"/>
        </w:rPr>
        <w:t>月</w:t>
      </w:r>
      <w:r>
        <w:rPr>
          <w:rFonts w:ascii="仿宋_GB2312" w:hAnsi="仿宋" w:eastAsia="仿宋_GB2312"/>
          <w:color w:val="auto"/>
          <w:sz w:val="32"/>
          <w:szCs w:val="32"/>
          <w:highlight w:val="none"/>
        </w:rPr>
        <w:t>31</w:t>
      </w:r>
      <w:r>
        <w:rPr>
          <w:rFonts w:hint="eastAsia" w:ascii="仿宋_GB2312" w:hAnsi="仿宋" w:eastAsia="仿宋_GB2312"/>
          <w:color w:val="auto"/>
          <w:sz w:val="32"/>
          <w:szCs w:val="32"/>
          <w:highlight w:val="none"/>
        </w:rPr>
        <w:t>日，单位预算项目支出数共</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个，全年预算数</w:t>
      </w:r>
      <w:r>
        <w:rPr>
          <w:rFonts w:hint="eastAsia" w:ascii="仿宋_GB2312" w:hAnsi="仿宋" w:eastAsia="仿宋_GB2312"/>
          <w:color w:val="auto"/>
          <w:sz w:val="32"/>
          <w:szCs w:val="32"/>
          <w:highlight w:val="none"/>
          <w:lang w:val="en-US" w:eastAsia="zh-CN"/>
        </w:rPr>
        <w:t>22.84</w:t>
      </w:r>
      <w:r>
        <w:rPr>
          <w:rFonts w:hint="eastAsia" w:ascii="仿宋_GB2312" w:hAnsi="仿宋" w:eastAsia="仿宋_GB2312"/>
          <w:color w:val="auto"/>
          <w:sz w:val="32"/>
          <w:szCs w:val="32"/>
          <w:highlight w:val="none"/>
        </w:rPr>
        <w:t>万元，资金执行数</w:t>
      </w:r>
      <w:r>
        <w:rPr>
          <w:rFonts w:hint="eastAsia" w:ascii="仿宋_GB2312" w:hAnsi="仿宋" w:eastAsia="仿宋_GB2312"/>
          <w:color w:val="auto"/>
          <w:sz w:val="32"/>
          <w:szCs w:val="32"/>
          <w:highlight w:val="none"/>
          <w:lang w:val="en-US" w:eastAsia="zh-CN"/>
        </w:rPr>
        <w:t>10</w:t>
      </w:r>
      <w:r>
        <w:rPr>
          <w:rFonts w:hint="eastAsia" w:ascii="仿宋_GB2312" w:hAnsi="仿宋" w:eastAsia="仿宋_GB2312"/>
          <w:color w:val="auto"/>
          <w:sz w:val="32"/>
          <w:szCs w:val="32"/>
          <w:highlight w:val="none"/>
        </w:rPr>
        <w:t>万元，执行率</w:t>
      </w:r>
      <w:r>
        <w:rPr>
          <w:rFonts w:hint="eastAsia" w:ascii="仿宋_GB2312" w:hAnsi="仿宋" w:eastAsia="仿宋_GB2312"/>
          <w:color w:val="auto"/>
          <w:sz w:val="32"/>
          <w:szCs w:val="32"/>
          <w:highlight w:val="none"/>
          <w:lang w:val="en-US" w:eastAsia="zh-CN"/>
        </w:rPr>
        <w:t>43.8</w:t>
      </w:r>
      <w:r>
        <w:rPr>
          <w:rFonts w:ascii="仿宋_GB2312" w:hAnsi="仿宋" w:eastAsia="仿宋_GB2312"/>
          <w:color w:val="auto"/>
          <w:sz w:val="32"/>
          <w:szCs w:val="32"/>
          <w:highlight w:val="none"/>
        </w:rPr>
        <w:t>%</w:t>
      </w:r>
      <w:r>
        <w:rPr>
          <w:rFonts w:hint="eastAsia" w:ascii="仿宋_GB2312" w:hAnsi="仿宋" w:eastAsia="仿宋_GB2312"/>
          <w:color w:val="auto"/>
          <w:sz w:val="32"/>
          <w:szCs w:val="32"/>
          <w:highlight w:val="none"/>
        </w:rPr>
        <w:t>；其中，年初单位预算批复的整体支出绩效目标表中，项目支出预算数</w:t>
      </w:r>
      <w:r>
        <w:rPr>
          <w:rFonts w:hint="eastAsia" w:ascii="仿宋_GB2312" w:hAnsi="仿宋" w:eastAsia="仿宋_GB2312"/>
          <w:color w:val="auto"/>
          <w:sz w:val="32"/>
          <w:szCs w:val="32"/>
          <w:highlight w:val="none"/>
          <w:lang w:val="en-US" w:eastAsia="zh-CN"/>
        </w:rPr>
        <w:t>22.84</w:t>
      </w:r>
      <w:r>
        <w:rPr>
          <w:rFonts w:hint="eastAsia" w:ascii="仿宋_GB2312" w:hAnsi="仿宋" w:eastAsia="仿宋_GB2312"/>
          <w:color w:val="auto"/>
          <w:sz w:val="32"/>
          <w:szCs w:val="32"/>
          <w:highlight w:val="none"/>
        </w:rPr>
        <w:t>万元，资金执行数</w:t>
      </w:r>
      <w:r>
        <w:rPr>
          <w:rFonts w:hint="eastAsia" w:ascii="仿宋_GB2312" w:hAnsi="仿宋" w:eastAsia="仿宋_GB2312"/>
          <w:color w:val="auto"/>
          <w:sz w:val="32"/>
          <w:szCs w:val="32"/>
          <w:highlight w:val="none"/>
          <w:lang w:val="en-US" w:eastAsia="zh-CN"/>
        </w:rPr>
        <w:t>10</w:t>
      </w:r>
      <w:r>
        <w:rPr>
          <w:rFonts w:hint="eastAsia" w:ascii="仿宋_GB2312" w:hAnsi="仿宋" w:eastAsia="仿宋_GB2312"/>
          <w:color w:val="auto"/>
          <w:sz w:val="32"/>
          <w:szCs w:val="32"/>
          <w:highlight w:val="none"/>
        </w:rPr>
        <w:t>万元，年中追加项目支出预算数</w:t>
      </w:r>
      <w:r>
        <w:rPr>
          <w:rFonts w:ascii="仿宋_GB2312" w:hAnsi="仿宋" w:eastAsia="仿宋_GB2312"/>
          <w:color w:val="auto"/>
          <w:sz w:val="32"/>
          <w:szCs w:val="32"/>
          <w:highlight w:val="none"/>
        </w:rPr>
        <w:t>0</w:t>
      </w:r>
      <w:r>
        <w:rPr>
          <w:rFonts w:hint="eastAsia" w:ascii="仿宋_GB2312" w:hAnsi="仿宋" w:eastAsia="仿宋_GB2312"/>
          <w:color w:val="auto"/>
          <w:sz w:val="32"/>
          <w:szCs w:val="32"/>
          <w:highlight w:val="none"/>
        </w:rPr>
        <w:t>万元，资金执行数</w:t>
      </w:r>
      <w:r>
        <w:rPr>
          <w:rFonts w:ascii="仿宋_GB2312" w:hAnsi="仿宋" w:eastAsia="仿宋_GB2312"/>
          <w:color w:val="auto"/>
          <w:sz w:val="32"/>
          <w:szCs w:val="32"/>
          <w:highlight w:val="none"/>
        </w:rPr>
        <w:t>0</w:t>
      </w:r>
      <w:r>
        <w:rPr>
          <w:rFonts w:hint="eastAsia" w:ascii="仿宋_GB2312" w:hAnsi="仿宋" w:eastAsia="仿宋_GB2312"/>
          <w:color w:val="auto"/>
          <w:sz w:val="32"/>
          <w:szCs w:val="32"/>
          <w:highlight w:val="none"/>
        </w:rPr>
        <w:t>万元，绩效结果应用调整项目支出预算数</w:t>
      </w:r>
      <w:r>
        <w:rPr>
          <w:rFonts w:ascii="仿宋_GB2312" w:hAnsi="仿宋" w:eastAsia="仿宋_GB2312"/>
          <w:color w:val="auto"/>
          <w:sz w:val="32"/>
          <w:szCs w:val="32"/>
          <w:highlight w:val="none"/>
        </w:rPr>
        <w:t>0</w:t>
      </w:r>
      <w:r>
        <w:rPr>
          <w:rFonts w:hint="eastAsia" w:ascii="仿宋_GB2312" w:hAnsi="仿宋" w:eastAsia="仿宋_GB2312"/>
          <w:color w:val="auto"/>
          <w:sz w:val="32"/>
          <w:szCs w:val="32"/>
          <w:highlight w:val="none"/>
        </w:rPr>
        <w:t>万元。</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w:t>
      </w:r>
      <w:r>
        <w:rPr>
          <w:rFonts w:ascii="仿宋_GB2312" w:hAnsi="仿宋" w:eastAsia="仿宋_GB2312"/>
          <w:color w:val="auto"/>
          <w:sz w:val="32"/>
          <w:szCs w:val="32"/>
          <w:highlight w:val="none"/>
        </w:rPr>
        <w:t>3</w:t>
      </w:r>
      <w:r>
        <w:rPr>
          <w:rFonts w:hint="eastAsia" w:ascii="仿宋_GB2312" w:hAnsi="仿宋" w:eastAsia="仿宋_GB2312"/>
          <w:color w:val="auto"/>
          <w:sz w:val="32"/>
          <w:szCs w:val="32"/>
          <w:highlight w:val="none"/>
        </w:rPr>
        <w:t>）专项资金项目支出情况</w:t>
      </w:r>
      <w:r>
        <w:rPr>
          <w:rFonts w:ascii="仿宋_GB2312" w:hAnsi="仿宋" w:eastAsia="仿宋_GB2312"/>
          <w:color w:val="auto"/>
          <w:sz w:val="32"/>
          <w:szCs w:val="32"/>
          <w:highlight w:val="none"/>
        </w:rPr>
        <w:tab/>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截至</w:t>
      </w:r>
      <w:r>
        <w:rPr>
          <w:rFonts w:ascii="仿宋_GB2312" w:hAnsi="仿宋" w:eastAsia="仿宋_GB2312"/>
          <w:color w:val="auto"/>
          <w:sz w:val="32"/>
          <w:szCs w:val="32"/>
          <w:highlight w:val="none"/>
        </w:rPr>
        <w:t>12</w:t>
      </w:r>
      <w:r>
        <w:rPr>
          <w:rFonts w:hint="eastAsia" w:ascii="仿宋_GB2312" w:hAnsi="仿宋" w:eastAsia="仿宋_GB2312"/>
          <w:color w:val="auto"/>
          <w:sz w:val="32"/>
          <w:szCs w:val="32"/>
          <w:highlight w:val="none"/>
        </w:rPr>
        <w:t>月</w:t>
      </w:r>
      <w:r>
        <w:rPr>
          <w:rFonts w:ascii="仿宋_GB2312" w:hAnsi="仿宋" w:eastAsia="仿宋_GB2312"/>
          <w:color w:val="auto"/>
          <w:sz w:val="32"/>
          <w:szCs w:val="32"/>
          <w:highlight w:val="none"/>
        </w:rPr>
        <w:t>31</w:t>
      </w:r>
      <w:r>
        <w:rPr>
          <w:rFonts w:hint="eastAsia" w:ascii="仿宋_GB2312" w:hAnsi="仿宋" w:eastAsia="仿宋_GB2312"/>
          <w:color w:val="auto"/>
          <w:sz w:val="32"/>
          <w:szCs w:val="32"/>
          <w:highlight w:val="none"/>
        </w:rPr>
        <w:t>日，上级专项资金项目共计</w:t>
      </w:r>
      <w:r>
        <w:rPr>
          <w:rFonts w:ascii="仿宋_GB2312" w:hAnsi="仿宋" w:eastAsia="仿宋_GB2312"/>
          <w:color w:val="auto"/>
          <w:sz w:val="32"/>
          <w:szCs w:val="32"/>
          <w:highlight w:val="none"/>
        </w:rPr>
        <w:t>2</w:t>
      </w:r>
      <w:r>
        <w:rPr>
          <w:rFonts w:hint="eastAsia" w:ascii="仿宋_GB2312" w:hAnsi="仿宋" w:eastAsia="仿宋_GB2312"/>
          <w:color w:val="auto"/>
          <w:sz w:val="32"/>
          <w:szCs w:val="32"/>
          <w:highlight w:val="none"/>
        </w:rPr>
        <w:t>个，全年预算数</w:t>
      </w:r>
      <w:r>
        <w:rPr>
          <w:rFonts w:ascii="仿宋_GB2312" w:hAnsi="仿宋" w:eastAsia="仿宋_GB2312"/>
          <w:color w:val="auto"/>
          <w:sz w:val="32"/>
          <w:szCs w:val="32"/>
          <w:highlight w:val="none"/>
        </w:rPr>
        <w:t>35</w:t>
      </w:r>
      <w:r>
        <w:rPr>
          <w:rFonts w:hint="eastAsia" w:ascii="仿宋_GB2312" w:hAnsi="仿宋" w:eastAsia="仿宋_GB2312"/>
          <w:color w:val="auto"/>
          <w:sz w:val="32"/>
          <w:szCs w:val="32"/>
          <w:highlight w:val="none"/>
        </w:rPr>
        <w:t>万元，资金执行数</w:t>
      </w:r>
      <w:r>
        <w:rPr>
          <w:rFonts w:hint="eastAsia" w:ascii="仿宋_GB2312" w:hAnsi="仿宋" w:eastAsia="仿宋_GB2312"/>
          <w:color w:val="auto"/>
          <w:sz w:val="32"/>
          <w:szCs w:val="32"/>
          <w:highlight w:val="none"/>
          <w:lang w:val="en-US" w:eastAsia="zh-CN"/>
        </w:rPr>
        <w:t>34.98</w:t>
      </w:r>
      <w:r>
        <w:rPr>
          <w:rFonts w:hint="eastAsia" w:ascii="仿宋_GB2312" w:hAnsi="仿宋" w:eastAsia="仿宋_GB2312"/>
          <w:color w:val="auto"/>
          <w:sz w:val="32"/>
          <w:szCs w:val="32"/>
          <w:highlight w:val="none"/>
        </w:rPr>
        <w:t>万元，执行率</w:t>
      </w:r>
      <w:r>
        <w:rPr>
          <w:rFonts w:hint="eastAsia" w:ascii="仿宋_GB2312" w:hAnsi="仿宋" w:eastAsia="仿宋_GB2312"/>
          <w:color w:val="auto"/>
          <w:sz w:val="32"/>
          <w:szCs w:val="32"/>
          <w:highlight w:val="none"/>
          <w:lang w:val="en-US" w:eastAsia="zh-CN"/>
        </w:rPr>
        <w:t>99.9</w:t>
      </w:r>
      <w:r>
        <w:rPr>
          <w:rFonts w:ascii="仿宋_GB2312" w:hAnsi="仿宋" w:eastAsia="仿宋_GB2312"/>
          <w:color w:val="auto"/>
          <w:sz w:val="32"/>
          <w:szCs w:val="32"/>
          <w:highlight w:val="none"/>
        </w:rPr>
        <w:t>%</w:t>
      </w:r>
      <w:r>
        <w:rPr>
          <w:rFonts w:hint="eastAsia" w:ascii="仿宋_GB2312" w:hAnsi="仿宋" w:eastAsia="仿宋_GB2312"/>
          <w:color w:val="auto"/>
          <w:sz w:val="32"/>
          <w:szCs w:val="32"/>
          <w:highlight w:val="none"/>
        </w:rPr>
        <w:t>。年中追加项目支出预算数</w:t>
      </w:r>
      <w:r>
        <w:rPr>
          <w:rFonts w:hint="eastAsia" w:ascii="仿宋_GB2312" w:hAnsi="仿宋" w:eastAsia="仿宋_GB2312"/>
          <w:color w:val="auto"/>
          <w:sz w:val="32"/>
          <w:szCs w:val="32"/>
          <w:highlight w:val="none"/>
          <w:lang w:val="en-US" w:eastAsia="zh-CN"/>
        </w:rPr>
        <w:t>0</w:t>
      </w:r>
      <w:r>
        <w:rPr>
          <w:rFonts w:hint="eastAsia" w:ascii="仿宋_GB2312" w:hAnsi="仿宋" w:eastAsia="仿宋_GB2312"/>
          <w:color w:val="auto"/>
          <w:sz w:val="32"/>
          <w:szCs w:val="32"/>
          <w:highlight w:val="none"/>
        </w:rPr>
        <w:t>万元。</w:t>
      </w:r>
    </w:p>
    <w:p>
      <w:pPr>
        <w:spacing w:line="560" w:lineRule="exact"/>
        <w:ind w:firstLine="643" w:firstLineChars="200"/>
        <w:rPr>
          <w:rFonts w:ascii="仿宋_GB2312" w:hAnsi="方正楷体简体" w:eastAsia="仿宋_GB2312" w:cs="宋体"/>
          <w:b/>
          <w:bCs/>
          <w:color w:val="auto"/>
          <w:sz w:val="32"/>
          <w:szCs w:val="32"/>
          <w:highlight w:val="none"/>
        </w:rPr>
      </w:pPr>
      <w:r>
        <w:rPr>
          <w:rFonts w:ascii="仿宋_GB2312" w:hAnsi="方正楷体简体" w:eastAsia="仿宋_GB2312" w:cs="宋体"/>
          <w:b/>
          <w:bCs/>
          <w:color w:val="auto"/>
          <w:sz w:val="32"/>
          <w:szCs w:val="32"/>
          <w:highlight w:val="none"/>
        </w:rPr>
        <w:t>2</w:t>
      </w:r>
      <w:r>
        <w:rPr>
          <w:rFonts w:hint="eastAsia" w:ascii="仿宋_GB2312" w:hAnsi="方正楷体简体" w:eastAsia="仿宋_GB2312" w:cs="宋体"/>
          <w:b/>
          <w:bCs/>
          <w:color w:val="auto"/>
          <w:sz w:val="32"/>
          <w:szCs w:val="32"/>
          <w:highlight w:val="none"/>
        </w:rPr>
        <w:t>．使用方法</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基本支出由财政单位按照进度每月分期拨付，人员支出按照工资计划发放工资；涉及资金出按照我单位《内控制度》中设定的流程申报审批进行；重大项目支出上党组会研究决定。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ascii="仿宋_GB2312" w:hAnsi="方正楷体简体" w:eastAsia="仿宋_GB2312" w:cs="宋体"/>
          <w:b/>
          <w:bCs/>
          <w:color w:val="auto"/>
          <w:sz w:val="32"/>
          <w:szCs w:val="32"/>
          <w:highlight w:val="none"/>
        </w:rPr>
        <w:t>3</w:t>
      </w:r>
      <w:r>
        <w:rPr>
          <w:rFonts w:hint="eastAsia" w:ascii="仿宋_GB2312" w:hAnsi="方正楷体简体" w:eastAsia="仿宋_GB2312" w:cs="宋体"/>
          <w:b/>
          <w:bCs/>
          <w:color w:val="auto"/>
          <w:sz w:val="32"/>
          <w:szCs w:val="32"/>
          <w:highlight w:val="none"/>
        </w:rPr>
        <w:t>．主要内容及涉及范围</w:t>
      </w:r>
    </w:p>
    <w:p>
      <w:pPr>
        <w:pStyle w:val="17"/>
        <w:spacing w:line="560" w:lineRule="exact"/>
        <w:ind w:firstLine="640" w:firstLineChars="200"/>
        <w:jc w:val="both"/>
        <w:rPr>
          <w:rFonts w:hint="eastAsia" w:hAnsi="仿宋" w:eastAsia="仿宋_GB2312" w:cs="Times New Roman"/>
          <w:color w:val="auto"/>
          <w:highlight w:val="none"/>
          <w:lang w:val="en-US" w:eastAsia="zh-CN"/>
        </w:rPr>
      </w:pPr>
      <w:r>
        <w:rPr>
          <w:rFonts w:hint="eastAsia" w:hAnsi="仿宋" w:cs="Times New Roman"/>
          <w:color w:val="auto"/>
          <w:highlight w:val="none"/>
        </w:rPr>
        <w:t>（</w:t>
      </w:r>
      <w:r>
        <w:rPr>
          <w:rFonts w:hAnsi="仿宋" w:cs="Times New Roman"/>
          <w:color w:val="auto"/>
          <w:highlight w:val="none"/>
        </w:rPr>
        <w:t>1</w:t>
      </w:r>
      <w:r>
        <w:rPr>
          <w:rFonts w:hint="eastAsia" w:hAnsi="仿宋" w:cs="Times New Roman"/>
          <w:color w:val="auto"/>
          <w:highlight w:val="none"/>
        </w:rPr>
        <w:t>）基本支出包括人员经费和公用经费。公用经费主要包括：办公费、印刷费、手续费、邮电费、取暖费、差旅费、维修（护）费、租赁费、会议费、培训费、专用材料费、公务用车运行维护费、其他交通费用</w:t>
      </w:r>
      <w:r>
        <w:rPr>
          <w:rFonts w:hint="eastAsia" w:hAnsi="仿宋" w:cs="Times New Roman"/>
          <w:color w:val="auto"/>
          <w:highlight w:val="none"/>
          <w:lang w:eastAsia="zh-CN"/>
        </w:rPr>
        <w:t>等。</w:t>
      </w:r>
    </w:p>
    <w:p>
      <w:pPr>
        <w:pStyle w:val="17"/>
        <w:spacing w:line="560" w:lineRule="exact"/>
        <w:ind w:firstLine="640" w:firstLineChars="200"/>
        <w:jc w:val="both"/>
        <w:rPr>
          <w:rFonts w:hAnsi="仿宋" w:cs="Times New Roman"/>
          <w:color w:val="auto"/>
          <w:highlight w:val="none"/>
        </w:rPr>
      </w:pPr>
      <w:r>
        <w:rPr>
          <w:rFonts w:hint="eastAsia" w:hAnsi="仿宋" w:cs="Times New Roman"/>
          <w:color w:val="auto"/>
          <w:highlight w:val="none"/>
        </w:rPr>
        <w:t>（</w:t>
      </w:r>
      <w:r>
        <w:rPr>
          <w:rFonts w:hAnsi="仿宋" w:cs="Times New Roman"/>
          <w:color w:val="auto"/>
          <w:highlight w:val="none"/>
        </w:rPr>
        <w:t>2</w:t>
      </w:r>
      <w:r>
        <w:rPr>
          <w:rFonts w:hint="eastAsia" w:hAnsi="仿宋" w:cs="Times New Roman"/>
          <w:color w:val="auto"/>
          <w:highlight w:val="none"/>
        </w:rPr>
        <w:t>）</w:t>
      </w:r>
      <w:r>
        <w:rPr>
          <w:rFonts w:hAnsi="仿宋" w:cs="Times New Roman"/>
          <w:color w:val="auto"/>
          <w:highlight w:val="none"/>
        </w:rPr>
        <w:t>202</w:t>
      </w:r>
      <w:r>
        <w:rPr>
          <w:rFonts w:hint="eastAsia" w:hAnsi="仿宋" w:cs="Times New Roman"/>
          <w:color w:val="auto"/>
          <w:highlight w:val="none"/>
          <w:lang w:val="en-US" w:eastAsia="zh-CN"/>
        </w:rPr>
        <w:t>1</w:t>
      </w:r>
      <w:r>
        <w:rPr>
          <w:rFonts w:hint="eastAsia" w:hAnsi="仿宋" w:cs="Times New Roman"/>
          <w:color w:val="auto"/>
          <w:highlight w:val="none"/>
        </w:rPr>
        <w:t>年度</w:t>
      </w:r>
      <w:r>
        <w:rPr>
          <w:rFonts w:hint="eastAsia" w:hAnsi="仿宋" w:cs="Times New Roman"/>
          <w:color w:val="auto"/>
          <w:highlight w:val="none"/>
          <w:lang w:eastAsia="zh-CN"/>
        </w:rPr>
        <w:t>中国人民政治协商会议新疆和田市委员会</w:t>
      </w:r>
      <w:r>
        <w:rPr>
          <w:rFonts w:hint="eastAsia" w:hAnsi="仿宋" w:cs="Times New Roman"/>
          <w:color w:val="auto"/>
          <w:highlight w:val="none"/>
        </w:rPr>
        <w:t>项目支出共涉及</w:t>
      </w:r>
      <w:r>
        <w:rPr>
          <w:rFonts w:hint="eastAsia" w:hAnsi="仿宋" w:cs="Times New Roman"/>
          <w:color w:val="auto"/>
          <w:highlight w:val="none"/>
          <w:lang w:val="en-US" w:eastAsia="zh-CN"/>
        </w:rPr>
        <w:t>3</w:t>
      </w:r>
      <w:r>
        <w:rPr>
          <w:rFonts w:hint="eastAsia" w:hAnsi="仿宋" w:cs="Times New Roman"/>
          <w:color w:val="auto"/>
          <w:highlight w:val="none"/>
        </w:rPr>
        <w:t>个项目，分别为：</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6"/>
              <w:spacing w:line="560" w:lineRule="exact"/>
              <w:ind w:firstLine="200" w:firstLineChars="0"/>
              <w:jc w:val="center"/>
              <w:rPr>
                <w:rStyle w:val="10"/>
                <w:rFonts w:ascii="仿宋_GB2312" w:hAnsi="黑体" w:eastAsia="仿宋_GB2312"/>
                <w:b w:val="0"/>
                <w:color w:val="auto"/>
                <w:spacing w:val="-4"/>
                <w:sz w:val="32"/>
                <w:szCs w:val="32"/>
                <w:highlight w:val="none"/>
              </w:rPr>
            </w:pPr>
            <w:r>
              <w:rPr>
                <w:rStyle w:val="10"/>
                <w:rFonts w:hint="eastAsia" w:ascii="仿宋_GB2312" w:hAnsi="黑体" w:eastAsia="仿宋_GB2312"/>
                <w:b w:val="0"/>
                <w:color w:val="auto"/>
                <w:spacing w:val="-4"/>
                <w:sz w:val="32"/>
                <w:szCs w:val="32"/>
                <w:highlight w:val="none"/>
              </w:rPr>
              <w:t>项目名称</w:t>
            </w:r>
          </w:p>
        </w:tc>
        <w:tc>
          <w:tcPr>
            <w:tcW w:w="4261" w:type="dxa"/>
            <w:vAlign w:val="center"/>
          </w:tcPr>
          <w:p>
            <w:pPr>
              <w:pStyle w:val="16"/>
              <w:spacing w:line="560" w:lineRule="exact"/>
              <w:ind w:firstLine="200" w:firstLineChars="0"/>
              <w:jc w:val="center"/>
              <w:rPr>
                <w:rStyle w:val="10"/>
                <w:rFonts w:ascii="仿宋_GB2312" w:hAnsi="黑体" w:eastAsia="仿宋_GB2312"/>
                <w:b w:val="0"/>
                <w:color w:val="auto"/>
                <w:spacing w:val="-4"/>
                <w:sz w:val="32"/>
                <w:szCs w:val="32"/>
                <w:highlight w:val="none"/>
              </w:rPr>
            </w:pPr>
            <w:r>
              <w:rPr>
                <w:rStyle w:val="10"/>
                <w:rFonts w:hint="eastAsia" w:ascii="仿宋_GB2312" w:hAnsi="黑体" w:eastAsia="仿宋_GB2312"/>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6"/>
              <w:spacing w:line="560" w:lineRule="exact"/>
              <w:ind w:firstLine="200" w:firstLineChars="0"/>
              <w:jc w:val="center"/>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政协业务费</w:t>
            </w:r>
          </w:p>
        </w:tc>
        <w:tc>
          <w:tcPr>
            <w:tcW w:w="4261" w:type="dxa"/>
            <w:vAlign w:val="center"/>
          </w:tcPr>
          <w:p>
            <w:pPr>
              <w:pStyle w:val="16"/>
              <w:spacing w:line="560" w:lineRule="exact"/>
              <w:ind w:firstLine="200" w:firstLineChars="0"/>
              <w:jc w:val="center"/>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22.84</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6"/>
              <w:spacing w:line="560" w:lineRule="exact"/>
              <w:ind w:firstLine="200" w:firstLineChars="0"/>
              <w:jc w:val="center"/>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访惠聚经费</w:t>
            </w:r>
          </w:p>
        </w:tc>
        <w:tc>
          <w:tcPr>
            <w:tcW w:w="4261" w:type="dxa"/>
            <w:vAlign w:val="center"/>
          </w:tcPr>
          <w:p>
            <w:pPr>
              <w:pStyle w:val="16"/>
              <w:spacing w:line="560" w:lineRule="exact"/>
              <w:ind w:firstLine="200" w:firstLineChars="0"/>
              <w:jc w:val="center"/>
              <w:rPr>
                <w:rFonts w:ascii="仿宋_GB2312" w:hAnsi="仿宋" w:eastAsia="仿宋_GB2312" w:cs="宋体"/>
                <w:color w:val="auto"/>
                <w:sz w:val="32"/>
                <w:szCs w:val="32"/>
                <w:highlight w:val="none"/>
              </w:rPr>
            </w:pPr>
            <w:r>
              <w:rPr>
                <w:rFonts w:ascii="仿宋_GB2312" w:hAnsi="仿宋" w:eastAsia="仿宋_GB2312" w:cs="宋体"/>
                <w:color w:val="auto"/>
                <w:sz w:val="32"/>
                <w:szCs w:val="32"/>
                <w:highlight w:val="none"/>
              </w:rPr>
              <w:t>30</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6"/>
              <w:spacing w:line="560" w:lineRule="exact"/>
              <w:ind w:firstLine="200" w:firstLineChars="0"/>
              <w:jc w:val="center"/>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自治区政协补助经费</w:t>
            </w:r>
          </w:p>
        </w:tc>
        <w:tc>
          <w:tcPr>
            <w:tcW w:w="4261" w:type="dxa"/>
            <w:vAlign w:val="center"/>
          </w:tcPr>
          <w:p>
            <w:pPr>
              <w:pStyle w:val="16"/>
              <w:spacing w:line="560" w:lineRule="exact"/>
              <w:ind w:firstLine="200" w:firstLineChars="0"/>
              <w:jc w:val="center"/>
              <w:rPr>
                <w:rFonts w:ascii="仿宋_GB2312" w:hAnsi="仿宋" w:eastAsia="仿宋_GB2312" w:cs="宋体"/>
                <w:color w:val="auto"/>
                <w:sz w:val="32"/>
                <w:szCs w:val="32"/>
                <w:highlight w:val="none"/>
              </w:rPr>
            </w:pPr>
            <w:r>
              <w:rPr>
                <w:rFonts w:ascii="仿宋_GB2312" w:hAnsi="仿宋" w:eastAsia="仿宋_GB2312" w:cs="宋体"/>
                <w:color w:val="auto"/>
                <w:sz w:val="32"/>
                <w:szCs w:val="32"/>
                <w:highlight w:val="none"/>
              </w:rPr>
              <w:t>5</w:t>
            </w:r>
            <w:r>
              <w:rPr>
                <w:rFonts w:hint="eastAsia" w:ascii="仿宋_GB2312" w:hAnsi="仿宋" w:eastAsia="仿宋_GB2312" w:cs="宋体"/>
                <w:color w:val="auto"/>
                <w:sz w:val="32"/>
                <w:szCs w:val="32"/>
                <w:highlight w:val="none"/>
              </w:rPr>
              <w:t>万元</w:t>
            </w:r>
          </w:p>
        </w:tc>
      </w:tr>
    </w:tbl>
    <w:p>
      <w:pPr>
        <w:pStyle w:val="16"/>
        <w:spacing w:line="560" w:lineRule="exact"/>
        <w:ind w:firstLine="31680"/>
        <w:rPr>
          <w:rStyle w:val="10"/>
          <w:rFonts w:ascii="黑体" w:hAnsi="黑体" w:eastAsia="黑体"/>
          <w:b w:val="0"/>
          <w:color w:val="auto"/>
          <w:spacing w:val="-4"/>
          <w:sz w:val="32"/>
          <w:szCs w:val="32"/>
          <w:highlight w:val="none"/>
        </w:rPr>
      </w:pPr>
      <w:r>
        <w:rPr>
          <w:rStyle w:val="10"/>
          <w:rFonts w:hint="eastAsia" w:ascii="黑体" w:hAnsi="黑体" w:eastAsia="黑体"/>
          <w:b w:val="0"/>
          <w:color w:val="auto"/>
          <w:spacing w:val="-4"/>
          <w:sz w:val="32"/>
          <w:szCs w:val="32"/>
          <w:highlight w:val="none"/>
        </w:rPr>
        <w:t>二、单位整体支出管理及使用情况</w:t>
      </w:r>
    </w:p>
    <w:p>
      <w:pPr>
        <w:spacing w:line="560" w:lineRule="exact"/>
        <w:ind w:firstLine="624" w:firstLineChars="200"/>
        <w:rPr>
          <w:rStyle w:val="10"/>
          <w:rFonts w:ascii="楷体" w:hAnsi="楷体" w:eastAsia="楷体"/>
          <w:b w:val="0"/>
          <w:bCs w:val="0"/>
          <w:color w:val="auto"/>
          <w:spacing w:val="-4"/>
          <w:highlight w:val="none"/>
        </w:rPr>
      </w:pPr>
      <w:r>
        <w:rPr>
          <w:rStyle w:val="10"/>
          <w:rFonts w:hint="eastAsia" w:ascii="楷体" w:hAnsi="楷体" w:eastAsia="楷体"/>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支出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rPr>
        <w:t>．基本支出管理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包括人员的工资福利支出、一般商品和服务支出、对个人和家庭的补助支出、对企事业单位的补贴及其他资本性支出。人员经费的开支主要是按照市财政统发工</w:t>
      </w:r>
      <w:bookmarkStart w:id="0" w:name="_GoBack"/>
      <w:bookmarkEnd w:id="0"/>
      <w:r>
        <w:rPr>
          <w:rFonts w:hint="eastAsia" w:ascii="仿宋_GB2312" w:hAnsi="方正楷体简体" w:eastAsia="仿宋_GB2312" w:cs="宋体"/>
          <w:color w:val="auto"/>
          <w:sz w:val="32"/>
          <w:szCs w:val="32"/>
          <w:highlight w:val="none"/>
        </w:rPr>
        <w:t>资表及文件的相关规定执行</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公用经费按照厉行节约的原则规范资金使用流程</w:t>
      </w:r>
      <w:r>
        <w:rPr>
          <w:rFonts w:ascii="仿宋_GB2312" w:hAnsi="方正楷体简体" w:eastAsia="仿宋_GB2312" w:cs="宋体"/>
          <w:color w:val="auto"/>
          <w:sz w:val="32"/>
          <w:szCs w:val="32"/>
          <w:highlight w:val="none"/>
        </w:rPr>
        <w:t xml:space="preserve">, </w:t>
      </w:r>
      <w:r>
        <w:rPr>
          <w:rFonts w:hint="eastAsia" w:ascii="仿宋_GB2312" w:hAnsi="方正楷体简体" w:eastAsia="仿宋_GB2312" w:cs="宋体"/>
          <w:color w:val="auto"/>
          <w:sz w:val="32"/>
          <w:szCs w:val="32"/>
          <w:highlight w:val="none"/>
        </w:rPr>
        <w:t>尤其是“三公</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经费严格控制在预算指标内。接待费的报销必须附有接待公函、接待清单、接待明细及公务员卡</w:t>
      </w:r>
      <w:r>
        <w:rPr>
          <w:rFonts w:ascii="仿宋_GB2312" w:hAnsi="方正楷体简体" w:eastAsia="仿宋_GB2312" w:cs="宋体"/>
          <w:color w:val="auto"/>
          <w:sz w:val="32"/>
          <w:szCs w:val="32"/>
          <w:highlight w:val="none"/>
        </w:rPr>
        <w:t>poss</w:t>
      </w:r>
      <w:r>
        <w:rPr>
          <w:rFonts w:hint="eastAsia" w:ascii="仿宋_GB2312" w:hAnsi="方正楷体简体" w:eastAsia="仿宋_GB2312" w:cs="宋体"/>
          <w:color w:val="auto"/>
          <w:sz w:val="32"/>
          <w:szCs w:val="32"/>
          <w:highlight w:val="none"/>
        </w:rPr>
        <w:t>机票</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highlight w:val="none"/>
        </w:rPr>
      </w:pPr>
      <w:r>
        <w:rPr>
          <w:rFonts w:ascii="仿宋_GB2312" w:hAnsi="方正楷体简体" w:eastAsia="仿宋_GB2312" w:cs="宋体"/>
          <w:b/>
          <w:bCs/>
          <w:color w:val="auto"/>
          <w:sz w:val="32"/>
          <w:szCs w:val="32"/>
          <w:highlight w:val="none"/>
        </w:rPr>
        <w:t>2</w:t>
      </w:r>
      <w:r>
        <w:rPr>
          <w:rFonts w:hint="eastAsia" w:ascii="仿宋_GB2312" w:hAnsi="方正楷体简体" w:eastAsia="仿宋_GB2312" w:cs="宋体"/>
          <w:b/>
          <w:bCs/>
          <w:color w:val="auto"/>
          <w:sz w:val="32"/>
          <w:szCs w:val="32"/>
          <w:highlight w:val="none"/>
        </w:rPr>
        <w:t>．基本支出情况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eastAsia="zh-CN"/>
        </w:rPr>
        <w:t>中国人民政治协商会议新疆和田市委员会</w:t>
      </w:r>
      <w:r>
        <w:rPr>
          <w:rFonts w:hint="eastAsia" w:ascii="仿宋_GB2312" w:hAnsi="方正楷体简体" w:eastAsia="仿宋_GB2312" w:cs="宋体"/>
          <w:color w:val="auto"/>
          <w:sz w:val="32"/>
          <w:szCs w:val="32"/>
          <w:highlight w:val="none"/>
        </w:rPr>
        <w:t>基本支出预算总额</w:t>
      </w:r>
      <w:r>
        <w:rPr>
          <w:rFonts w:hint="eastAsia" w:ascii="仿宋_GB2312" w:hAnsi="仿宋" w:eastAsia="仿宋_GB2312"/>
          <w:color w:val="auto"/>
          <w:sz w:val="32"/>
          <w:szCs w:val="32"/>
          <w:highlight w:val="none"/>
          <w:lang w:val="en-US" w:eastAsia="zh-CN"/>
        </w:rPr>
        <w:t>399.39</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378.93</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20.46</w:t>
      </w:r>
      <w:r>
        <w:rPr>
          <w:rFonts w:hint="eastAsia" w:ascii="仿宋_GB2312" w:hAnsi="方正楷体简体" w:eastAsia="仿宋_GB2312" w:cs="宋体"/>
          <w:color w:val="auto"/>
          <w:sz w:val="32"/>
          <w:szCs w:val="32"/>
          <w:highlight w:val="none"/>
        </w:rPr>
        <w:t>万元。实际支</w:t>
      </w:r>
      <w:r>
        <w:rPr>
          <w:rFonts w:hint="eastAsia" w:ascii="仿宋_GB2312" w:hAnsi="方正楷体简体" w:eastAsia="仿宋_GB2312" w:cs="宋体"/>
          <w:color w:val="auto"/>
          <w:sz w:val="32"/>
          <w:szCs w:val="32"/>
          <w:highlight w:val="none"/>
          <w:lang w:val="en-US" w:eastAsia="zh-CN"/>
        </w:rPr>
        <w:t>出</w:t>
      </w:r>
      <w:r>
        <w:rPr>
          <w:rFonts w:hint="eastAsia" w:ascii="仿宋_GB2312" w:hAnsi="仿宋" w:eastAsia="仿宋_GB2312"/>
          <w:color w:val="auto"/>
          <w:sz w:val="32"/>
          <w:szCs w:val="32"/>
          <w:highlight w:val="none"/>
          <w:lang w:val="en-US" w:eastAsia="zh-CN"/>
        </w:rPr>
        <w:t>390.33</w:t>
      </w:r>
      <w:r>
        <w:rPr>
          <w:rFonts w:hint="eastAsia" w:ascii="仿宋_GB2312" w:hAnsi="方正楷体简体" w:eastAsia="仿宋_GB2312" w:cs="宋体"/>
          <w:color w:val="auto"/>
          <w:sz w:val="32"/>
          <w:szCs w:val="32"/>
          <w:highlight w:val="none"/>
        </w:rPr>
        <w:t>万元，预算执行率</w:t>
      </w:r>
      <w:r>
        <w:rPr>
          <w:rFonts w:hint="eastAsia" w:ascii="仿宋_GB2312" w:hAnsi="仿宋" w:eastAsia="仿宋_GB2312"/>
          <w:color w:val="auto"/>
          <w:sz w:val="32"/>
          <w:szCs w:val="32"/>
          <w:highlight w:val="none"/>
          <w:lang w:val="en-US" w:eastAsia="zh-CN"/>
        </w:rPr>
        <w:t>97.7</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ascii="仿宋_GB2312" w:hAnsi="方正楷体简体" w:eastAsia="仿宋_GB2312" w:cs="宋体"/>
          <w:b/>
          <w:bCs/>
          <w:color w:val="auto"/>
          <w:sz w:val="32"/>
          <w:szCs w:val="32"/>
          <w:highlight w:val="none"/>
        </w:rPr>
        <w:t>3</w:t>
      </w:r>
      <w:r>
        <w:rPr>
          <w:rFonts w:hint="eastAsia" w:ascii="仿宋_GB2312" w:hAnsi="方正楷体简体" w:eastAsia="仿宋_GB2312" w:cs="宋体"/>
          <w:b/>
          <w:bCs/>
          <w:color w:val="auto"/>
          <w:sz w:val="32"/>
          <w:szCs w:val="32"/>
          <w:highlight w:val="none"/>
        </w:rPr>
        <w:t>．“三公”经费控制情况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ascii="仿宋_GB2312" w:hAnsi="方正楷体简体" w:eastAsia="仿宋_GB2312" w:cs="宋体"/>
          <w:color w:val="auto"/>
          <w:sz w:val="32"/>
          <w:szCs w:val="32"/>
          <w:highlight w:val="none"/>
        </w:rPr>
        <w:t>3</w:t>
      </w:r>
      <w:r>
        <w:rPr>
          <w:rFonts w:hint="eastAsia" w:ascii="仿宋_GB2312" w:hAnsi="方正楷体简体" w:eastAsia="仿宋_GB2312" w:cs="宋体"/>
          <w:color w:val="auto"/>
          <w:sz w:val="32"/>
          <w:szCs w:val="32"/>
          <w:highlight w:val="none"/>
          <w:lang w:val="en-US" w:eastAsia="zh-CN"/>
        </w:rPr>
        <w:t>.61</w:t>
      </w:r>
      <w:r>
        <w:rPr>
          <w:rFonts w:hint="eastAsia" w:ascii="仿宋_GB2312" w:hAnsi="方正楷体简体" w:eastAsia="仿宋_GB2312" w:cs="宋体"/>
          <w:color w:val="auto"/>
          <w:sz w:val="32"/>
          <w:szCs w:val="32"/>
          <w:highlight w:val="none"/>
        </w:rPr>
        <w:t>万元。</w:t>
      </w:r>
      <w:r>
        <w:rPr>
          <w:rFonts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年“三公”经费预算数为</w:t>
      </w:r>
      <w:r>
        <w:rPr>
          <w:rFonts w:hint="eastAsia" w:ascii="仿宋_GB2312" w:hAnsi="方正楷体简体" w:eastAsia="仿宋_GB2312" w:cs="宋体"/>
          <w:color w:val="auto"/>
          <w:sz w:val="32"/>
          <w:szCs w:val="32"/>
          <w:highlight w:val="none"/>
          <w:lang w:val="en-US" w:eastAsia="zh-CN"/>
        </w:rPr>
        <w:t>3.61</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3.61</w:t>
      </w:r>
      <w:r>
        <w:rPr>
          <w:rFonts w:hint="eastAsia" w:ascii="仿宋_GB2312" w:hAnsi="方正楷体简体" w:eastAsia="仿宋_GB2312" w:cs="宋体"/>
          <w:color w:val="auto"/>
          <w:sz w:val="32"/>
          <w:szCs w:val="32"/>
          <w:highlight w:val="none"/>
        </w:rPr>
        <w:t>万元，公务接待费</w:t>
      </w:r>
      <w:r>
        <w:rPr>
          <w:rFonts w:ascii="仿宋_GB2312" w:hAnsi="方正楷体简体" w:eastAsia="仿宋_GB2312" w:cs="宋体"/>
          <w:color w:val="auto"/>
          <w:sz w:val="32"/>
          <w:szCs w:val="32"/>
          <w:highlight w:val="none"/>
        </w:rPr>
        <w:t>0</w:t>
      </w:r>
      <w:r>
        <w:rPr>
          <w:rFonts w:hint="eastAsia" w:ascii="仿宋_GB2312" w:hAnsi="方正楷体简体" w:eastAsia="仿宋_GB2312" w:cs="宋体"/>
          <w:color w:val="auto"/>
          <w:sz w:val="32"/>
          <w:szCs w:val="32"/>
          <w:highlight w:val="none"/>
        </w:rPr>
        <w:t>万元，因公出国费</w:t>
      </w:r>
      <w:r>
        <w:rPr>
          <w:rFonts w:ascii="仿宋_GB2312" w:hAnsi="方正楷体简体" w:eastAsia="仿宋_GB2312" w:cs="宋体"/>
          <w:color w:val="auto"/>
          <w:sz w:val="32"/>
          <w:szCs w:val="32"/>
          <w:highlight w:val="none"/>
        </w:rPr>
        <w:t>0</w:t>
      </w:r>
      <w:r>
        <w:rPr>
          <w:rFonts w:hint="eastAsia" w:ascii="仿宋_GB2312" w:hAnsi="方正楷体简体" w:eastAsia="仿宋_GB2312" w:cs="宋体"/>
          <w:color w:val="auto"/>
          <w:sz w:val="32"/>
          <w:szCs w:val="32"/>
          <w:highlight w:val="none"/>
        </w:rPr>
        <w:t>万元。较</w:t>
      </w:r>
      <w:r>
        <w:rPr>
          <w:rFonts w:ascii="仿宋_GB2312" w:hAnsi="方正楷体简体" w:eastAsia="仿宋_GB2312" w:cs="宋体"/>
          <w:color w:val="auto"/>
          <w:sz w:val="32"/>
          <w:szCs w:val="32"/>
          <w:highlight w:val="none"/>
        </w:rPr>
        <w:t>20</w:t>
      </w:r>
      <w:r>
        <w:rPr>
          <w:rFonts w:hint="eastAsia" w:ascii="仿宋_GB2312" w:hAnsi="方正楷体简体" w:eastAsia="仿宋_GB2312" w:cs="宋体"/>
          <w:color w:val="auto"/>
          <w:sz w:val="32"/>
          <w:szCs w:val="32"/>
          <w:highlight w:val="none"/>
          <w:lang w:val="en-US" w:eastAsia="zh-CN"/>
        </w:rPr>
        <w:t>20</w:t>
      </w:r>
      <w:r>
        <w:rPr>
          <w:rFonts w:hint="eastAsia" w:ascii="仿宋_GB2312" w:hAnsi="方正楷体简体" w:eastAsia="仿宋_GB2312" w:cs="宋体"/>
          <w:color w:val="auto"/>
          <w:sz w:val="32"/>
          <w:szCs w:val="32"/>
          <w:highlight w:val="none"/>
        </w:rPr>
        <w:t>“三公”经费决算</w:t>
      </w:r>
      <w:r>
        <w:rPr>
          <w:rFonts w:hint="eastAsia" w:ascii="仿宋_GB2312" w:hAnsi="方正楷体简体" w:eastAsia="仿宋_GB2312" w:cs="宋体"/>
          <w:color w:val="auto"/>
          <w:sz w:val="32"/>
          <w:szCs w:val="32"/>
          <w:highlight w:val="none"/>
          <w:lang w:val="en-US" w:eastAsia="zh-CN"/>
        </w:rPr>
        <w:t>3.34</w:t>
      </w:r>
      <w:r>
        <w:rPr>
          <w:rFonts w:hint="eastAsia" w:ascii="仿宋_GB2312" w:hAnsi="方正楷体简体" w:eastAsia="仿宋_GB2312" w:cs="宋体"/>
          <w:color w:val="auto"/>
          <w:sz w:val="32"/>
          <w:szCs w:val="32"/>
          <w:highlight w:val="none"/>
        </w:rPr>
        <w:t>万元，上浮</w:t>
      </w:r>
      <w:r>
        <w:rPr>
          <w:rFonts w:hint="eastAsia" w:ascii="仿宋_GB2312" w:hAnsi="方正楷体简体" w:eastAsia="仿宋_GB2312" w:cs="宋体"/>
          <w:color w:val="auto"/>
          <w:sz w:val="32"/>
          <w:szCs w:val="32"/>
          <w:highlight w:val="none"/>
          <w:lang w:val="en-US" w:eastAsia="zh-CN"/>
        </w:rPr>
        <w:t>8</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年专项支出预算总额</w:t>
      </w:r>
      <w:r>
        <w:rPr>
          <w:rFonts w:ascii="仿宋_GB2312" w:hAnsi="方正楷体简体" w:eastAsia="仿宋_GB2312" w:cs="宋体"/>
          <w:color w:val="auto"/>
          <w:sz w:val="32"/>
          <w:szCs w:val="32"/>
          <w:highlight w:val="none"/>
        </w:rPr>
        <w:t>35</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34.98</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99.9</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bCs/>
          <w:color w:val="auto"/>
          <w:sz w:val="32"/>
          <w:szCs w:val="32"/>
          <w:highlight w:val="none"/>
        </w:rPr>
      </w:pP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年共有</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个、结转项目</w:t>
      </w:r>
      <w:r>
        <w:rPr>
          <w:rFonts w:ascii="仿宋_GB2312" w:hAnsi="方正楷体简体" w:eastAsia="仿宋_GB2312" w:cs="宋体"/>
          <w:color w:val="auto"/>
          <w:sz w:val="32"/>
          <w:szCs w:val="32"/>
          <w:highlight w:val="none"/>
        </w:rPr>
        <w:t>0</w:t>
      </w:r>
      <w:r>
        <w:rPr>
          <w:rFonts w:hint="eastAsia" w:ascii="仿宋_GB2312" w:hAnsi="方正楷体简体" w:eastAsia="仿宋_GB2312" w:cs="宋体"/>
          <w:color w:val="auto"/>
          <w:sz w:val="32"/>
          <w:szCs w:val="32"/>
          <w:highlight w:val="none"/>
        </w:rPr>
        <w:t>个。</w:t>
      </w: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年度项目预算及执行情况见下表：</w:t>
      </w:r>
    </w:p>
    <w:tbl>
      <w:tblPr>
        <w:tblStyle w:val="7"/>
        <w:tblW w:w="8844" w:type="dxa"/>
        <w:tblInd w:w="0" w:type="dxa"/>
        <w:tblLayout w:type="fixed"/>
        <w:tblCellMar>
          <w:top w:w="0" w:type="dxa"/>
          <w:left w:w="108" w:type="dxa"/>
          <w:bottom w:w="0" w:type="dxa"/>
          <w:right w:w="108" w:type="dxa"/>
        </w:tblCellMar>
      </w:tblPr>
      <w:tblGrid>
        <w:gridCol w:w="1581"/>
        <w:gridCol w:w="1294"/>
        <w:gridCol w:w="1754"/>
        <w:gridCol w:w="1080"/>
        <w:gridCol w:w="1260"/>
        <w:gridCol w:w="1875"/>
      </w:tblGrid>
      <w:tr>
        <w:tblPrEx>
          <w:tblCellMar>
            <w:top w:w="0" w:type="dxa"/>
            <w:left w:w="108" w:type="dxa"/>
            <w:bottom w:w="0" w:type="dxa"/>
            <w:right w:w="108" w:type="dxa"/>
          </w:tblCellMar>
        </w:tblPrEx>
        <w:trPr>
          <w:trHeight w:val="1270" w:hRule="atLeast"/>
          <w:tblHeader/>
        </w:trPr>
        <w:tc>
          <w:tcPr>
            <w:tcW w:w="1581" w:type="dxa"/>
            <w:tcBorders>
              <w:top w:val="single" w:color="auto" w:sz="8" w:space="0"/>
              <w:left w:val="single" w:color="auto" w:sz="8" w:space="0"/>
              <w:bottom w:val="single" w:color="auto" w:sz="8" w:space="0"/>
              <w:right w:val="single" w:color="auto" w:sz="8" w:space="0"/>
            </w:tcBorders>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294" w:type="dxa"/>
            <w:tcBorders>
              <w:top w:val="single" w:color="auto" w:sz="8" w:space="0"/>
              <w:left w:val="nil"/>
              <w:bottom w:val="single" w:color="auto" w:sz="8" w:space="0"/>
              <w:right w:val="single" w:color="auto" w:sz="8" w:space="0"/>
            </w:tcBorders>
            <w:vAlign w:val="center"/>
          </w:tcPr>
          <w:p>
            <w:pPr>
              <w:spacing w:line="560" w:lineRule="exact"/>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754" w:type="dxa"/>
            <w:tcBorders>
              <w:top w:val="single" w:color="auto" w:sz="8" w:space="0"/>
              <w:left w:val="nil"/>
              <w:bottom w:val="single" w:color="auto" w:sz="8" w:space="0"/>
              <w:right w:val="single" w:color="auto" w:sz="8" w:space="0"/>
            </w:tcBorders>
            <w:vAlign w:val="center"/>
          </w:tcPr>
          <w:p>
            <w:pPr>
              <w:spacing w:line="560" w:lineRule="exact"/>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080" w:type="dxa"/>
            <w:tcBorders>
              <w:top w:val="single" w:color="auto" w:sz="8" w:space="0"/>
              <w:left w:val="nil"/>
              <w:bottom w:val="single" w:color="auto" w:sz="8" w:space="0"/>
              <w:right w:val="single" w:color="auto" w:sz="8" w:space="0"/>
            </w:tcBorders>
            <w:vAlign w:val="center"/>
          </w:tcPr>
          <w:p>
            <w:pPr>
              <w:spacing w:line="560" w:lineRule="exact"/>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260" w:type="dxa"/>
            <w:tcBorders>
              <w:top w:val="single" w:color="auto" w:sz="8" w:space="0"/>
              <w:left w:val="nil"/>
              <w:bottom w:val="single" w:color="auto" w:sz="8" w:space="0"/>
              <w:right w:val="single" w:color="auto" w:sz="8" w:space="0"/>
            </w:tcBorders>
            <w:vAlign w:val="center"/>
          </w:tcPr>
          <w:p>
            <w:pPr>
              <w:spacing w:line="560" w:lineRule="exact"/>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1875" w:type="dxa"/>
            <w:tcBorders>
              <w:top w:val="single" w:color="auto" w:sz="8" w:space="0"/>
              <w:left w:val="nil"/>
              <w:bottom w:val="single" w:color="auto" w:sz="8" w:space="0"/>
              <w:right w:val="single" w:color="auto" w:sz="8" w:space="0"/>
            </w:tcBorders>
            <w:vAlign w:val="center"/>
          </w:tcPr>
          <w:p>
            <w:pPr>
              <w:spacing w:line="560" w:lineRule="exact"/>
              <w:ind w:firstLine="200"/>
              <w:rPr>
                <w:rFonts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796" w:hRule="atLeast"/>
          <w:tblHeader/>
        </w:trPr>
        <w:tc>
          <w:tcPr>
            <w:tcW w:w="1581" w:type="dxa"/>
            <w:tcBorders>
              <w:top w:val="nil"/>
              <w:left w:val="single" w:color="auto" w:sz="8" w:space="0"/>
              <w:bottom w:val="single" w:color="auto" w:sz="8" w:space="0"/>
              <w:right w:val="single" w:color="auto" w:sz="8" w:space="0"/>
            </w:tcBorders>
            <w:vAlign w:val="center"/>
          </w:tcPr>
          <w:p>
            <w:pPr>
              <w:rPr>
                <w:rFonts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rPr>
              <w:t>访惠聚经费</w:t>
            </w:r>
          </w:p>
        </w:tc>
        <w:tc>
          <w:tcPr>
            <w:tcW w:w="1294" w:type="dxa"/>
            <w:tcBorders>
              <w:top w:val="nil"/>
              <w:left w:val="nil"/>
              <w:bottom w:val="single" w:color="auto" w:sz="8" w:space="0"/>
              <w:right w:val="single" w:color="auto" w:sz="8" w:space="0"/>
            </w:tcBorders>
            <w:vAlign w:val="center"/>
          </w:tcPr>
          <w:p>
            <w:pPr>
              <w:ind w:firstLine="200"/>
              <w:rPr>
                <w:rFonts w:hint="eastAsia" w:ascii="仿宋_GB2312" w:hAnsi="仿宋" w:eastAsia="仿宋_GB2312" w:cs="宋体"/>
                <w:color w:val="auto"/>
                <w:kern w:val="0"/>
                <w:sz w:val="28"/>
                <w:szCs w:val="28"/>
                <w:highlight w:val="none"/>
                <w:lang w:eastAsia="zh-CN"/>
              </w:rPr>
            </w:pPr>
            <w:r>
              <w:rPr>
                <w:rFonts w:ascii="仿宋_GB2312" w:hAnsi="仿宋" w:eastAsia="仿宋_GB2312" w:cs="宋体"/>
                <w:color w:val="auto"/>
                <w:kern w:val="0"/>
                <w:sz w:val="28"/>
                <w:szCs w:val="28"/>
                <w:highlight w:val="none"/>
              </w:rPr>
              <w:t>30</w:t>
            </w:r>
            <w:r>
              <w:rPr>
                <w:rFonts w:hint="eastAsia" w:ascii="仿宋_GB2312" w:hAnsi="仿宋" w:eastAsia="仿宋_GB2312" w:cs="宋体"/>
                <w:color w:val="auto"/>
                <w:kern w:val="0"/>
                <w:sz w:val="28"/>
                <w:szCs w:val="28"/>
                <w:highlight w:val="none"/>
                <w:lang w:eastAsia="zh-CN"/>
              </w:rPr>
              <w:t>万元</w:t>
            </w:r>
          </w:p>
        </w:tc>
        <w:tc>
          <w:tcPr>
            <w:tcW w:w="1754" w:type="dxa"/>
            <w:tcBorders>
              <w:top w:val="nil"/>
              <w:left w:val="nil"/>
              <w:bottom w:val="single" w:color="auto"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ind w:firstLine="0"/>
              <w:textAlignment w:val="auto"/>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29.98万元</w:t>
            </w:r>
          </w:p>
        </w:tc>
        <w:tc>
          <w:tcPr>
            <w:tcW w:w="1080" w:type="dxa"/>
            <w:tcBorders>
              <w:top w:val="nil"/>
              <w:left w:val="nil"/>
              <w:bottom w:val="single" w:color="auto" w:sz="8" w:space="0"/>
              <w:right w:val="single" w:color="auto" w:sz="8" w:space="0"/>
            </w:tcBorders>
            <w:vAlign w:val="center"/>
          </w:tcPr>
          <w:p>
            <w:pPr>
              <w:rPr>
                <w:rFonts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lang w:val="en-US" w:eastAsia="zh-CN"/>
              </w:rPr>
              <w:t>99.9</w:t>
            </w:r>
            <w:r>
              <w:rPr>
                <w:rFonts w:ascii="仿宋_GB2312" w:hAnsi="仿宋" w:eastAsia="仿宋_GB2312" w:cs="宋体"/>
                <w:color w:val="auto"/>
                <w:kern w:val="0"/>
                <w:sz w:val="28"/>
                <w:szCs w:val="28"/>
                <w:highlight w:val="none"/>
              </w:rPr>
              <w:t>%</w:t>
            </w:r>
          </w:p>
        </w:tc>
        <w:tc>
          <w:tcPr>
            <w:tcW w:w="1260" w:type="dxa"/>
            <w:tcBorders>
              <w:top w:val="nil"/>
              <w:left w:val="nil"/>
              <w:bottom w:val="single" w:color="auto" w:sz="8" w:space="0"/>
              <w:right w:val="single" w:color="auto" w:sz="8" w:space="0"/>
            </w:tcBorders>
            <w:vAlign w:val="center"/>
          </w:tcPr>
          <w:p>
            <w:pPr>
              <w:rPr>
                <w:rFonts w:hint="eastAsia"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其他类</w:t>
            </w:r>
          </w:p>
        </w:tc>
        <w:tc>
          <w:tcPr>
            <w:tcW w:w="1875" w:type="dxa"/>
            <w:tcBorders>
              <w:top w:val="nil"/>
              <w:left w:val="nil"/>
              <w:bottom w:val="single" w:color="auto" w:sz="8" w:space="0"/>
              <w:right w:val="single" w:color="auto" w:sz="8" w:space="0"/>
            </w:tcBorders>
            <w:vAlign w:val="center"/>
          </w:tcPr>
          <w:p>
            <w:pPr>
              <w:ind w:firstLine="200"/>
              <w:rPr>
                <w:rFonts w:ascii="仿宋_GB2312" w:hAnsi="仿宋" w:eastAsia="仿宋_GB2312" w:cs="宋体"/>
                <w:color w:val="auto"/>
                <w:kern w:val="0"/>
                <w:sz w:val="28"/>
                <w:szCs w:val="28"/>
                <w:highlight w:val="none"/>
              </w:rPr>
            </w:pPr>
          </w:p>
        </w:tc>
      </w:tr>
      <w:tr>
        <w:tblPrEx>
          <w:tblCellMar>
            <w:top w:w="0" w:type="dxa"/>
            <w:left w:w="108" w:type="dxa"/>
            <w:bottom w:w="0" w:type="dxa"/>
            <w:right w:w="108" w:type="dxa"/>
          </w:tblCellMar>
        </w:tblPrEx>
        <w:trPr>
          <w:trHeight w:val="1437" w:hRule="atLeast"/>
          <w:tblHeader/>
        </w:trPr>
        <w:tc>
          <w:tcPr>
            <w:tcW w:w="1581" w:type="dxa"/>
            <w:tcBorders>
              <w:top w:val="nil"/>
              <w:left w:val="single" w:color="auto" w:sz="8" w:space="0"/>
              <w:bottom w:val="single" w:color="auto" w:sz="8" w:space="0"/>
              <w:right w:val="single" w:color="auto" w:sz="8" w:space="0"/>
            </w:tcBorders>
            <w:vAlign w:val="center"/>
          </w:tcPr>
          <w:p>
            <w:pPr>
              <w:rPr>
                <w:rFonts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rPr>
              <w:t>自治区政协补助经费</w:t>
            </w:r>
          </w:p>
        </w:tc>
        <w:tc>
          <w:tcPr>
            <w:tcW w:w="1294" w:type="dxa"/>
            <w:tcBorders>
              <w:top w:val="nil"/>
              <w:left w:val="nil"/>
              <w:bottom w:val="single" w:color="auto" w:sz="8" w:space="0"/>
              <w:right w:val="single" w:color="auto" w:sz="8" w:space="0"/>
            </w:tcBorders>
            <w:vAlign w:val="center"/>
          </w:tcPr>
          <w:p>
            <w:pPr>
              <w:ind w:firstLine="200"/>
              <w:rPr>
                <w:rFonts w:hint="eastAsia" w:ascii="仿宋_GB2312" w:hAnsi="仿宋" w:eastAsia="仿宋_GB2312" w:cs="宋体"/>
                <w:color w:val="auto"/>
                <w:kern w:val="0"/>
                <w:sz w:val="28"/>
                <w:szCs w:val="28"/>
                <w:highlight w:val="none"/>
                <w:lang w:eastAsia="zh-CN"/>
              </w:rPr>
            </w:pPr>
            <w:r>
              <w:rPr>
                <w:rFonts w:ascii="仿宋_GB2312" w:hAnsi="仿宋" w:eastAsia="仿宋_GB2312" w:cs="宋体"/>
                <w:color w:val="auto"/>
                <w:kern w:val="0"/>
                <w:sz w:val="28"/>
                <w:szCs w:val="28"/>
                <w:highlight w:val="none"/>
              </w:rPr>
              <w:t>5</w:t>
            </w:r>
            <w:r>
              <w:rPr>
                <w:rFonts w:hint="eastAsia" w:ascii="仿宋_GB2312" w:hAnsi="仿宋" w:eastAsia="仿宋_GB2312" w:cs="宋体"/>
                <w:color w:val="auto"/>
                <w:kern w:val="0"/>
                <w:sz w:val="28"/>
                <w:szCs w:val="28"/>
                <w:highlight w:val="none"/>
                <w:lang w:eastAsia="zh-CN"/>
              </w:rPr>
              <w:t>万元</w:t>
            </w:r>
          </w:p>
        </w:tc>
        <w:tc>
          <w:tcPr>
            <w:tcW w:w="1754" w:type="dxa"/>
            <w:tcBorders>
              <w:top w:val="nil"/>
              <w:left w:val="nil"/>
              <w:bottom w:val="single" w:color="auto" w:sz="8" w:space="0"/>
              <w:right w:val="single" w:color="auto" w:sz="8" w:space="0"/>
            </w:tcBorders>
            <w:vAlign w:val="center"/>
          </w:tcPr>
          <w:p>
            <w:pPr>
              <w:tabs>
                <w:tab w:val="center" w:pos="564"/>
              </w:tabs>
              <w:ind w:firstLine="200"/>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5万元</w:t>
            </w:r>
          </w:p>
        </w:tc>
        <w:tc>
          <w:tcPr>
            <w:tcW w:w="1080" w:type="dxa"/>
            <w:tcBorders>
              <w:top w:val="nil"/>
              <w:left w:val="nil"/>
              <w:bottom w:val="single" w:color="auto" w:sz="8" w:space="0"/>
              <w:right w:val="single" w:color="auto" w:sz="8" w:space="0"/>
            </w:tcBorders>
            <w:vAlign w:val="center"/>
          </w:tcPr>
          <w:p>
            <w:pPr>
              <w:ind w:firstLine="200"/>
              <w:rPr>
                <w:rFonts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lang w:val="en-US" w:eastAsia="zh-CN"/>
              </w:rPr>
              <w:t>100</w:t>
            </w:r>
            <w:r>
              <w:rPr>
                <w:rFonts w:ascii="仿宋_GB2312" w:hAnsi="仿宋" w:eastAsia="仿宋_GB2312" w:cs="宋体"/>
                <w:color w:val="auto"/>
                <w:kern w:val="0"/>
                <w:sz w:val="28"/>
                <w:szCs w:val="28"/>
                <w:highlight w:val="none"/>
              </w:rPr>
              <w:t>%</w:t>
            </w:r>
          </w:p>
        </w:tc>
        <w:tc>
          <w:tcPr>
            <w:tcW w:w="1260" w:type="dxa"/>
            <w:tcBorders>
              <w:top w:val="nil"/>
              <w:left w:val="nil"/>
              <w:bottom w:val="single" w:color="auto" w:sz="8" w:space="0"/>
              <w:right w:val="single" w:color="auto" w:sz="8" w:space="0"/>
            </w:tcBorders>
            <w:vAlign w:val="center"/>
          </w:tcPr>
          <w:p>
            <w:pPr>
              <w:rPr>
                <w:rFonts w:hint="eastAsia" w:ascii="仿宋_GB2312" w:hAnsi="仿宋" w:eastAsia="仿宋_GB2312" w:cs="宋体"/>
                <w:color w:val="auto"/>
                <w:kern w:val="0"/>
                <w:sz w:val="28"/>
                <w:szCs w:val="28"/>
                <w:highlight w:val="none"/>
                <w:lang w:eastAsia="zh-CN"/>
              </w:rPr>
            </w:pPr>
            <w:r>
              <w:rPr>
                <w:rFonts w:hint="eastAsia" w:ascii="仿宋_GB2312" w:hAnsi="仿宋" w:eastAsia="仿宋_GB2312" w:cs="宋体"/>
                <w:color w:val="auto"/>
                <w:kern w:val="0"/>
                <w:sz w:val="28"/>
                <w:szCs w:val="28"/>
                <w:highlight w:val="none"/>
                <w:lang w:eastAsia="zh-CN"/>
              </w:rPr>
              <w:t>补助类</w:t>
            </w:r>
          </w:p>
        </w:tc>
        <w:tc>
          <w:tcPr>
            <w:tcW w:w="1875" w:type="dxa"/>
            <w:tcBorders>
              <w:top w:val="nil"/>
              <w:left w:val="nil"/>
              <w:bottom w:val="single" w:color="auto" w:sz="8" w:space="0"/>
              <w:right w:val="single" w:color="auto" w:sz="8" w:space="0"/>
            </w:tcBorders>
            <w:vAlign w:val="center"/>
          </w:tcPr>
          <w:p>
            <w:pPr>
              <w:ind w:firstLine="200"/>
              <w:rPr>
                <w:rFonts w:ascii="仿宋_GB2312" w:hAnsi="仿宋" w:eastAsia="仿宋_GB2312" w:cs="宋体"/>
                <w:color w:val="auto"/>
                <w:kern w:val="0"/>
                <w:sz w:val="28"/>
                <w:szCs w:val="28"/>
                <w:highlight w:val="none"/>
              </w:rPr>
            </w:pPr>
          </w:p>
        </w:tc>
      </w:tr>
      <w:tr>
        <w:tblPrEx>
          <w:tblCellMar>
            <w:top w:w="0" w:type="dxa"/>
            <w:left w:w="108" w:type="dxa"/>
            <w:bottom w:w="0" w:type="dxa"/>
            <w:right w:w="108" w:type="dxa"/>
          </w:tblCellMar>
        </w:tblPrEx>
        <w:trPr>
          <w:trHeight w:val="1304" w:hRule="atLeast"/>
          <w:tblHeader/>
        </w:trPr>
        <w:tc>
          <w:tcPr>
            <w:tcW w:w="1581" w:type="dxa"/>
            <w:tcBorders>
              <w:top w:val="single" w:color="auto" w:sz="4" w:space="0"/>
              <w:left w:val="single" w:color="auto" w:sz="8" w:space="0"/>
              <w:bottom w:val="single" w:color="auto" w:sz="8" w:space="0"/>
              <w:right w:val="single" w:color="auto" w:sz="8" w:space="0"/>
            </w:tcBorders>
            <w:vAlign w:val="center"/>
          </w:tcPr>
          <w:p>
            <w:pPr>
              <w:spacing w:line="560" w:lineRule="exact"/>
              <w:ind w:firstLine="200"/>
              <w:rPr>
                <w:rFonts w:ascii="仿宋_GB2312" w:hAnsi="仿宋" w:eastAsia="仿宋_GB2312" w:cs="宋体"/>
                <w:b/>
                <w:bCs/>
                <w:color w:val="auto"/>
                <w:kern w:val="0"/>
                <w:sz w:val="28"/>
                <w:szCs w:val="28"/>
                <w:highlight w:val="none"/>
              </w:rPr>
            </w:pPr>
            <w:r>
              <w:rPr>
                <w:rFonts w:hint="eastAsia" w:ascii="仿宋_GB2312" w:hAnsi="仿宋" w:eastAsia="仿宋_GB2312" w:cs="宋体"/>
                <w:b/>
                <w:bCs/>
                <w:color w:val="auto"/>
                <w:kern w:val="0"/>
                <w:sz w:val="28"/>
                <w:szCs w:val="28"/>
                <w:highlight w:val="none"/>
              </w:rPr>
              <w:t>合计</w:t>
            </w:r>
          </w:p>
        </w:tc>
        <w:tc>
          <w:tcPr>
            <w:tcW w:w="1294" w:type="dxa"/>
            <w:tcBorders>
              <w:top w:val="single" w:color="auto" w:sz="4" w:space="0"/>
              <w:left w:val="nil"/>
              <w:bottom w:val="single" w:color="auto" w:sz="8" w:space="0"/>
              <w:right w:val="single" w:color="auto" w:sz="8" w:space="0"/>
            </w:tcBorders>
            <w:vAlign w:val="center"/>
          </w:tcPr>
          <w:p>
            <w:pPr>
              <w:ind w:firstLine="200"/>
              <w:rPr>
                <w:rFonts w:hint="eastAsia" w:ascii="仿宋_GB2312" w:hAnsi="仿宋" w:eastAsia="仿宋_GB2312" w:cs="宋体"/>
                <w:color w:val="auto"/>
                <w:kern w:val="0"/>
                <w:sz w:val="28"/>
                <w:szCs w:val="28"/>
                <w:highlight w:val="none"/>
                <w:lang w:eastAsia="zh-CN"/>
              </w:rPr>
            </w:pPr>
            <w:r>
              <w:rPr>
                <w:rFonts w:ascii="仿宋_GB2312" w:hAnsi="仿宋" w:eastAsia="仿宋_GB2312" w:cs="宋体"/>
                <w:color w:val="auto"/>
                <w:kern w:val="0"/>
                <w:sz w:val="28"/>
                <w:szCs w:val="28"/>
                <w:highlight w:val="none"/>
              </w:rPr>
              <w:t>35</w:t>
            </w:r>
            <w:r>
              <w:rPr>
                <w:rFonts w:hint="eastAsia" w:ascii="仿宋_GB2312" w:hAnsi="仿宋" w:eastAsia="仿宋_GB2312" w:cs="宋体"/>
                <w:color w:val="auto"/>
                <w:kern w:val="0"/>
                <w:sz w:val="28"/>
                <w:szCs w:val="28"/>
                <w:highlight w:val="none"/>
                <w:lang w:eastAsia="zh-CN"/>
              </w:rPr>
              <w:t>万元</w:t>
            </w:r>
          </w:p>
        </w:tc>
        <w:tc>
          <w:tcPr>
            <w:tcW w:w="1754" w:type="dxa"/>
            <w:tcBorders>
              <w:top w:val="single" w:color="auto" w:sz="4" w:space="0"/>
              <w:left w:val="nil"/>
              <w:bottom w:val="single" w:color="auto" w:sz="8" w:space="0"/>
              <w:right w:val="single" w:color="auto" w:sz="8" w:space="0"/>
            </w:tcBorders>
            <w:vAlign w:val="center"/>
          </w:tcPr>
          <w:p>
            <w:pPr>
              <w:ind w:firstLine="200"/>
              <w:rPr>
                <w:rFonts w:hint="default" w:ascii="仿宋_GB2312" w:hAnsi="仿宋" w:eastAsia="仿宋_GB2312" w:cs="宋体"/>
                <w:color w:val="auto"/>
                <w:kern w:val="0"/>
                <w:sz w:val="28"/>
                <w:szCs w:val="28"/>
                <w:highlight w:val="none"/>
                <w:lang w:val="en-US" w:eastAsia="zh-CN"/>
              </w:rPr>
            </w:pPr>
            <w:r>
              <w:rPr>
                <w:rFonts w:hint="eastAsia" w:ascii="仿宋_GB2312" w:hAnsi="仿宋" w:eastAsia="仿宋_GB2312" w:cs="宋体"/>
                <w:color w:val="auto"/>
                <w:kern w:val="0"/>
                <w:sz w:val="28"/>
                <w:szCs w:val="28"/>
                <w:highlight w:val="none"/>
                <w:lang w:val="en-US" w:eastAsia="zh-CN"/>
              </w:rPr>
              <w:t>34.98万元</w:t>
            </w:r>
          </w:p>
        </w:tc>
        <w:tc>
          <w:tcPr>
            <w:tcW w:w="1080" w:type="dxa"/>
            <w:tcBorders>
              <w:top w:val="single" w:color="auto" w:sz="4" w:space="0"/>
              <w:left w:val="nil"/>
              <w:bottom w:val="single" w:color="auto" w:sz="8" w:space="0"/>
              <w:right w:val="single" w:color="auto" w:sz="8" w:space="0"/>
            </w:tcBorders>
            <w:vAlign w:val="center"/>
          </w:tcPr>
          <w:p>
            <w:pPr>
              <w:rPr>
                <w:rFonts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lang w:val="en-US" w:eastAsia="zh-CN"/>
              </w:rPr>
              <w:t>99.9</w:t>
            </w:r>
            <w:r>
              <w:rPr>
                <w:rFonts w:ascii="仿宋_GB2312" w:hAnsi="仿宋" w:eastAsia="仿宋_GB2312" w:cs="宋体"/>
                <w:color w:val="auto"/>
                <w:kern w:val="0"/>
                <w:sz w:val="28"/>
                <w:szCs w:val="28"/>
                <w:highlight w:val="none"/>
              </w:rPr>
              <w:t>%</w:t>
            </w:r>
          </w:p>
        </w:tc>
        <w:tc>
          <w:tcPr>
            <w:tcW w:w="1260" w:type="dxa"/>
            <w:tcBorders>
              <w:top w:val="single" w:color="auto" w:sz="4" w:space="0"/>
              <w:left w:val="nil"/>
              <w:bottom w:val="single" w:color="auto" w:sz="8" w:space="0"/>
              <w:right w:val="single" w:color="auto" w:sz="8" w:space="0"/>
            </w:tcBorders>
            <w:vAlign w:val="center"/>
          </w:tcPr>
          <w:p>
            <w:pPr>
              <w:ind w:firstLine="200"/>
              <w:rPr>
                <w:rFonts w:ascii="仿宋_GB2312" w:hAnsi="仿宋" w:eastAsia="仿宋_GB2312" w:cs="宋体"/>
                <w:color w:val="auto"/>
                <w:kern w:val="0"/>
                <w:sz w:val="28"/>
                <w:szCs w:val="28"/>
                <w:highlight w:val="none"/>
              </w:rPr>
            </w:pPr>
          </w:p>
        </w:tc>
        <w:tc>
          <w:tcPr>
            <w:tcW w:w="1875" w:type="dxa"/>
            <w:tcBorders>
              <w:top w:val="single" w:color="auto" w:sz="4" w:space="0"/>
              <w:left w:val="nil"/>
              <w:bottom w:val="single" w:color="auto" w:sz="8" w:space="0"/>
              <w:right w:val="single" w:color="auto" w:sz="8" w:space="0"/>
            </w:tcBorders>
            <w:vAlign w:val="center"/>
          </w:tcPr>
          <w:p>
            <w:pPr>
              <w:ind w:firstLine="200"/>
              <w:rPr>
                <w:rFonts w:ascii="仿宋_GB2312" w:hAnsi="仿宋" w:eastAsia="仿宋_GB2312" w:cs="宋体"/>
                <w:color w:val="auto"/>
                <w:kern w:val="0"/>
                <w:sz w:val="28"/>
                <w:szCs w:val="28"/>
                <w:highlight w:val="none"/>
              </w:rPr>
            </w:pPr>
          </w:p>
        </w:tc>
      </w:tr>
    </w:tbl>
    <w:p>
      <w:pPr>
        <w:spacing w:line="560" w:lineRule="exact"/>
        <w:ind w:firstLine="200"/>
        <w:rPr>
          <w:rFonts w:hint="default" w:ascii="仿宋_GB2312" w:eastAsia="仿宋_GB2312"/>
          <w:color w:val="auto"/>
          <w:sz w:val="32"/>
          <w:szCs w:val="32"/>
          <w:highlight w:val="none"/>
          <w:lang w:val="en-US" w:eastAsia="zh-CN"/>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　</w:t>
      </w:r>
      <w:r>
        <w:rPr>
          <w:rFonts w:hint="eastAsia"/>
          <w:color w:val="auto"/>
          <w:highlight w:val="none"/>
        </w:rPr>
        <w:tab/>
      </w:r>
      <w:r>
        <w:rPr>
          <w:rFonts w:hint="eastAsia"/>
          <w:color w:val="auto"/>
          <w:highlight w:val="none"/>
        </w:rPr>
        <w:t>　</w:t>
      </w:r>
      <w:r>
        <w:rPr>
          <w:rFonts w:hint="eastAsia" w:ascii="仿宋_GB2312" w:eastAsia="仿宋_GB2312"/>
          <w:color w:val="auto"/>
          <w:sz w:val="32"/>
          <w:szCs w:val="32"/>
          <w:highlight w:val="none"/>
        </w:rPr>
        <w:t>执行数与预算数存在差异的原因：</w:t>
      </w:r>
      <w:r>
        <w:rPr>
          <w:rFonts w:hint="eastAsia" w:ascii="仿宋_GB2312" w:hAnsi="仿宋" w:eastAsia="仿宋_GB2312" w:cs="宋体"/>
          <w:color w:val="auto"/>
          <w:kern w:val="0"/>
          <w:sz w:val="28"/>
          <w:szCs w:val="28"/>
          <w:highlight w:val="none"/>
        </w:rPr>
        <w:t>访惠聚经费</w:t>
      </w:r>
      <w:r>
        <w:rPr>
          <w:rFonts w:hint="eastAsia" w:ascii="仿宋_GB2312" w:hAnsi="仿宋" w:eastAsia="仿宋_GB2312" w:cs="宋体"/>
          <w:color w:val="auto"/>
          <w:kern w:val="0"/>
          <w:sz w:val="28"/>
          <w:szCs w:val="28"/>
          <w:highlight w:val="none"/>
          <w:lang w:eastAsia="zh-CN"/>
        </w:rPr>
        <w:t>项目追减</w:t>
      </w:r>
      <w:r>
        <w:rPr>
          <w:rFonts w:hint="eastAsia" w:ascii="仿宋_GB2312" w:hAnsi="仿宋" w:eastAsia="仿宋_GB2312" w:cs="宋体"/>
          <w:color w:val="auto"/>
          <w:kern w:val="0"/>
          <w:sz w:val="28"/>
          <w:szCs w:val="28"/>
          <w:highlight w:val="none"/>
          <w:lang w:val="en-US" w:eastAsia="zh-CN"/>
        </w:rPr>
        <w:t>165元，已退回财政。</w:t>
      </w:r>
    </w:p>
    <w:p>
      <w:pPr>
        <w:pStyle w:val="19"/>
        <w:spacing w:line="560" w:lineRule="exact"/>
        <w:ind w:firstLine="624"/>
        <w:rPr>
          <w:rStyle w:val="10"/>
          <w:rFonts w:hint="eastAsia" w:ascii="黑体" w:hAnsi="黑体" w:eastAsia="仿宋_GB2312"/>
          <w:b w:val="0"/>
          <w:color w:val="auto"/>
          <w:spacing w:val="-4"/>
          <w:sz w:val="32"/>
          <w:szCs w:val="32"/>
          <w:highlight w:val="none"/>
          <w:lang w:val="en-US" w:eastAsia="zh-CN"/>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资金严格按照《财务管理制度》、《专项资金使用管理制度》、《内部控制管理制度》实行专款专用，专项支出预算总额</w:t>
      </w:r>
      <w:r>
        <w:rPr>
          <w:rFonts w:ascii="仿宋_GB2312" w:hAnsi="方正楷体简体" w:eastAsia="仿宋_GB2312" w:cs="宋体"/>
          <w:color w:val="auto"/>
          <w:sz w:val="32"/>
          <w:szCs w:val="32"/>
          <w:highlight w:val="none"/>
        </w:rPr>
        <w:t>35</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34.98</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99.9</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。有</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个实际支出</w:t>
      </w:r>
      <w:r>
        <w:rPr>
          <w:rFonts w:hint="eastAsia" w:ascii="仿宋_GB2312" w:hAnsi="方正楷体简体" w:eastAsia="仿宋_GB2312" w:cs="宋体"/>
          <w:color w:val="auto"/>
          <w:sz w:val="32"/>
          <w:szCs w:val="32"/>
          <w:highlight w:val="none"/>
          <w:lang w:val="en-US" w:eastAsia="zh-CN"/>
        </w:rPr>
        <w:t>34.98</w:t>
      </w:r>
      <w:r>
        <w:rPr>
          <w:rFonts w:hint="eastAsia" w:ascii="仿宋_GB2312" w:hAnsi="方正楷体简体" w:eastAsia="仿宋_GB2312" w:cs="宋体"/>
          <w:color w:val="auto"/>
          <w:sz w:val="32"/>
          <w:szCs w:val="32"/>
          <w:highlight w:val="none"/>
        </w:rPr>
        <w:t>万元、未完成项目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个、结转项目</w:t>
      </w:r>
      <w:r>
        <w:rPr>
          <w:rFonts w:ascii="仿宋_GB2312" w:hAnsi="方正楷体简体" w:eastAsia="仿宋_GB2312" w:cs="宋体"/>
          <w:color w:val="auto"/>
          <w:sz w:val="32"/>
          <w:szCs w:val="32"/>
          <w:highlight w:val="none"/>
        </w:rPr>
        <w:t>0</w:t>
      </w:r>
      <w:r>
        <w:rPr>
          <w:rFonts w:hint="eastAsia" w:ascii="仿宋_GB2312" w:hAnsi="方正楷体简体" w:eastAsia="仿宋_GB2312" w:cs="宋体"/>
          <w:color w:val="auto"/>
          <w:sz w:val="32"/>
          <w:szCs w:val="32"/>
          <w:highlight w:val="none"/>
        </w:rPr>
        <w:t>个。</w:t>
      </w:r>
    </w:p>
    <w:p>
      <w:pPr>
        <w:spacing w:line="560" w:lineRule="exact"/>
        <w:ind w:firstLine="640" w:firstLineChars="200"/>
        <w:rPr>
          <w:rFonts w:ascii="仿宋_GB2312" w:hAnsi="方正楷体简体" w:eastAsia="仿宋_GB2312" w:cs="宋体"/>
          <w:color w:val="auto"/>
          <w:sz w:val="32"/>
          <w:szCs w:val="32"/>
          <w:highlight w:val="none"/>
        </w:rPr>
      </w:pP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进一步提高预算绩效管理认识，强化《绩效为中心，对支出结果负责，对社会公众负责》的理念，在绩效目标编制方面，针对绩效目标设置指向不清，预算和目标匹配不足，数量目标和质量目标量化不细。效益目标编制不完整等方面加以了改善。加强预算绩效动态监控管理，及时跟踪项目进度，对项目实施中存在的具体问题采取纠偏措施。</w:t>
      </w:r>
    </w:p>
    <w:p>
      <w:pPr>
        <w:spacing w:line="560" w:lineRule="exact"/>
        <w:ind w:firstLine="640" w:firstLineChars="200"/>
        <w:rPr>
          <w:rFonts w:ascii="仿宋_GB2312" w:hAnsi="方正楷体简体" w:eastAsia="仿宋_GB2312" w:cs="宋体"/>
          <w:color w:val="auto"/>
          <w:sz w:val="32"/>
          <w:szCs w:val="32"/>
          <w:highlight w:val="none"/>
        </w:rPr>
      </w:pP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加强相关专业技术人员的业务培训，进一步提高预算绩效评价质量。加强绩效评价管理制度和流程的建设，进一步深化。完善绩效管理体系，建立全过程的预算绩效管理机制，促进绩效管理工作。</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（一）专项组织情况分析</w:t>
      </w:r>
      <w:r>
        <w:rPr>
          <w:rStyle w:val="10"/>
          <w:rFonts w:ascii="楷体" w:hAnsi="楷体" w:eastAsia="楷体"/>
          <w:b w:val="0"/>
          <w:bCs w:val="0"/>
          <w:color w:val="auto"/>
          <w:spacing w:val="-4"/>
          <w:sz w:val="32"/>
          <w:szCs w:val="32"/>
          <w:highlight w:val="none"/>
        </w:rPr>
        <w:tab/>
      </w:r>
    </w:p>
    <w:p>
      <w:pPr>
        <w:spacing w:line="560" w:lineRule="exact"/>
        <w:ind w:firstLine="627" w:firstLineChars="200"/>
        <w:rPr>
          <w:rStyle w:val="10"/>
          <w:rFonts w:ascii="仿宋_GB2312" w:hAnsi="黑体" w:eastAsia="仿宋_GB2312"/>
          <w:bCs w:val="0"/>
          <w:color w:val="auto"/>
          <w:spacing w:val="-4"/>
          <w:sz w:val="32"/>
          <w:szCs w:val="32"/>
          <w:highlight w:val="none"/>
        </w:rPr>
      </w:pPr>
      <w:r>
        <w:rPr>
          <w:rStyle w:val="10"/>
          <w:rFonts w:ascii="仿宋_GB2312" w:hAnsi="黑体" w:eastAsia="仿宋_GB2312"/>
          <w:bCs w:val="0"/>
          <w:color w:val="auto"/>
          <w:spacing w:val="-4"/>
          <w:sz w:val="32"/>
          <w:szCs w:val="32"/>
          <w:highlight w:val="none"/>
        </w:rPr>
        <w:t>1</w:t>
      </w:r>
      <w:r>
        <w:rPr>
          <w:rStyle w:val="10"/>
          <w:rFonts w:hint="eastAsia" w:ascii="仿宋_GB2312" w:hAnsi="黑体" w:eastAsia="仿宋_GB2312"/>
          <w:bCs w:val="0"/>
          <w:color w:val="auto"/>
          <w:spacing w:val="-4"/>
          <w:sz w:val="32"/>
          <w:szCs w:val="32"/>
          <w:highlight w:val="none"/>
        </w:rPr>
        <w:t>．前期准备</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pPr>
        <w:spacing w:line="560" w:lineRule="exact"/>
        <w:ind w:firstLine="627" w:firstLineChars="200"/>
        <w:rPr>
          <w:rStyle w:val="10"/>
          <w:rFonts w:ascii="仿宋_GB2312" w:hAnsi="黑体" w:eastAsia="仿宋_GB2312"/>
          <w:bCs w:val="0"/>
          <w:color w:val="auto"/>
          <w:spacing w:val="-4"/>
          <w:sz w:val="32"/>
          <w:szCs w:val="32"/>
          <w:highlight w:val="none"/>
        </w:rPr>
      </w:pPr>
      <w:r>
        <w:rPr>
          <w:rStyle w:val="10"/>
          <w:rFonts w:ascii="仿宋_GB2312" w:hAnsi="黑体" w:eastAsia="仿宋_GB2312"/>
          <w:bCs w:val="0"/>
          <w:color w:val="auto"/>
          <w:spacing w:val="-4"/>
          <w:sz w:val="32"/>
          <w:szCs w:val="32"/>
          <w:highlight w:val="none"/>
        </w:rPr>
        <w:t>2</w:t>
      </w:r>
      <w:r>
        <w:rPr>
          <w:rStyle w:val="10"/>
          <w:rFonts w:hint="eastAsia" w:ascii="仿宋_GB2312" w:hAnsi="黑体" w:eastAsia="仿宋_GB2312"/>
          <w:bCs w:val="0"/>
          <w:color w:val="auto"/>
          <w:spacing w:val="-4"/>
          <w:sz w:val="32"/>
          <w:szCs w:val="32"/>
          <w:highlight w:val="none"/>
        </w:rPr>
        <w:t>．组织实施</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项目需根据前期制定的计划和实施方案进行实施。实施过程中，专项资金项目实施单位负责项目的实施、实施过程中的协调、重大事项的审批工作负责以及项目完成目标的验收工作。</w:t>
      </w:r>
    </w:p>
    <w:p>
      <w:pPr>
        <w:pStyle w:val="16"/>
        <w:numPr>
          <w:ilvl w:val="0"/>
          <w:numId w:val="1"/>
        </w:numPr>
        <w:spacing w:line="560" w:lineRule="exact"/>
        <w:ind w:firstLine="3168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bCs w:val="0"/>
          <w:color w:val="auto"/>
          <w:spacing w:val="-4"/>
          <w:sz w:val="32"/>
          <w:szCs w:val="32"/>
          <w:highlight w:val="none"/>
        </w:rPr>
      </w:pPr>
      <w:r>
        <w:rPr>
          <w:rStyle w:val="10"/>
          <w:rFonts w:ascii="仿宋_GB2312" w:hAnsi="黑体" w:eastAsia="仿宋_GB2312"/>
          <w:bCs w:val="0"/>
          <w:color w:val="auto"/>
          <w:spacing w:val="-4"/>
          <w:sz w:val="32"/>
          <w:szCs w:val="32"/>
          <w:highlight w:val="none"/>
        </w:rPr>
        <w:t>1</w:t>
      </w:r>
      <w:r>
        <w:rPr>
          <w:rStyle w:val="10"/>
          <w:rFonts w:hint="eastAsia" w:ascii="仿宋_GB2312" w:hAnsi="黑体" w:eastAsia="仿宋_GB2312"/>
          <w:bCs w:val="0"/>
          <w:color w:val="auto"/>
          <w:spacing w:val="-4"/>
          <w:sz w:val="32"/>
          <w:szCs w:val="32"/>
          <w:highlight w:val="none"/>
        </w:rPr>
        <w:t>．项目资金情况分析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w:t>
      </w: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年共有项目</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个，项目总预算</w:t>
      </w:r>
      <w:r>
        <w:rPr>
          <w:rFonts w:hint="eastAsia" w:ascii="仿宋_GB2312" w:hAnsi="方正楷体简体" w:eastAsia="仿宋_GB2312" w:cs="宋体"/>
          <w:color w:val="auto"/>
          <w:sz w:val="32"/>
          <w:szCs w:val="32"/>
          <w:highlight w:val="none"/>
          <w:lang w:val="en-US" w:eastAsia="zh-CN"/>
        </w:rPr>
        <w:t>57.84</w:t>
      </w:r>
      <w:r>
        <w:rPr>
          <w:rFonts w:hint="eastAsia" w:ascii="仿宋_GB2312" w:hAnsi="方正楷体简体" w:eastAsia="仿宋_GB2312" w:cs="宋体"/>
          <w:color w:val="auto"/>
          <w:sz w:val="32"/>
          <w:szCs w:val="32"/>
          <w:highlight w:val="none"/>
        </w:rPr>
        <w:t>万元，资金到位</w:t>
      </w:r>
      <w:r>
        <w:rPr>
          <w:rFonts w:hint="eastAsia" w:ascii="仿宋_GB2312" w:hAnsi="方正楷体简体" w:eastAsia="仿宋_GB2312" w:cs="宋体"/>
          <w:color w:val="auto"/>
          <w:sz w:val="32"/>
          <w:szCs w:val="32"/>
          <w:highlight w:val="none"/>
          <w:lang w:val="en-US" w:eastAsia="zh-CN"/>
        </w:rPr>
        <w:t>57.84</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44.98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77.8</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；资金严格按照《财务管理制度》、《专项资金使用管理制度》、《内部控制管理制度》实行专款专用，在本年度审计和财政监督检查过程中否发现资金违规使用情况。</w:t>
      </w:r>
    </w:p>
    <w:p>
      <w:pPr>
        <w:spacing w:line="560" w:lineRule="exact"/>
        <w:ind w:firstLine="627" w:firstLineChars="200"/>
        <w:rPr>
          <w:rStyle w:val="10"/>
          <w:rFonts w:ascii="仿宋_GB2312" w:hAnsi="黑体" w:eastAsia="仿宋_GB2312"/>
          <w:bCs w:val="0"/>
          <w:color w:val="auto"/>
          <w:spacing w:val="-4"/>
          <w:sz w:val="32"/>
          <w:szCs w:val="32"/>
          <w:highlight w:val="none"/>
        </w:rPr>
      </w:pPr>
      <w:r>
        <w:rPr>
          <w:rStyle w:val="10"/>
          <w:rFonts w:ascii="仿宋_GB2312" w:hAnsi="黑体" w:eastAsia="仿宋_GB2312"/>
          <w:bCs w:val="0"/>
          <w:color w:val="auto"/>
          <w:spacing w:val="-4"/>
          <w:sz w:val="32"/>
          <w:szCs w:val="32"/>
          <w:highlight w:val="none"/>
        </w:rPr>
        <w:t>2</w:t>
      </w:r>
      <w:r>
        <w:rPr>
          <w:rStyle w:val="10"/>
          <w:rFonts w:hint="eastAsia" w:ascii="仿宋_GB2312" w:hAnsi="黑体" w:eastAsia="仿宋_GB2312"/>
          <w:bCs w:val="0"/>
          <w:color w:val="auto"/>
          <w:spacing w:val="-4"/>
          <w:sz w:val="32"/>
          <w:szCs w:val="32"/>
          <w:highlight w:val="none"/>
        </w:rPr>
        <w:t>．项目实施情况分析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）项目组织情况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）项目管理情况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3</w:t>
      </w:r>
      <w:r>
        <w:rPr>
          <w:rFonts w:hint="eastAsia" w:ascii="仿宋_GB2312" w:hAnsi="方正楷体简体" w:eastAsia="仿宋_GB2312" w:cs="宋体"/>
          <w:color w:val="auto"/>
          <w:sz w:val="32"/>
          <w:szCs w:val="32"/>
          <w:highlight w:val="none"/>
        </w:rPr>
        <w:t>）项目监管情况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bCs w:val="0"/>
          <w:color w:val="auto"/>
          <w:spacing w:val="-4"/>
          <w:sz w:val="32"/>
          <w:szCs w:val="32"/>
          <w:highlight w:val="none"/>
        </w:rPr>
      </w:pPr>
      <w:r>
        <w:rPr>
          <w:rStyle w:val="10"/>
          <w:rFonts w:ascii="仿宋_GB2312" w:hAnsi="黑体" w:eastAsia="仿宋_GB2312"/>
          <w:bCs w:val="0"/>
          <w:color w:val="auto"/>
          <w:spacing w:val="-4"/>
          <w:sz w:val="32"/>
          <w:szCs w:val="32"/>
          <w:highlight w:val="none"/>
        </w:rPr>
        <w:t>3</w:t>
      </w:r>
      <w:r>
        <w:rPr>
          <w:rStyle w:val="10"/>
          <w:rFonts w:hint="eastAsia" w:ascii="仿宋_GB2312" w:hAnsi="黑体" w:eastAsia="仿宋_GB2312"/>
          <w:bCs w:val="0"/>
          <w:color w:val="auto"/>
          <w:spacing w:val="-4"/>
          <w:sz w:val="32"/>
          <w:szCs w:val="32"/>
          <w:highlight w:val="none"/>
        </w:rPr>
        <w:t>．项目绩效情况分析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）项目成本控制及节约情况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成本节约：我单位</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个项目成本均未超预算，预算执行率达</w:t>
      </w:r>
      <w:r>
        <w:rPr>
          <w:rFonts w:hint="eastAsia" w:ascii="仿宋_GB2312" w:hAnsi="方正楷体简体" w:eastAsia="仿宋_GB2312" w:cs="宋体"/>
          <w:color w:val="auto"/>
          <w:sz w:val="32"/>
          <w:szCs w:val="32"/>
          <w:highlight w:val="none"/>
          <w:lang w:val="en-US" w:eastAsia="zh-CN"/>
        </w:rPr>
        <w:t>77.8</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）项目效率性分析</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实施进度：我单位共有</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个项目，</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个项目均在项目计划期间完成，项目按期完成及时率</w:t>
      </w:r>
      <w:r>
        <w:rPr>
          <w:rFonts w:hint="eastAsia" w:ascii="仿宋_GB2312" w:hAnsi="方正楷体简体" w:eastAsia="仿宋_GB2312" w:cs="宋体"/>
          <w:color w:val="auto"/>
          <w:sz w:val="32"/>
          <w:szCs w:val="32"/>
          <w:highlight w:val="none"/>
          <w:lang w:val="en-US" w:eastAsia="zh-CN"/>
        </w:rPr>
        <w:t>66.7</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个项目未完成。</w:t>
      </w:r>
      <w:r>
        <w:rPr>
          <w:rFonts w:hint="eastAsia" w:ascii="仿宋_GB2312" w:hAnsi="方正楷体简体" w:eastAsia="仿宋_GB2312" w:cs="宋体"/>
          <w:color w:val="auto"/>
          <w:sz w:val="32"/>
          <w:szCs w:val="32"/>
          <w:highlight w:val="none"/>
          <w:lang w:eastAsia="zh-CN"/>
        </w:rPr>
        <w:t>原因是各项工作正常开展，产生的经费未及时报账。</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完成质量：我单位共有</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个项目，</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个项目均验收完成，验收合格率</w:t>
      </w:r>
      <w:r>
        <w:rPr>
          <w:rFonts w:hint="eastAsia" w:ascii="仿宋_GB2312" w:hAnsi="方正楷体简体" w:eastAsia="仿宋_GB2312" w:cs="宋体"/>
          <w:color w:val="auto"/>
          <w:sz w:val="32"/>
          <w:szCs w:val="32"/>
          <w:highlight w:val="none"/>
          <w:lang w:val="en-US" w:eastAsia="zh-CN"/>
        </w:rPr>
        <w:t>66.7</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个项目未完成验收。</w:t>
      </w:r>
      <w:r>
        <w:rPr>
          <w:rFonts w:hint="eastAsia" w:ascii="仿宋_GB2312" w:hAnsi="方正楷体简体" w:eastAsia="仿宋_GB2312" w:cs="宋体"/>
          <w:color w:val="auto"/>
          <w:sz w:val="32"/>
          <w:szCs w:val="32"/>
          <w:highlight w:val="none"/>
          <w:lang w:eastAsia="zh-CN"/>
        </w:rPr>
        <w:t>原因是各项工作正常开展，产生的经费未及时报账。</w:t>
      </w:r>
    </w:p>
    <w:p>
      <w:pPr>
        <w:spacing w:line="560" w:lineRule="exact"/>
        <w:ind w:firstLine="320" w:firstLineChars="1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3</w:t>
      </w:r>
      <w:r>
        <w:rPr>
          <w:rFonts w:hint="eastAsia" w:ascii="仿宋_GB2312" w:hAnsi="方正楷体简体" w:eastAsia="仿宋_GB2312" w:cs="宋体"/>
          <w:color w:val="auto"/>
          <w:sz w:val="32"/>
          <w:szCs w:val="32"/>
          <w:highlight w:val="none"/>
        </w:rPr>
        <w:t>）项目效益性分析</w:t>
      </w:r>
    </w:p>
    <w:p>
      <w:pPr>
        <w:spacing w:line="560" w:lineRule="exact"/>
        <w:ind w:firstLine="640" w:firstLineChars="200"/>
        <w:rPr>
          <w:rFonts w:ascii="仿宋_GB2312" w:hAnsi="方正楷体简体" w:eastAsia="仿宋_GB2312" w:cs="宋体"/>
          <w:color w:val="auto"/>
          <w:sz w:val="32"/>
          <w:szCs w:val="32"/>
          <w:highlight w:val="none"/>
        </w:rPr>
      </w:pP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年度本单位实施</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个项目，通过项目的实施带来的效益：</w:t>
      </w:r>
      <w:r>
        <w:rPr>
          <w:rFonts w:hint="eastAsia" w:ascii="仿宋_GB2312" w:hAnsi="方正楷体简体" w:eastAsia="仿宋_GB2312" w:cs="宋体"/>
          <w:color w:val="auto"/>
          <w:sz w:val="32"/>
          <w:szCs w:val="32"/>
          <w:highlight w:val="none"/>
          <w:lang w:eastAsia="zh-CN"/>
        </w:rPr>
        <w:t>中国人民政治协商会议新疆和田市委员会</w:t>
      </w: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在市委的坚强领导下，牢牢把握团结和民主两大主题，以习近平新时代中国特色社会主义思想和十九大精神为统领遵循，积极履行“政治协商、民主监督、参政议政”职能，敢于担当、真抓实干，为落实市委全委（扩大）会议提出的目标任务凝聚共识、凝聚智慧、凝聚力量，作出积极贡献，取得新的成就。</w:t>
      </w:r>
    </w:p>
    <w:p>
      <w:pPr>
        <w:pStyle w:val="16"/>
        <w:spacing w:line="560" w:lineRule="exact"/>
        <w:ind w:firstLine="31680"/>
        <w:rPr>
          <w:rStyle w:val="10"/>
          <w:rFonts w:ascii="黑体" w:hAnsi="黑体" w:eastAsia="黑体"/>
          <w:b w:val="0"/>
          <w:color w:val="auto"/>
          <w:spacing w:val="-4"/>
          <w:sz w:val="32"/>
          <w:szCs w:val="32"/>
          <w:highlight w:val="none"/>
        </w:rPr>
      </w:pPr>
      <w:r>
        <w:rPr>
          <w:rStyle w:val="10"/>
          <w:rFonts w:hint="eastAsia" w:ascii="黑体" w:hAnsi="黑体" w:eastAsia="黑体"/>
          <w:b w:val="0"/>
          <w:color w:val="auto"/>
          <w:spacing w:val="-4"/>
          <w:sz w:val="32"/>
          <w:szCs w:val="32"/>
          <w:highlight w:val="none"/>
        </w:rPr>
        <w:t>四、资产管理情况</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 w:hAnsi="仿宋" w:eastAsia="仿宋"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符合财政单位要求。每年年末定时对我单位的固定资产进行盘点，对盘点过程中发生的盈亏，进行原因查找，并上报单位党组研究决策，再上报财政国有资产管理科进行申报再行处理。</w:t>
      </w:r>
    </w:p>
    <w:p>
      <w:pPr>
        <w:pStyle w:val="16"/>
        <w:spacing w:line="560" w:lineRule="exact"/>
        <w:ind w:firstLine="31680"/>
        <w:rPr>
          <w:rStyle w:val="10"/>
          <w:rFonts w:ascii="黑体" w:hAnsi="黑体" w:eastAsia="黑体"/>
          <w:b w:val="0"/>
          <w:color w:val="auto"/>
          <w:spacing w:val="-4"/>
          <w:sz w:val="32"/>
          <w:szCs w:val="32"/>
          <w:highlight w:val="none"/>
        </w:rPr>
      </w:pPr>
      <w:r>
        <w:rPr>
          <w:rStyle w:val="10"/>
          <w:rFonts w:hint="eastAsia" w:ascii="黑体" w:hAnsi="黑体" w:eastAsia="黑体"/>
          <w:b w:val="0"/>
          <w:color w:val="auto"/>
          <w:spacing w:val="-4"/>
          <w:sz w:val="32"/>
          <w:szCs w:val="32"/>
          <w:highlight w:val="none"/>
        </w:rPr>
        <w:t>五、单位整体支出绩效情况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单位整体支出共设置一级指标</w:t>
      </w:r>
      <w:r>
        <w:rPr>
          <w:rFonts w:ascii="仿宋_GB2312" w:hAnsi="方正楷体简体" w:eastAsia="仿宋_GB2312" w:cs="宋体"/>
          <w:color w:val="auto"/>
          <w:sz w:val="32"/>
          <w:szCs w:val="32"/>
          <w:highlight w:val="none"/>
        </w:rPr>
        <w:t>3</w:t>
      </w:r>
      <w:r>
        <w:rPr>
          <w:rFonts w:hint="eastAsia" w:ascii="仿宋_GB2312" w:hAnsi="方正楷体简体" w:eastAsia="仿宋_GB2312" w:cs="宋体"/>
          <w:color w:val="auto"/>
          <w:sz w:val="32"/>
          <w:szCs w:val="32"/>
          <w:highlight w:val="none"/>
        </w:rPr>
        <w:t>个，二级指标</w:t>
      </w:r>
      <w:r>
        <w:rPr>
          <w:rFonts w:ascii="仿宋_GB2312" w:hAnsi="方正楷体简体" w:eastAsia="仿宋_GB2312" w:cs="宋体"/>
          <w:color w:val="auto"/>
          <w:sz w:val="32"/>
          <w:szCs w:val="32"/>
          <w:highlight w:val="none"/>
        </w:rPr>
        <w:t>7</w:t>
      </w:r>
      <w:r>
        <w:rPr>
          <w:rFonts w:hint="eastAsia" w:ascii="仿宋_GB2312" w:hAnsi="方正楷体简体" w:eastAsia="仿宋_GB2312" w:cs="宋体"/>
          <w:color w:val="auto"/>
          <w:sz w:val="32"/>
          <w:szCs w:val="32"/>
          <w:highlight w:val="none"/>
        </w:rPr>
        <w:t>个，三级指标</w:t>
      </w:r>
      <w:r>
        <w:rPr>
          <w:rFonts w:ascii="仿宋_GB2312" w:hAnsi="方正楷体简体" w:eastAsia="仿宋_GB2312" w:cs="宋体"/>
          <w:color w:val="auto"/>
          <w:sz w:val="32"/>
          <w:szCs w:val="32"/>
          <w:highlight w:val="none"/>
        </w:rPr>
        <w:t>16</w:t>
      </w:r>
      <w:r>
        <w:rPr>
          <w:rFonts w:hint="eastAsia" w:ascii="仿宋_GB2312" w:hAnsi="方正楷体简体" w:eastAsia="仿宋_GB2312" w:cs="宋体"/>
          <w:color w:val="auto"/>
          <w:sz w:val="32"/>
          <w:szCs w:val="32"/>
          <w:highlight w:val="none"/>
        </w:rPr>
        <w:t>个，其中已完成三级指标</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lang w:val="en-US" w:eastAsia="zh-CN"/>
        </w:rPr>
        <w:t>4</w:t>
      </w:r>
      <w:r>
        <w:rPr>
          <w:rFonts w:hint="eastAsia" w:ascii="仿宋_GB2312" w:hAnsi="方正楷体简体" w:eastAsia="仿宋_GB2312" w:cs="宋体"/>
          <w:color w:val="auto"/>
          <w:sz w:val="32"/>
          <w:szCs w:val="32"/>
          <w:highlight w:val="none"/>
        </w:rPr>
        <w:t>个，指标完成率为</w:t>
      </w:r>
      <w:r>
        <w:rPr>
          <w:rFonts w:hint="eastAsia" w:ascii="仿宋_GB2312" w:hAnsi="方正楷体简体" w:eastAsia="仿宋_GB2312" w:cs="宋体"/>
          <w:color w:val="auto"/>
          <w:sz w:val="32"/>
          <w:szCs w:val="32"/>
          <w:highlight w:val="none"/>
          <w:lang w:val="en-US" w:eastAsia="zh-CN"/>
        </w:rPr>
        <w:t>87.5</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p>
    <w:p>
      <w:pPr>
        <w:spacing w:line="560" w:lineRule="exact"/>
        <w:ind w:firstLine="627" w:firstLineChars="200"/>
        <w:rPr>
          <w:rFonts w:ascii="仿宋_GB2312" w:hAnsi="楷体" w:eastAsia="仿宋_GB2312"/>
          <w:b/>
          <w:color w:val="auto"/>
          <w:spacing w:val="-4"/>
          <w:sz w:val="32"/>
          <w:szCs w:val="32"/>
          <w:highlight w:val="none"/>
        </w:rPr>
      </w:pPr>
      <w:r>
        <w:rPr>
          <w:rFonts w:ascii="仿宋_GB2312" w:hAnsi="楷体" w:eastAsia="仿宋_GB2312"/>
          <w:b/>
          <w:color w:val="auto"/>
          <w:spacing w:val="-4"/>
          <w:sz w:val="32"/>
          <w:szCs w:val="32"/>
          <w:highlight w:val="none"/>
        </w:rPr>
        <w:t>1</w:t>
      </w:r>
      <w:r>
        <w:rPr>
          <w:rFonts w:hint="eastAsia" w:ascii="仿宋_GB2312" w:hAnsi="楷体" w:eastAsia="仿宋_GB2312"/>
          <w:b/>
          <w:color w:val="auto"/>
          <w:spacing w:val="-4"/>
          <w:sz w:val="32"/>
          <w:szCs w:val="32"/>
          <w:highlight w:val="none"/>
        </w:rPr>
        <w:t>．产出指标完成情况分析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）项目完成数量</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保障单位干部职工工资正常发放人数，预期指标是</w:t>
      </w:r>
      <w:r>
        <w:rPr>
          <w:rFonts w:hint="eastAsia" w:ascii="仿宋_GB2312" w:hAnsi="方正楷体简体" w:eastAsia="仿宋_GB2312" w:cs="宋体"/>
          <w:color w:val="auto"/>
          <w:sz w:val="32"/>
          <w:szCs w:val="32"/>
          <w:highlight w:val="none"/>
          <w:lang w:val="en-US" w:eastAsia="zh-CN"/>
        </w:rPr>
        <w:t>18</w:t>
      </w:r>
      <w:r>
        <w:rPr>
          <w:rFonts w:hint="eastAsia" w:ascii="仿宋_GB2312" w:hAnsi="方正楷体简体" w:eastAsia="仿宋_GB2312" w:cs="宋体"/>
          <w:color w:val="auto"/>
          <w:sz w:val="32"/>
          <w:szCs w:val="32"/>
          <w:highlight w:val="none"/>
        </w:rPr>
        <w:t>人，实际完成值是</w:t>
      </w:r>
      <w:r>
        <w:rPr>
          <w:rFonts w:hint="eastAsia" w:ascii="仿宋_GB2312" w:hAnsi="方正楷体简体" w:eastAsia="仿宋_GB2312" w:cs="宋体"/>
          <w:color w:val="auto"/>
          <w:sz w:val="32"/>
          <w:szCs w:val="32"/>
          <w:highlight w:val="none"/>
          <w:lang w:val="en-US" w:eastAsia="zh-CN"/>
        </w:rPr>
        <w:t>18</w:t>
      </w:r>
      <w:r>
        <w:rPr>
          <w:rFonts w:hint="eastAsia" w:ascii="仿宋_GB2312" w:hAnsi="方正楷体简体" w:eastAsia="仿宋_GB2312" w:cs="宋体"/>
          <w:color w:val="auto"/>
          <w:sz w:val="32"/>
          <w:szCs w:val="32"/>
          <w:highlight w:val="none"/>
        </w:rPr>
        <w:t>人，指标完成率是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保障运转车辆数，预期指标是</w:t>
      </w:r>
      <w:r>
        <w:rPr>
          <w:rFonts w:ascii="仿宋_GB2312" w:hAnsi="方正楷体简体" w:eastAsia="仿宋_GB2312" w:cs="宋体"/>
          <w:color w:val="auto"/>
          <w:sz w:val="32"/>
          <w:szCs w:val="32"/>
          <w:highlight w:val="none"/>
        </w:rPr>
        <w:t>5</w:t>
      </w:r>
      <w:r>
        <w:rPr>
          <w:rFonts w:hint="eastAsia" w:ascii="仿宋_GB2312" w:hAnsi="方正楷体简体" w:eastAsia="仿宋_GB2312" w:cs="宋体"/>
          <w:color w:val="auto"/>
          <w:sz w:val="32"/>
          <w:szCs w:val="32"/>
          <w:highlight w:val="none"/>
        </w:rPr>
        <w:t>辆，实际完成值是</w:t>
      </w:r>
      <w:r>
        <w:rPr>
          <w:rFonts w:ascii="仿宋_GB2312" w:hAnsi="方正楷体简体" w:eastAsia="仿宋_GB2312" w:cs="宋体"/>
          <w:color w:val="auto"/>
          <w:sz w:val="32"/>
          <w:szCs w:val="32"/>
          <w:highlight w:val="none"/>
        </w:rPr>
        <w:t>5</w:t>
      </w:r>
      <w:r>
        <w:rPr>
          <w:rFonts w:hint="eastAsia" w:ascii="仿宋_GB2312" w:hAnsi="方正楷体简体" w:eastAsia="仿宋_GB2312" w:cs="宋体"/>
          <w:color w:val="auto"/>
          <w:sz w:val="32"/>
          <w:szCs w:val="32"/>
          <w:highlight w:val="none"/>
        </w:rPr>
        <w:t>辆，指标完成率是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三级指标是保障部门预算项目数，预期指标是</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个，实际完成值是</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个，指标完成率是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color w:val="auto"/>
          <w:highlight w:val="none"/>
        </w:rPr>
      </w:pPr>
      <w:r>
        <w:rPr>
          <w:rFonts w:hint="eastAsia" w:ascii="仿宋_GB2312" w:hAnsi="方正楷体简体" w:eastAsia="仿宋_GB2312" w:cs="宋体"/>
          <w:color w:val="auto"/>
          <w:sz w:val="32"/>
          <w:szCs w:val="32"/>
          <w:highlight w:val="none"/>
        </w:rPr>
        <w:t>数量指标共计</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个，完成</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个，达到预期目标，数量指标完成。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）项目完成质量</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工资及社保等各项缴费发放准确率，预期指标是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，实际完成值是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，指标完成率是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lang w:eastAsia="zh-CN"/>
        </w:rPr>
        <w:t>，</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车辆正常运转率，预期指标是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，实际完成值是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，指标完成率是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质量指标共计</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个，完成</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个，达到预期目标，质量指标完成。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3</w:t>
      </w:r>
      <w:r>
        <w:rPr>
          <w:rFonts w:hint="eastAsia" w:ascii="仿宋_GB2312" w:hAnsi="方正楷体简体" w:eastAsia="仿宋_GB2312" w:cs="宋体"/>
          <w:color w:val="auto"/>
          <w:sz w:val="32"/>
          <w:szCs w:val="32"/>
          <w:highlight w:val="none"/>
        </w:rPr>
        <w:t>）项目实施进度</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项目完成时间，预期指标是</w:t>
      </w: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w:t>
      </w:r>
      <w:r>
        <w:rPr>
          <w:rFonts w:ascii="仿宋_GB2312" w:hAnsi="方正楷体简体" w:eastAsia="仿宋_GB2312" w:cs="宋体"/>
          <w:color w:val="auto"/>
          <w:sz w:val="32"/>
          <w:szCs w:val="32"/>
          <w:highlight w:val="none"/>
        </w:rPr>
        <w:t>12</w:t>
      </w:r>
      <w:r>
        <w:rPr>
          <w:rFonts w:hint="eastAsia" w:ascii="仿宋_GB2312" w:hAnsi="方正楷体简体" w:eastAsia="仿宋_GB2312" w:cs="宋体"/>
          <w:color w:val="auto"/>
          <w:sz w:val="32"/>
          <w:szCs w:val="32"/>
          <w:highlight w:val="none"/>
        </w:rPr>
        <w:t>月，实际完成值是</w:t>
      </w:r>
      <w:r>
        <w:rPr>
          <w:rFonts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w:t>
      </w:r>
      <w:r>
        <w:rPr>
          <w:rFonts w:ascii="仿宋_GB2312" w:hAnsi="方正楷体简体" w:eastAsia="仿宋_GB2312" w:cs="宋体"/>
          <w:color w:val="auto"/>
          <w:sz w:val="32"/>
          <w:szCs w:val="32"/>
          <w:highlight w:val="none"/>
        </w:rPr>
        <w:t>12</w:t>
      </w:r>
      <w:r>
        <w:rPr>
          <w:rFonts w:hint="eastAsia" w:ascii="仿宋_GB2312" w:hAnsi="方正楷体简体" w:eastAsia="仿宋_GB2312" w:cs="宋体"/>
          <w:color w:val="auto"/>
          <w:sz w:val="32"/>
          <w:szCs w:val="32"/>
          <w:highlight w:val="none"/>
        </w:rPr>
        <w:t>月，指标完成率是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项目完成及时率，预期指标是小于等于</w:t>
      </w:r>
      <w:r>
        <w:rPr>
          <w:rFonts w:ascii="仿宋_GB2312" w:hAnsi="方正楷体简体" w:eastAsia="仿宋_GB2312" w:cs="宋体"/>
          <w:color w:val="auto"/>
          <w:sz w:val="32"/>
          <w:szCs w:val="32"/>
          <w:highlight w:val="none"/>
        </w:rPr>
        <w:t>95%</w:t>
      </w:r>
      <w:r>
        <w:rPr>
          <w:rFonts w:hint="eastAsia" w:ascii="仿宋_GB2312" w:hAnsi="方正楷体简体" w:eastAsia="仿宋_GB2312" w:cs="宋体"/>
          <w:color w:val="auto"/>
          <w:sz w:val="32"/>
          <w:szCs w:val="32"/>
          <w:highlight w:val="none"/>
        </w:rPr>
        <w:t>，实际完成值是</w:t>
      </w:r>
      <w:r>
        <w:rPr>
          <w:rFonts w:ascii="仿宋_GB2312" w:hAnsi="方正楷体简体" w:eastAsia="仿宋_GB2312" w:cs="宋体"/>
          <w:color w:val="auto"/>
          <w:sz w:val="32"/>
          <w:szCs w:val="32"/>
          <w:highlight w:val="none"/>
        </w:rPr>
        <w:t>95%</w:t>
      </w:r>
      <w:r>
        <w:rPr>
          <w:rFonts w:hint="eastAsia" w:ascii="仿宋_GB2312" w:hAnsi="方正楷体简体" w:eastAsia="仿宋_GB2312" w:cs="宋体"/>
          <w:color w:val="auto"/>
          <w:sz w:val="32"/>
          <w:szCs w:val="32"/>
          <w:highlight w:val="none"/>
        </w:rPr>
        <w:t>，指标完成率是</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工</w:t>
      </w:r>
      <w:r>
        <w:rPr>
          <w:rFonts w:hint="eastAsia" w:ascii="仿宋_GB2312" w:hAnsi="方正楷体简体" w:eastAsia="仿宋_GB2312" w:cs="宋体"/>
          <w:color w:val="auto"/>
          <w:sz w:val="32"/>
          <w:szCs w:val="32"/>
          <w:highlight w:val="none"/>
        </w:rPr>
        <w:t>资及社保等各项缴费发放及时率，预期指标是大于等于</w:t>
      </w:r>
      <w:r>
        <w:rPr>
          <w:rFonts w:ascii="仿宋_GB2312" w:hAnsi="方正楷体简体" w:eastAsia="仿宋_GB2312" w:cs="宋体"/>
          <w:color w:val="auto"/>
          <w:sz w:val="32"/>
          <w:szCs w:val="32"/>
          <w:highlight w:val="none"/>
        </w:rPr>
        <w:t>95%</w:t>
      </w:r>
      <w:r>
        <w:rPr>
          <w:rFonts w:hint="eastAsia" w:ascii="仿宋_GB2312" w:hAnsi="方正楷体简体" w:eastAsia="仿宋_GB2312" w:cs="宋体"/>
          <w:color w:val="auto"/>
          <w:sz w:val="32"/>
          <w:szCs w:val="32"/>
          <w:highlight w:val="none"/>
        </w:rPr>
        <w:t>，实际完成值是</w:t>
      </w:r>
      <w:r>
        <w:rPr>
          <w:rFonts w:ascii="仿宋_GB2312" w:hAnsi="方正楷体简体" w:eastAsia="仿宋_GB2312" w:cs="宋体"/>
          <w:color w:val="auto"/>
          <w:sz w:val="32"/>
          <w:szCs w:val="32"/>
          <w:highlight w:val="none"/>
        </w:rPr>
        <w:t>95%</w:t>
      </w:r>
      <w:r>
        <w:rPr>
          <w:rFonts w:hint="eastAsia" w:ascii="仿宋_GB2312" w:hAnsi="方正楷体简体" w:eastAsia="仿宋_GB2312" w:cs="宋体"/>
          <w:color w:val="auto"/>
          <w:sz w:val="32"/>
          <w:szCs w:val="32"/>
          <w:highlight w:val="none"/>
        </w:rPr>
        <w:t>，指标完成率是</w:t>
      </w:r>
      <w:r>
        <w:rPr>
          <w:rFonts w:hint="eastAsia" w:ascii="仿宋_GB2312" w:hAnsi="方正楷体简体" w:eastAsia="仿宋_GB2312" w:cs="宋体"/>
          <w:color w:val="auto"/>
          <w:sz w:val="32"/>
          <w:szCs w:val="32"/>
          <w:highlight w:val="none"/>
          <w:lang w:val="en-US" w:eastAsia="zh-CN"/>
        </w:rPr>
        <w:t>100</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时效指标共计</w:t>
      </w:r>
      <w:r>
        <w:rPr>
          <w:rFonts w:ascii="仿宋_GB2312" w:hAnsi="方正楷体简体" w:eastAsia="仿宋_GB2312" w:cs="宋体"/>
          <w:color w:val="auto"/>
          <w:sz w:val="32"/>
          <w:szCs w:val="32"/>
          <w:highlight w:val="none"/>
        </w:rPr>
        <w:t>3</w:t>
      </w:r>
      <w:r>
        <w:rPr>
          <w:rFonts w:hint="eastAsia" w:ascii="仿宋_GB2312" w:hAnsi="方正楷体简体" w:eastAsia="仿宋_GB2312" w:cs="宋体"/>
          <w:color w:val="auto"/>
          <w:sz w:val="32"/>
          <w:szCs w:val="32"/>
          <w:highlight w:val="none"/>
        </w:rPr>
        <w:t>个，完成</w:t>
      </w:r>
      <w:r>
        <w:rPr>
          <w:rFonts w:ascii="仿宋_GB2312" w:hAnsi="方正楷体简体" w:eastAsia="仿宋_GB2312" w:cs="宋体"/>
          <w:color w:val="auto"/>
          <w:sz w:val="32"/>
          <w:szCs w:val="32"/>
          <w:highlight w:val="none"/>
        </w:rPr>
        <w:t>3</w:t>
      </w:r>
      <w:r>
        <w:rPr>
          <w:rFonts w:hint="eastAsia" w:ascii="仿宋_GB2312" w:hAnsi="方正楷体简体" w:eastAsia="仿宋_GB2312" w:cs="宋体"/>
          <w:color w:val="auto"/>
          <w:sz w:val="32"/>
          <w:szCs w:val="32"/>
          <w:highlight w:val="none"/>
        </w:rPr>
        <w:t>个，达到预期目标，时效指标完成。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4</w:t>
      </w:r>
      <w:r>
        <w:rPr>
          <w:rFonts w:hint="eastAsia" w:ascii="仿宋_GB2312" w:hAnsi="方正楷体简体" w:eastAsia="仿宋_GB2312" w:cs="宋体"/>
          <w:color w:val="auto"/>
          <w:sz w:val="32"/>
          <w:szCs w:val="32"/>
          <w:highlight w:val="none"/>
        </w:rPr>
        <w:t>）项目成本节约情况</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各项工资、福利、补助费用人均成本，预期指标是</w:t>
      </w:r>
      <w:r>
        <w:rPr>
          <w:rFonts w:hint="eastAsia" w:ascii="仿宋_GB2312" w:hAnsi="方正楷体简体" w:eastAsia="仿宋_GB2312" w:cs="宋体"/>
          <w:color w:val="auto"/>
          <w:sz w:val="32"/>
          <w:szCs w:val="32"/>
          <w:highlight w:val="none"/>
          <w:lang w:val="en-US" w:eastAsia="zh-CN"/>
        </w:rPr>
        <w:t>15.44</w:t>
      </w:r>
      <w:r>
        <w:rPr>
          <w:rFonts w:hint="eastAsia" w:ascii="仿宋_GB2312" w:hAnsi="方正楷体简体" w:eastAsia="仿宋_GB2312" w:cs="宋体"/>
          <w:color w:val="auto"/>
          <w:sz w:val="32"/>
          <w:szCs w:val="32"/>
          <w:highlight w:val="none"/>
        </w:rPr>
        <w:t>万元</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人，实际完成值是</w:t>
      </w:r>
      <w:r>
        <w:rPr>
          <w:rFonts w:hint="eastAsia" w:ascii="仿宋_GB2312" w:hAnsi="方正楷体简体" w:eastAsia="仿宋_GB2312" w:cs="宋体"/>
          <w:color w:val="auto"/>
          <w:sz w:val="32"/>
          <w:szCs w:val="32"/>
          <w:highlight w:val="none"/>
          <w:lang w:val="en-US" w:eastAsia="zh-CN"/>
        </w:rPr>
        <w:t>15.44</w:t>
      </w:r>
      <w:r>
        <w:rPr>
          <w:rFonts w:hint="eastAsia" w:ascii="仿宋_GB2312" w:hAnsi="方正楷体简体" w:eastAsia="仿宋_GB2312" w:cs="宋体"/>
          <w:color w:val="auto"/>
          <w:sz w:val="32"/>
          <w:szCs w:val="32"/>
          <w:highlight w:val="none"/>
        </w:rPr>
        <w:t>万元</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人，指标完成率是</w:t>
      </w:r>
      <w:r>
        <w:rPr>
          <w:rFonts w:hint="eastAsia" w:ascii="仿宋_GB2312" w:hAnsi="方正楷体简体" w:eastAsia="仿宋_GB2312" w:cs="宋体"/>
          <w:color w:val="auto"/>
          <w:sz w:val="32"/>
          <w:szCs w:val="32"/>
          <w:highlight w:val="none"/>
          <w:lang w:val="en-US" w:eastAsia="zh-CN"/>
        </w:rPr>
        <w:t>10</w:t>
      </w:r>
      <w:r>
        <w:rPr>
          <w:rFonts w:ascii="仿宋_GB2312" w:hAnsi="方正楷体简体" w:eastAsia="仿宋_GB2312" w:cs="宋体"/>
          <w:color w:val="auto"/>
          <w:sz w:val="32"/>
          <w:szCs w:val="32"/>
          <w:highlight w:val="none"/>
        </w:rPr>
        <w:t>0%</w:t>
      </w:r>
      <w:r>
        <w:rPr>
          <w:rFonts w:hint="eastAsia" w:ascii="仿宋_GB2312" w:hAnsi="方正楷体简体" w:eastAsia="仿宋_GB2312" w:cs="宋体"/>
          <w:color w:val="auto"/>
          <w:sz w:val="32"/>
          <w:szCs w:val="32"/>
          <w:highlight w:val="none"/>
        </w:rPr>
        <w:t>，达到预期目标</w:t>
      </w:r>
      <w:r>
        <w:rPr>
          <w:rFonts w:hint="eastAsia" w:ascii="仿宋_GB2312" w:hAnsi="方正楷体简体" w:eastAsia="仿宋_GB2312" w:cs="宋体"/>
          <w:color w:val="auto"/>
          <w:sz w:val="32"/>
          <w:szCs w:val="32"/>
          <w:highlight w:val="none"/>
          <w:lang w:eastAsia="zh-CN"/>
        </w:rPr>
        <w:t>。</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对个人和家庭补助成本，预期指标是</w:t>
      </w:r>
      <w:r>
        <w:rPr>
          <w:rFonts w:hint="eastAsia" w:ascii="仿宋_GB2312" w:hAnsi="方正楷体简体" w:eastAsia="仿宋_GB2312" w:cs="宋体"/>
          <w:color w:val="auto"/>
          <w:sz w:val="32"/>
          <w:szCs w:val="32"/>
          <w:highlight w:val="none"/>
          <w:lang w:val="en-US" w:eastAsia="zh-CN"/>
        </w:rPr>
        <w:t>27.03</w:t>
      </w:r>
      <w:r>
        <w:rPr>
          <w:rFonts w:hint="eastAsia" w:ascii="仿宋_GB2312" w:hAnsi="方正楷体简体" w:eastAsia="仿宋_GB2312" w:cs="宋体"/>
          <w:color w:val="auto"/>
          <w:sz w:val="32"/>
          <w:szCs w:val="32"/>
          <w:highlight w:val="none"/>
        </w:rPr>
        <w:t>万元，实际完成值是</w:t>
      </w:r>
      <w:r>
        <w:rPr>
          <w:rFonts w:hint="eastAsia" w:ascii="仿宋_GB2312" w:hAnsi="方正楷体简体" w:eastAsia="仿宋_GB2312" w:cs="宋体"/>
          <w:color w:val="auto"/>
          <w:sz w:val="32"/>
          <w:szCs w:val="32"/>
          <w:highlight w:val="none"/>
          <w:lang w:val="en-US" w:eastAsia="zh-CN"/>
        </w:rPr>
        <w:t>27.03</w:t>
      </w:r>
      <w:r>
        <w:rPr>
          <w:rFonts w:hint="eastAsia" w:ascii="仿宋_GB2312" w:hAnsi="方正楷体简体" w:eastAsia="仿宋_GB2312" w:cs="宋体"/>
          <w:color w:val="auto"/>
          <w:sz w:val="32"/>
          <w:szCs w:val="32"/>
          <w:highlight w:val="none"/>
        </w:rPr>
        <w:t>万元，指标完成率是</w:t>
      </w:r>
      <w:r>
        <w:rPr>
          <w:rFonts w:hint="eastAsia" w:ascii="仿宋_GB2312" w:hAnsi="方正楷体简体" w:eastAsia="仿宋_GB2312" w:cs="宋体"/>
          <w:color w:val="auto"/>
          <w:sz w:val="32"/>
          <w:szCs w:val="32"/>
          <w:highlight w:val="none"/>
          <w:lang w:val="en-US" w:eastAsia="zh-CN"/>
        </w:rPr>
        <w:t>100</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lang w:eastAsia="zh-CN"/>
        </w:rPr>
        <w:t>，</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预算项目成本，预期指标是</w:t>
      </w:r>
      <w:r>
        <w:rPr>
          <w:rFonts w:hint="eastAsia" w:ascii="仿宋_GB2312" w:hAnsi="方正楷体简体" w:eastAsia="仿宋_GB2312" w:cs="宋体"/>
          <w:color w:val="auto"/>
          <w:sz w:val="32"/>
          <w:szCs w:val="32"/>
          <w:highlight w:val="none"/>
          <w:lang w:val="en-US" w:eastAsia="zh-CN"/>
        </w:rPr>
        <w:t>22.84</w:t>
      </w:r>
      <w:r>
        <w:rPr>
          <w:rFonts w:hint="eastAsia" w:ascii="仿宋_GB2312" w:hAnsi="方正楷体简体" w:eastAsia="仿宋_GB2312" w:cs="宋体"/>
          <w:color w:val="auto"/>
          <w:sz w:val="32"/>
          <w:szCs w:val="32"/>
          <w:highlight w:val="none"/>
        </w:rPr>
        <w:t>万元，实际完成值是</w:t>
      </w:r>
      <w:r>
        <w:rPr>
          <w:rFonts w:hint="eastAsia" w:ascii="仿宋_GB2312" w:hAnsi="方正楷体简体" w:eastAsia="仿宋_GB2312" w:cs="宋体"/>
          <w:color w:val="auto"/>
          <w:sz w:val="32"/>
          <w:szCs w:val="32"/>
          <w:highlight w:val="none"/>
          <w:lang w:val="en-US" w:eastAsia="zh-CN"/>
        </w:rPr>
        <w:t>10</w:t>
      </w:r>
      <w:r>
        <w:rPr>
          <w:rFonts w:hint="eastAsia" w:ascii="仿宋_GB2312" w:hAnsi="方正楷体简体" w:eastAsia="仿宋_GB2312" w:cs="宋体"/>
          <w:color w:val="auto"/>
          <w:sz w:val="32"/>
          <w:szCs w:val="32"/>
          <w:highlight w:val="none"/>
        </w:rPr>
        <w:t>万元，指标完成率是</w:t>
      </w:r>
      <w:r>
        <w:rPr>
          <w:rFonts w:hint="eastAsia" w:ascii="仿宋_GB2312" w:hAnsi="方正楷体简体" w:eastAsia="仿宋_GB2312" w:cs="宋体"/>
          <w:color w:val="auto"/>
          <w:sz w:val="32"/>
          <w:szCs w:val="32"/>
          <w:highlight w:val="none"/>
          <w:lang w:val="en-US" w:eastAsia="zh-CN"/>
        </w:rPr>
        <w:t>43.8</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，未达到预期目标，</w:t>
      </w:r>
      <w:r>
        <w:rPr>
          <w:rFonts w:hint="eastAsia" w:ascii="仿宋_GB2312" w:hAnsi="方正楷体简体" w:eastAsia="仿宋_GB2312" w:cs="宋体"/>
          <w:color w:val="auto"/>
          <w:sz w:val="32"/>
          <w:szCs w:val="32"/>
          <w:highlight w:val="none"/>
          <w:lang w:eastAsia="zh-CN"/>
        </w:rPr>
        <w:t>原因：未及时报账。</w:t>
      </w:r>
      <w:r>
        <w:rPr>
          <w:rFonts w:hint="eastAsia" w:ascii="仿宋_GB2312" w:hAnsi="方正楷体简体" w:eastAsia="仿宋_GB2312" w:cs="宋体"/>
          <w:color w:val="auto"/>
          <w:sz w:val="32"/>
          <w:szCs w:val="32"/>
          <w:highlight w:val="none"/>
        </w:rPr>
        <w:t>措施：及时</w:t>
      </w:r>
      <w:r>
        <w:rPr>
          <w:rFonts w:hint="eastAsia" w:ascii="仿宋_GB2312" w:hAnsi="方正楷体简体" w:eastAsia="仿宋_GB2312" w:cs="宋体"/>
          <w:color w:val="auto"/>
          <w:sz w:val="32"/>
          <w:szCs w:val="32"/>
          <w:highlight w:val="none"/>
          <w:lang w:eastAsia="zh-CN"/>
        </w:rPr>
        <w:t>报账。</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正常运转支出成本，预期指标是</w:t>
      </w:r>
      <w:r>
        <w:rPr>
          <w:rFonts w:hint="eastAsia" w:ascii="仿宋_GB2312" w:hAnsi="方正楷体简体" w:eastAsia="仿宋_GB2312" w:cs="宋体"/>
          <w:color w:val="auto"/>
          <w:sz w:val="32"/>
          <w:szCs w:val="32"/>
          <w:highlight w:val="none"/>
          <w:lang w:val="en-US" w:eastAsia="zh-CN"/>
        </w:rPr>
        <w:t>20.46</w:t>
      </w:r>
      <w:r>
        <w:rPr>
          <w:rFonts w:hint="eastAsia" w:ascii="仿宋_GB2312" w:hAnsi="方正楷体简体" w:eastAsia="仿宋_GB2312" w:cs="宋体"/>
          <w:color w:val="auto"/>
          <w:sz w:val="32"/>
          <w:szCs w:val="32"/>
          <w:highlight w:val="none"/>
        </w:rPr>
        <w:t>万元，实际完成值是</w:t>
      </w:r>
      <w:r>
        <w:rPr>
          <w:rFonts w:hint="eastAsia" w:ascii="仿宋_GB2312" w:hAnsi="方正楷体简体" w:eastAsia="仿宋_GB2312" w:cs="宋体"/>
          <w:color w:val="auto"/>
          <w:sz w:val="32"/>
          <w:szCs w:val="32"/>
          <w:highlight w:val="none"/>
          <w:lang w:val="en-US" w:eastAsia="zh-CN"/>
        </w:rPr>
        <w:t>11.4</w:t>
      </w:r>
      <w:r>
        <w:rPr>
          <w:rFonts w:hint="eastAsia" w:ascii="仿宋_GB2312" w:hAnsi="方正楷体简体" w:eastAsia="仿宋_GB2312" w:cs="宋体"/>
          <w:color w:val="auto"/>
          <w:sz w:val="32"/>
          <w:szCs w:val="32"/>
          <w:highlight w:val="none"/>
        </w:rPr>
        <w:t>万元，指标完成率是</w:t>
      </w:r>
      <w:r>
        <w:rPr>
          <w:rFonts w:hint="eastAsia" w:ascii="仿宋_GB2312" w:hAnsi="方正楷体简体" w:eastAsia="仿宋_GB2312" w:cs="宋体"/>
          <w:color w:val="auto"/>
          <w:sz w:val="32"/>
          <w:szCs w:val="32"/>
          <w:highlight w:val="none"/>
          <w:lang w:val="en-US" w:eastAsia="zh-CN"/>
        </w:rPr>
        <w:t>55.7</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，未达到预期目标，</w:t>
      </w:r>
      <w:r>
        <w:rPr>
          <w:rFonts w:hint="eastAsia" w:ascii="仿宋_GB2312" w:hAnsi="方正楷体简体" w:eastAsia="仿宋_GB2312" w:cs="宋体"/>
          <w:color w:val="auto"/>
          <w:sz w:val="32"/>
          <w:szCs w:val="32"/>
          <w:highlight w:val="none"/>
          <w:lang w:eastAsia="zh-CN"/>
        </w:rPr>
        <w:t>原因：未及时报账。</w:t>
      </w:r>
      <w:r>
        <w:rPr>
          <w:rFonts w:hint="eastAsia" w:ascii="仿宋_GB2312" w:hAnsi="方正楷体简体" w:eastAsia="仿宋_GB2312" w:cs="宋体"/>
          <w:color w:val="auto"/>
          <w:sz w:val="32"/>
          <w:szCs w:val="32"/>
          <w:highlight w:val="none"/>
        </w:rPr>
        <w:t>措施：及时</w:t>
      </w:r>
      <w:r>
        <w:rPr>
          <w:rFonts w:hint="eastAsia" w:ascii="仿宋_GB2312" w:hAnsi="方正楷体简体" w:eastAsia="仿宋_GB2312" w:cs="宋体"/>
          <w:color w:val="auto"/>
          <w:sz w:val="32"/>
          <w:szCs w:val="32"/>
          <w:highlight w:val="none"/>
          <w:lang w:eastAsia="zh-CN"/>
        </w:rPr>
        <w:t>报账。</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成本指标共计</w:t>
      </w:r>
      <w:r>
        <w:rPr>
          <w:rFonts w:hint="eastAsia" w:ascii="仿宋_GB2312" w:hAnsi="方正楷体简体" w:eastAsia="仿宋_GB2312" w:cs="宋体"/>
          <w:color w:val="auto"/>
          <w:sz w:val="32"/>
          <w:szCs w:val="32"/>
          <w:highlight w:val="none"/>
          <w:lang w:val="en-US" w:eastAsia="zh-CN"/>
        </w:rPr>
        <w:t>4</w:t>
      </w:r>
      <w:r>
        <w:rPr>
          <w:rFonts w:hint="eastAsia" w:ascii="仿宋_GB2312" w:hAnsi="方正楷体简体" w:eastAsia="仿宋_GB2312" w:cs="宋体"/>
          <w:color w:val="auto"/>
          <w:sz w:val="32"/>
          <w:szCs w:val="32"/>
          <w:highlight w:val="none"/>
        </w:rPr>
        <w:t>个，完成</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个，未达到预期目标</w:t>
      </w:r>
      <w:r>
        <w:rPr>
          <w:rFonts w:hint="eastAsia" w:ascii="仿宋_GB2312" w:hAnsi="方正楷体简体" w:eastAsia="仿宋_GB2312" w:cs="宋体"/>
          <w:color w:val="auto"/>
          <w:sz w:val="32"/>
          <w:szCs w:val="32"/>
          <w:highlight w:val="none"/>
          <w:lang w:eastAsia="zh-CN"/>
        </w:rPr>
        <w:t>，</w:t>
      </w:r>
      <w:r>
        <w:rPr>
          <w:rFonts w:hint="eastAsia" w:ascii="仿宋_GB2312" w:hAnsi="方正楷体简体" w:eastAsia="仿宋_GB2312" w:cs="宋体"/>
          <w:color w:val="auto"/>
          <w:sz w:val="32"/>
          <w:szCs w:val="32"/>
          <w:highlight w:val="none"/>
        </w:rPr>
        <w:t>未达到预期目标，</w:t>
      </w:r>
      <w:r>
        <w:rPr>
          <w:rFonts w:hint="eastAsia" w:ascii="仿宋_GB2312" w:hAnsi="方正楷体简体" w:eastAsia="仿宋_GB2312" w:cs="宋体"/>
          <w:color w:val="auto"/>
          <w:sz w:val="32"/>
          <w:szCs w:val="32"/>
          <w:highlight w:val="none"/>
          <w:lang w:eastAsia="zh-CN"/>
        </w:rPr>
        <w:t>原因：未及时报账。</w:t>
      </w:r>
      <w:r>
        <w:rPr>
          <w:rFonts w:hint="eastAsia" w:ascii="仿宋_GB2312" w:hAnsi="方正楷体简体" w:eastAsia="仿宋_GB2312" w:cs="宋体"/>
          <w:color w:val="auto"/>
          <w:sz w:val="32"/>
          <w:szCs w:val="32"/>
          <w:highlight w:val="none"/>
        </w:rPr>
        <w:t>措施：及时</w:t>
      </w:r>
      <w:r>
        <w:rPr>
          <w:rFonts w:hint="eastAsia" w:ascii="仿宋_GB2312" w:hAnsi="方正楷体简体" w:eastAsia="仿宋_GB2312" w:cs="宋体"/>
          <w:color w:val="auto"/>
          <w:sz w:val="32"/>
          <w:szCs w:val="32"/>
          <w:highlight w:val="none"/>
          <w:lang w:eastAsia="zh-CN"/>
        </w:rPr>
        <w:t>报账。</w:t>
      </w:r>
    </w:p>
    <w:p>
      <w:pPr>
        <w:spacing w:line="560" w:lineRule="exact"/>
        <w:ind w:firstLine="627" w:firstLineChars="200"/>
        <w:rPr>
          <w:rFonts w:ascii="仿宋_GB2312" w:hAnsi="楷体" w:eastAsia="仿宋_GB2312"/>
          <w:b/>
          <w:color w:val="auto"/>
          <w:spacing w:val="-4"/>
          <w:sz w:val="32"/>
          <w:szCs w:val="32"/>
          <w:highlight w:val="none"/>
        </w:rPr>
      </w:pPr>
      <w:r>
        <w:rPr>
          <w:rFonts w:ascii="仿宋_GB2312" w:hAnsi="楷体" w:eastAsia="仿宋_GB2312"/>
          <w:b/>
          <w:color w:val="auto"/>
          <w:spacing w:val="-4"/>
          <w:sz w:val="32"/>
          <w:szCs w:val="32"/>
          <w:highlight w:val="none"/>
        </w:rPr>
        <w:t>2</w:t>
      </w:r>
      <w:r>
        <w:rPr>
          <w:rFonts w:hint="eastAsia" w:ascii="仿宋_GB2312" w:hAnsi="楷体" w:eastAsia="仿宋_GB2312"/>
          <w:b/>
          <w:color w:val="auto"/>
          <w:spacing w:val="-4"/>
          <w:sz w:val="32"/>
          <w:szCs w:val="32"/>
          <w:highlight w:val="none"/>
        </w:rPr>
        <w:t>．效益指标完成情况分析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）项目实施的经济效益分析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无。</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）项目实施的社会效益分析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保障单位正常运转，预期指标是有效保障，实际完成值是有效保障，指标完成率是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社会效益指标共计</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个，完成</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个，达到预期目标，社会效益指标完成。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3</w:t>
      </w:r>
      <w:r>
        <w:rPr>
          <w:rFonts w:hint="eastAsia" w:ascii="仿宋_GB2312" w:hAnsi="方正楷体简体" w:eastAsia="仿宋_GB2312" w:cs="宋体"/>
          <w:color w:val="auto"/>
          <w:sz w:val="32"/>
          <w:szCs w:val="32"/>
          <w:highlight w:val="none"/>
        </w:rPr>
        <w:t>）项目实施的生态效益分析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无。</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w:t>
      </w:r>
      <w:r>
        <w:rPr>
          <w:rFonts w:ascii="仿宋_GB2312" w:hAnsi="方正楷体简体" w:eastAsia="仿宋_GB2312" w:cs="宋体"/>
          <w:color w:val="auto"/>
          <w:sz w:val="32"/>
          <w:szCs w:val="32"/>
          <w:highlight w:val="none"/>
        </w:rPr>
        <w:t>4</w:t>
      </w:r>
      <w:r>
        <w:rPr>
          <w:rFonts w:hint="eastAsia" w:ascii="仿宋_GB2312" w:hAnsi="方正楷体简体" w:eastAsia="仿宋_GB2312" w:cs="宋体"/>
          <w:color w:val="auto"/>
          <w:sz w:val="32"/>
          <w:szCs w:val="32"/>
          <w:highlight w:val="none"/>
        </w:rPr>
        <w:t>）项目实施的可持续影响分析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持续为群众提供政府公共服务能力，预期指标是长期，实际完成值是长期，指标完成率是</w:t>
      </w:r>
      <w:r>
        <w:rPr>
          <w:rFonts w:ascii="仿宋_GB2312" w:hAnsi="方正楷体简体" w:eastAsia="仿宋_GB2312" w:cs="宋体"/>
          <w:color w:val="auto"/>
          <w:sz w:val="32"/>
          <w:szCs w:val="32"/>
          <w:highlight w:val="none"/>
        </w:rPr>
        <w:t>100%</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可持续指标共计</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个，完成</w:t>
      </w:r>
      <w:r>
        <w:rPr>
          <w:rFonts w:ascii="仿宋_GB2312" w:hAnsi="方正楷体简体" w:eastAsia="仿宋_GB2312" w:cs="宋体"/>
          <w:color w:val="auto"/>
          <w:sz w:val="32"/>
          <w:szCs w:val="32"/>
          <w:highlight w:val="none"/>
        </w:rPr>
        <w:t>1</w:t>
      </w:r>
      <w:r>
        <w:rPr>
          <w:rFonts w:hint="eastAsia" w:ascii="仿宋_GB2312" w:hAnsi="方正楷体简体" w:eastAsia="仿宋_GB2312" w:cs="宋体"/>
          <w:color w:val="auto"/>
          <w:sz w:val="32"/>
          <w:szCs w:val="32"/>
          <w:highlight w:val="none"/>
        </w:rPr>
        <w:t>个，达到预期目标，可持续影响指标完成。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ascii="仿宋_GB2312" w:hAnsi="楷体" w:eastAsia="仿宋_GB2312"/>
          <w:b/>
          <w:color w:val="auto"/>
          <w:spacing w:val="-4"/>
          <w:sz w:val="32"/>
          <w:szCs w:val="32"/>
          <w:highlight w:val="none"/>
        </w:rPr>
        <w:t>3</w:t>
      </w:r>
      <w:r>
        <w:rPr>
          <w:rFonts w:hint="eastAsia" w:ascii="仿宋_GB2312" w:hAnsi="楷体" w:eastAsia="仿宋_GB2312"/>
          <w:b/>
          <w:color w:val="auto"/>
          <w:spacing w:val="-4"/>
          <w:sz w:val="32"/>
          <w:szCs w:val="32"/>
          <w:highlight w:val="none"/>
        </w:rPr>
        <w:t>．满意度指标完成情况分析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按计划完成项目实施，已做满意度调查问卷，具体如下：</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干部职工满意度，预期指标是大于等于</w:t>
      </w:r>
      <w:r>
        <w:rPr>
          <w:rFonts w:ascii="仿宋_GB2312" w:hAnsi="方正楷体简体" w:eastAsia="仿宋_GB2312" w:cs="宋体"/>
          <w:color w:val="auto"/>
          <w:sz w:val="32"/>
          <w:szCs w:val="32"/>
          <w:highlight w:val="none"/>
        </w:rPr>
        <w:t>95%</w:t>
      </w:r>
      <w:r>
        <w:rPr>
          <w:rFonts w:hint="eastAsia" w:ascii="仿宋_GB2312" w:hAnsi="方正楷体简体" w:eastAsia="仿宋_GB2312" w:cs="宋体"/>
          <w:color w:val="auto"/>
          <w:sz w:val="32"/>
          <w:szCs w:val="32"/>
          <w:highlight w:val="none"/>
        </w:rPr>
        <w:t>，实际完成值是</w:t>
      </w:r>
      <w:r>
        <w:rPr>
          <w:rFonts w:ascii="仿宋_GB2312" w:hAnsi="方正楷体简体" w:eastAsia="仿宋_GB2312" w:cs="宋体"/>
          <w:color w:val="auto"/>
          <w:sz w:val="32"/>
          <w:szCs w:val="32"/>
          <w:highlight w:val="none"/>
        </w:rPr>
        <w:t>95%</w:t>
      </w:r>
      <w:r>
        <w:rPr>
          <w:rFonts w:hint="eastAsia" w:ascii="仿宋_GB2312" w:hAnsi="方正楷体简体" w:eastAsia="仿宋_GB2312" w:cs="宋体"/>
          <w:color w:val="auto"/>
          <w:sz w:val="32"/>
          <w:szCs w:val="32"/>
          <w:highlight w:val="none"/>
        </w:rPr>
        <w:t>，指标完成率是</w:t>
      </w:r>
      <w:r>
        <w:rPr>
          <w:rFonts w:hint="eastAsia" w:ascii="仿宋_GB2312" w:hAnsi="方正楷体简体" w:eastAsia="仿宋_GB2312" w:cs="宋体"/>
          <w:color w:val="auto"/>
          <w:sz w:val="32"/>
          <w:szCs w:val="32"/>
          <w:highlight w:val="none"/>
          <w:lang w:val="en-US" w:eastAsia="zh-CN"/>
        </w:rPr>
        <w:t>100</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，达到预期目标</w:t>
      </w:r>
      <w:r>
        <w:rPr>
          <w:rFonts w:hint="eastAsia" w:ascii="仿宋_GB2312" w:hAnsi="方正楷体简体" w:eastAsia="仿宋_GB2312" w:cs="宋体"/>
          <w:color w:val="auto"/>
          <w:sz w:val="32"/>
          <w:szCs w:val="32"/>
          <w:highlight w:val="none"/>
          <w:lang w:eastAsia="zh-CN"/>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受益群众满意度，预期指标是大于等于</w:t>
      </w:r>
      <w:r>
        <w:rPr>
          <w:rFonts w:ascii="仿宋_GB2312" w:hAnsi="方正楷体简体" w:eastAsia="仿宋_GB2312" w:cs="宋体"/>
          <w:color w:val="auto"/>
          <w:sz w:val="32"/>
          <w:szCs w:val="32"/>
          <w:highlight w:val="none"/>
        </w:rPr>
        <w:t>95%</w:t>
      </w:r>
      <w:r>
        <w:rPr>
          <w:rFonts w:hint="eastAsia" w:ascii="仿宋_GB2312" w:hAnsi="方正楷体简体" w:eastAsia="仿宋_GB2312" w:cs="宋体"/>
          <w:color w:val="auto"/>
          <w:sz w:val="32"/>
          <w:szCs w:val="32"/>
          <w:highlight w:val="none"/>
        </w:rPr>
        <w:t>，实际完成值是</w:t>
      </w:r>
      <w:r>
        <w:rPr>
          <w:rFonts w:ascii="仿宋_GB2312" w:hAnsi="方正楷体简体" w:eastAsia="仿宋_GB2312" w:cs="宋体"/>
          <w:color w:val="auto"/>
          <w:sz w:val="32"/>
          <w:szCs w:val="32"/>
          <w:highlight w:val="none"/>
        </w:rPr>
        <w:t>95%</w:t>
      </w:r>
      <w:r>
        <w:rPr>
          <w:rFonts w:hint="eastAsia" w:ascii="仿宋_GB2312" w:hAnsi="方正楷体简体" w:eastAsia="仿宋_GB2312" w:cs="宋体"/>
          <w:color w:val="auto"/>
          <w:sz w:val="32"/>
          <w:szCs w:val="32"/>
          <w:highlight w:val="none"/>
        </w:rPr>
        <w:t>，指标完成率是</w:t>
      </w:r>
      <w:r>
        <w:rPr>
          <w:rFonts w:hint="eastAsia" w:ascii="仿宋_GB2312" w:hAnsi="方正楷体简体" w:eastAsia="仿宋_GB2312" w:cs="宋体"/>
          <w:color w:val="auto"/>
          <w:sz w:val="32"/>
          <w:szCs w:val="32"/>
          <w:highlight w:val="none"/>
          <w:lang w:val="en-US" w:eastAsia="zh-CN"/>
        </w:rPr>
        <w:t>100</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，达到预期目标。</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满意度指标共计</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个，完成</w:t>
      </w:r>
      <w:r>
        <w:rPr>
          <w:rFonts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rPr>
        <w:t>个，达到预期目标，服务对象满意度指标完成。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经济性评价：单位年度任务在预算资金额度内完成，并通过规范的招投标及严格的资金管理及项目管理及其他创新的管理措施实现了资金的节约。三公经费在预算范围内开支，开支范围较上年的变化，有节约。</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效率性评价：各项工作计划按预期计划按时完成，效益按预期时间产生。</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效益性评价：预期的经济效益、社会效益、可持续的影响是产生，相关人员的满意度。</w:t>
      </w:r>
    </w:p>
    <w:p>
      <w:pPr>
        <w:pStyle w:val="16"/>
        <w:spacing w:line="560" w:lineRule="exact"/>
        <w:ind w:firstLine="31680"/>
        <w:rPr>
          <w:rStyle w:val="10"/>
          <w:rFonts w:ascii="黑体" w:hAnsi="黑体" w:eastAsia="黑体"/>
          <w:b w:val="0"/>
          <w:color w:val="auto"/>
          <w:spacing w:val="-4"/>
          <w:sz w:val="32"/>
          <w:szCs w:val="32"/>
          <w:highlight w:val="none"/>
        </w:rPr>
      </w:pPr>
      <w:r>
        <w:rPr>
          <w:rStyle w:val="10"/>
          <w:rFonts w:hint="eastAsia" w:ascii="黑体" w:hAnsi="黑体" w:eastAsia="黑体"/>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w:t>
      </w: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w:t>
      </w:r>
      <w:r>
        <w:rPr>
          <w:rFonts w:hint="eastAsia" w:ascii="楷体" w:hAnsi="楷体" w:eastAsia="楷体" w:cs="仿宋"/>
          <w:color w:val="auto"/>
          <w:spacing w:val="-4"/>
          <w:sz w:val="32"/>
          <w:szCs w:val="32"/>
          <w:highlight w:val="none"/>
        </w:rPr>
        <w:t>预算执行存在偏差</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由于项目支出指标到</w:t>
      </w:r>
      <w:r>
        <w:rPr>
          <w:rFonts w:ascii="仿宋_GB2312" w:hAnsi="方正楷体简体" w:eastAsia="仿宋_GB2312" w:cs="宋体"/>
          <w:color w:val="auto"/>
          <w:sz w:val="32"/>
          <w:szCs w:val="32"/>
          <w:highlight w:val="none"/>
        </w:rPr>
        <w:t>12</w:t>
      </w:r>
      <w:r>
        <w:rPr>
          <w:rFonts w:hint="eastAsia" w:ascii="仿宋_GB2312" w:hAnsi="方正楷体简体" w:eastAsia="仿宋_GB2312" w:cs="宋体"/>
          <w:color w:val="auto"/>
          <w:sz w:val="32"/>
          <w:szCs w:val="32"/>
          <w:highlight w:val="none"/>
        </w:rPr>
        <w:t>月份才下达指示，在预算执行中造成个别预算调剂现象。对个别项目资金使用方面预算不够细致，出现实际支出数超出了预算申报数和出现项目资金结金数额多的情况。</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（二）目标设定科学性及评价存在难度</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对于目标设定需要分科室单位分解</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汇总后制定整体目标，如何科学整合全单位绩效目标比较困难；目标设定后如何科学设定考核评价标准，特别是对于不能量化的目标如何评价。</w:t>
      </w:r>
    </w:p>
    <w:p>
      <w:pPr>
        <w:numPr>
          <w:ilvl w:val="0"/>
          <w:numId w:val="1"/>
        </w:num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财务管理方面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会计核算还不够细致</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对于有些能够细分的工作</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未能详细分类核算</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（四）固定资产管理水平有待提高</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固定资产台账未及时与账面资产金额对账且末与实物进行清点及及时清理处置报废资产导致资产台账与账面资产金额存在差异</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固定资产管理继续加强中。</w:t>
      </w:r>
    </w:p>
    <w:p>
      <w:pPr>
        <w:pStyle w:val="16"/>
        <w:spacing w:line="560" w:lineRule="exact"/>
        <w:ind w:firstLine="31680"/>
        <w:rPr>
          <w:rStyle w:val="10"/>
          <w:rFonts w:ascii="黑体" w:hAnsi="黑体" w:eastAsia="黑体"/>
          <w:b w:val="0"/>
          <w:color w:val="auto"/>
          <w:spacing w:val="-4"/>
          <w:sz w:val="32"/>
          <w:szCs w:val="32"/>
          <w:highlight w:val="none"/>
        </w:rPr>
      </w:pPr>
      <w:r>
        <w:rPr>
          <w:rStyle w:val="10"/>
          <w:rFonts w:hint="eastAsia" w:ascii="黑体" w:hAnsi="黑体" w:eastAsia="黑体"/>
          <w:b w:val="0"/>
          <w:color w:val="auto"/>
          <w:spacing w:val="-4"/>
          <w:sz w:val="32"/>
          <w:szCs w:val="32"/>
          <w:highlight w:val="none"/>
        </w:rPr>
        <w:t>七、改进措施和建议</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（一）加强新行政单位会计制度和新预算法学习培训，规范账务处理，加强新《预算法》、《行政单位会计制度》</w:t>
      </w:r>
      <w:r>
        <w:rPr>
          <w:rFonts w:ascii="仿宋_GB2312" w:hAnsi="方正楷体简体" w:eastAsia="仿宋_GB2312" w:cs="宋体"/>
          <w:color w:val="auto"/>
          <w:sz w:val="32"/>
          <w:szCs w:val="32"/>
          <w:highlight w:val="none"/>
        </w:rPr>
        <w:t xml:space="preserve"> </w:t>
      </w:r>
      <w:r>
        <w:rPr>
          <w:rFonts w:hint="eastAsia" w:ascii="仿宋_GB2312" w:hAnsi="方正楷体简体" w:eastAsia="仿宋_GB2312" w:cs="宋体"/>
          <w:color w:val="auto"/>
          <w:sz w:val="32"/>
          <w:szCs w:val="32"/>
          <w:highlight w:val="none"/>
        </w:rPr>
        <w:t>、《会计法》、《行政单位财务规则》等学习培训</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规范单位预算收支核算。制定和完善基本支出、项目支出等各项支出标准</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严格按项目和进度执行预算</w:t>
      </w:r>
      <w:r>
        <w:rPr>
          <w:rFonts w:ascii="仿宋_GB2312" w:hAnsi="方正楷体简体" w:eastAsia="仿宋_GB2312" w:cs="宋体"/>
          <w:color w:val="auto"/>
          <w:sz w:val="32"/>
          <w:szCs w:val="32"/>
          <w:highlight w:val="none"/>
        </w:rPr>
        <w:t xml:space="preserve">, </w:t>
      </w:r>
      <w:r>
        <w:rPr>
          <w:rFonts w:hint="eastAsia" w:ascii="仿宋_GB2312" w:hAnsi="方正楷体简体" w:eastAsia="仿宋_GB2312" w:cs="宋体"/>
          <w:color w:val="auto"/>
          <w:sz w:val="32"/>
          <w:szCs w:val="32"/>
          <w:highlight w:val="none"/>
        </w:rPr>
        <w:t>增强预算的约束力和严肃性；落实预算执行分析</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及时了解预算执行差异</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合理调整、纠正预算执行偏差，切实提高单位预算收支管理水平。尽可能地做到决算与预算相衔接。</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（二）完善管理制度</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进一步加强资产管理</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严格按照《固定资产管理办法》的规定加强固定资产管理</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及时登记、更新台账，加强资产卡片管理</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对各类实物资产进行全面盘点</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确保账账、账实相符。</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（三）加强学习如何科学合理制定绩效目标及考核体系，充分发挥绩效工作效用。</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（四）财务上，会计核算要更加详细，为本单位各项工作的开展、总结、评估提供有效数据资料支撑</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为各项业务工作更好的开展提供帮助。</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（五）从源头上强化对专项资金预算管理</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实行专项资金预算管理</w:t>
      </w:r>
      <w:r>
        <w:rPr>
          <w:rFonts w:hint="eastAsia" w:ascii="仿宋_GB2312" w:hAnsi="方正楷体简体" w:eastAsia="仿宋_GB2312" w:cs="宋体"/>
          <w:color w:val="auto"/>
          <w:sz w:val="32"/>
          <w:szCs w:val="32"/>
          <w:highlight w:val="none"/>
          <w:lang w:val="en-US" w:eastAsia="zh-CN"/>
        </w:rPr>
        <w:t>,</w:t>
      </w:r>
      <w:r>
        <w:rPr>
          <w:rFonts w:hint="eastAsia" w:ascii="仿宋_GB2312" w:hAnsi="方正楷体简体" w:eastAsia="仿宋_GB2312" w:cs="宋体"/>
          <w:color w:val="auto"/>
          <w:sz w:val="32"/>
          <w:szCs w:val="32"/>
          <w:highlight w:val="none"/>
        </w:rPr>
        <w:t>结合单位实际</w:t>
      </w:r>
      <w:r>
        <w:rPr>
          <w:rFonts w:ascii="仿宋_GB2312" w:hAnsi="方正楷体简体" w:eastAsia="仿宋_GB2312" w:cs="宋体"/>
          <w:color w:val="auto"/>
          <w:sz w:val="32"/>
          <w:szCs w:val="32"/>
          <w:highlight w:val="none"/>
        </w:rPr>
        <w:t xml:space="preserve">, </w:t>
      </w:r>
      <w:r>
        <w:rPr>
          <w:rFonts w:hint="eastAsia" w:ascii="仿宋_GB2312" w:hAnsi="方正楷体简体" w:eastAsia="仿宋_GB2312" w:cs="宋体"/>
          <w:color w:val="auto"/>
          <w:sz w:val="32"/>
          <w:szCs w:val="32"/>
          <w:highlight w:val="none"/>
        </w:rPr>
        <w:t>按轻重缓急统筹安排编制预算</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提高预算编制科学性和合理性</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优化资金结构。</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（六）按时间进度分解资金使用计划</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专项资金的使用，要事前做计划，事中进行控制，事后总结提高。合理安排资金使用</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充分体现资金投向的目标和效益。</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（七）进一步提高绩效管理水平</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由于目前的预算管理在编制和实施中还存在编制不细、预算调整较多、追加预算比重较大等现象</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因此项目预算执行的准确性还有待加强</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同时分析手段和技术水平上还有待完善。在今后的工作中</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我们将加强与财政单位的紧密配合</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开展好整体支出及项目资金绩效管理工作</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运用好绩</w:t>
      </w:r>
      <w:r>
        <w:rPr>
          <w:rFonts w:ascii="仿宋_GB2312" w:hAnsi="方正楷体简体" w:eastAsia="仿宋_GB2312" w:cs="宋体"/>
          <w:color w:val="auto"/>
          <w:sz w:val="32"/>
          <w:szCs w:val="32"/>
          <w:highlight w:val="none"/>
        </w:rPr>
        <w:t xml:space="preserve"> </w:t>
      </w:r>
      <w:r>
        <w:rPr>
          <w:rFonts w:hint="eastAsia" w:ascii="仿宋_GB2312" w:hAnsi="方正楷体简体" w:eastAsia="仿宋_GB2312" w:cs="宋体"/>
          <w:color w:val="auto"/>
          <w:sz w:val="32"/>
          <w:szCs w:val="32"/>
          <w:highlight w:val="none"/>
        </w:rPr>
        <w:t>效评价的结果</w:t>
      </w:r>
      <w:r>
        <w:rPr>
          <w:rFonts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不断提升预算管理水平。</w:t>
      </w:r>
    </w:p>
    <w:p>
      <w:pPr>
        <w:pStyle w:val="6"/>
        <w:widowControl/>
        <w:spacing w:before="0" w:beforeAutospacing="0" w:after="0" w:afterAutospacing="0" w:line="560" w:lineRule="exact"/>
        <w:ind w:firstLine="640" w:firstLineChars="200"/>
        <w:jc w:val="both"/>
        <w:rPr>
          <w:rFonts w:ascii="仿宋_GB2312" w:hAnsi="方正楷体简体" w:eastAsia="仿宋_GB2312" w:cs="宋体"/>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YyNTkwNWNkMTgyZTBiMDM2MTcxYTg3YjgwNzNiYzkifQ=="/>
  </w:docVars>
  <w:rsids>
    <w:rsidRoot w:val="077D059C"/>
    <w:rsid w:val="00032827"/>
    <w:rsid w:val="0003628E"/>
    <w:rsid w:val="00064105"/>
    <w:rsid w:val="00073386"/>
    <w:rsid w:val="000762F0"/>
    <w:rsid w:val="000930E8"/>
    <w:rsid w:val="00094B04"/>
    <w:rsid w:val="000F213A"/>
    <w:rsid w:val="00114469"/>
    <w:rsid w:val="00161FE4"/>
    <w:rsid w:val="001D2D87"/>
    <w:rsid w:val="001F16BE"/>
    <w:rsid w:val="002355C1"/>
    <w:rsid w:val="00247610"/>
    <w:rsid w:val="00285A2B"/>
    <w:rsid w:val="002A6E59"/>
    <w:rsid w:val="002B33B0"/>
    <w:rsid w:val="002C64D8"/>
    <w:rsid w:val="002F1909"/>
    <w:rsid w:val="0031329A"/>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7C6A0E"/>
    <w:rsid w:val="007F2C46"/>
    <w:rsid w:val="00816B8E"/>
    <w:rsid w:val="00853B21"/>
    <w:rsid w:val="00863FC9"/>
    <w:rsid w:val="00883847"/>
    <w:rsid w:val="008B1251"/>
    <w:rsid w:val="008C3FD6"/>
    <w:rsid w:val="008F7F32"/>
    <w:rsid w:val="0093103B"/>
    <w:rsid w:val="00944DB3"/>
    <w:rsid w:val="00954FD4"/>
    <w:rsid w:val="00967BDC"/>
    <w:rsid w:val="0097474F"/>
    <w:rsid w:val="00985805"/>
    <w:rsid w:val="00987C00"/>
    <w:rsid w:val="00993D14"/>
    <w:rsid w:val="009B7014"/>
    <w:rsid w:val="009C796F"/>
    <w:rsid w:val="009F3852"/>
    <w:rsid w:val="00A126A9"/>
    <w:rsid w:val="00A31366"/>
    <w:rsid w:val="00A46BEC"/>
    <w:rsid w:val="00A5128A"/>
    <w:rsid w:val="00A63A7B"/>
    <w:rsid w:val="00A662E5"/>
    <w:rsid w:val="00AB4C2E"/>
    <w:rsid w:val="00AD5912"/>
    <w:rsid w:val="00B022E4"/>
    <w:rsid w:val="00B039E5"/>
    <w:rsid w:val="00B25AE7"/>
    <w:rsid w:val="00B43522"/>
    <w:rsid w:val="00B932F9"/>
    <w:rsid w:val="00BD3E7B"/>
    <w:rsid w:val="00BE0842"/>
    <w:rsid w:val="00BE39EF"/>
    <w:rsid w:val="00BE6315"/>
    <w:rsid w:val="00C23F5A"/>
    <w:rsid w:val="00C268B3"/>
    <w:rsid w:val="00C347AA"/>
    <w:rsid w:val="00C4558D"/>
    <w:rsid w:val="00C51572"/>
    <w:rsid w:val="00C71999"/>
    <w:rsid w:val="00C740EA"/>
    <w:rsid w:val="00CA54F5"/>
    <w:rsid w:val="00CD5CE7"/>
    <w:rsid w:val="00CD5DAB"/>
    <w:rsid w:val="00CF1023"/>
    <w:rsid w:val="00CF196B"/>
    <w:rsid w:val="00CF34F0"/>
    <w:rsid w:val="00DA1586"/>
    <w:rsid w:val="00DB3CC2"/>
    <w:rsid w:val="00DC0678"/>
    <w:rsid w:val="00DD22AD"/>
    <w:rsid w:val="00DD318F"/>
    <w:rsid w:val="00E11E58"/>
    <w:rsid w:val="00E13362"/>
    <w:rsid w:val="00E57229"/>
    <w:rsid w:val="00EB0A67"/>
    <w:rsid w:val="00EE085E"/>
    <w:rsid w:val="00EE5C91"/>
    <w:rsid w:val="00EF3361"/>
    <w:rsid w:val="00F15416"/>
    <w:rsid w:val="00F15474"/>
    <w:rsid w:val="00F24CC9"/>
    <w:rsid w:val="00F40BA7"/>
    <w:rsid w:val="00F52551"/>
    <w:rsid w:val="00F859B3"/>
    <w:rsid w:val="00FA3BED"/>
    <w:rsid w:val="00FA5960"/>
    <w:rsid w:val="00FB5140"/>
    <w:rsid w:val="01A814A3"/>
    <w:rsid w:val="036960FB"/>
    <w:rsid w:val="04283829"/>
    <w:rsid w:val="077D059C"/>
    <w:rsid w:val="085A7547"/>
    <w:rsid w:val="08945234"/>
    <w:rsid w:val="097807C5"/>
    <w:rsid w:val="0A531B8B"/>
    <w:rsid w:val="0D2D0AF5"/>
    <w:rsid w:val="0D744D3D"/>
    <w:rsid w:val="0F484CBE"/>
    <w:rsid w:val="0FC4372B"/>
    <w:rsid w:val="10553B25"/>
    <w:rsid w:val="11970B0A"/>
    <w:rsid w:val="11BF132C"/>
    <w:rsid w:val="141C6243"/>
    <w:rsid w:val="14893681"/>
    <w:rsid w:val="1674565D"/>
    <w:rsid w:val="17236579"/>
    <w:rsid w:val="18F21F0E"/>
    <w:rsid w:val="19385A9A"/>
    <w:rsid w:val="19625060"/>
    <w:rsid w:val="1A4D12E2"/>
    <w:rsid w:val="1A5315E6"/>
    <w:rsid w:val="1A7D2E72"/>
    <w:rsid w:val="1ACC0302"/>
    <w:rsid w:val="1B587B9C"/>
    <w:rsid w:val="1B8F0F7F"/>
    <w:rsid w:val="1BA078C8"/>
    <w:rsid w:val="1CCC1664"/>
    <w:rsid w:val="1CEF2574"/>
    <w:rsid w:val="1CF54A73"/>
    <w:rsid w:val="1D223606"/>
    <w:rsid w:val="1D3D4322"/>
    <w:rsid w:val="1DF9090F"/>
    <w:rsid w:val="1F5A46D7"/>
    <w:rsid w:val="20AF6719"/>
    <w:rsid w:val="227375DB"/>
    <w:rsid w:val="23155ACA"/>
    <w:rsid w:val="235546F4"/>
    <w:rsid w:val="23C22713"/>
    <w:rsid w:val="258B4F41"/>
    <w:rsid w:val="261B12DB"/>
    <w:rsid w:val="26A35E89"/>
    <w:rsid w:val="26C64AD9"/>
    <w:rsid w:val="26C6793E"/>
    <w:rsid w:val="275A2E84"/>
    <w:rsid w:val="27A87027"/>
    <w:rsid w:val="28BE38F2"/>
    <w:rsid w:val="2926123D"/>
    <w:rsid w:val="29F9207F"/>
    <w:rsid w:val="2B0E6EAC"/>
    <w:rsid w:val="2B422A41"/>
    <w:rsid w:val="2D472D60"/>
    <w:rsid w:val="2D7F141E"/>
    <w:rsid w:val="2D9020DC"/>
    <w:rsid w:val="2E185439"/>
    <w:rsid w:val="2F187AB3"/>
    <w:rsid w:val="2F2E1EC8"/>
    <w:rsid w:val="30E07F90"/>
    <w:rsid w:val="30EB6B8E"/>
    <w:rsid w:val="328C4C5C"/>
    <w:rsid w:val="3455214F"/>
    <w:rsid w:val="361260C5"/>
    <w:rsid w:val="36554E09"/>
    <w:rsid w:val="3736714F"/>
    <w:rsid w:val="37D53091"/>
    <w:rsid w:val="38AD0660"/>
    <w:rsid w:val="398961D3"/>
    <w:rsid w:val="39A30B73"/>
    <w:rsid w:val="3BD56D84"/>
    <w:rsid w:val="3CCA3DC7"/>
    <w:rsid w:val="3D3C321E"/>
    <w:rsid w:val="3DC80F68"/>
    <w:rsid w:val="3F0A4A0C"/>
    <w:rsid w:val="41173518"/>
    <w:rsid w:val="42071285"/>
    <w:rsid w:val="42A12867"/>
    <w:rsid w:val="4364398D"/>
    <w:rsid w:val="44AC4D44"/>
    <w:rsid w:val="460E03E3"/>
    <w:rsid w:val="4851644F"/>
    <w:rsid w:val="49BC68D7"/>
    <w:rsid w:val="4B4679AD"/>
    <w:rsid w:val="4BDA1005"/>
    <w:rsid w:val="4D457C38"/>
    <w:rsid w:val="4E3D008E"/>
    <w:rsid w:val="4ECD6109"/>
    <w:rsid w:val="517E1B32"/>
    <w:rsid w:val="529B78C2"/>
    <w:rsid w:val="52CF2B4B"/>
    <w:rsid w:val="530C7036"/>
    <w:rsid w:val="530D66E0"/>
    <w:rsid w:val="533E084E"/>
    <w:rsid w:val="537A70EA"/>
    <w:rsid w:val="53A60C74"/>
    <w:rsid w:val="555C287A"/>
    <w:rsid w:val="55D03A95"/>
    <w:rsid w:val="56103A62"/>
    <w:rsid w:val="562672F0"/>
    <w:rsid w:val="5642448A"/>
    <w:rsid w:val="59792878"/>
    <w:rsid w:val="599F2F96"/>
    <w:rsid w:val="59AA34BE"/>
    <w:rsid w:val="5B0559BF"/>
    <w:rsid w:val="5B944C19"/>
    <w:rsid w:val="5C080390"/>
    <w:rsid w:val="5CB23C21"/>
    <w:rsid w:val="5D6176A7"/>
    <w:rsid w:val="5DA10F2F"/>
    <w:rsid w:val="5E823FFC"/>
    <w:rsid w:val="60E323AF"/>
    <w:rsid w:val="61426705"/>
    <w:rsid w:val="61493568"/>
    <w:rsid w:val="616E0F8F"/>
    <w:rsid w:val="631C56E0"/>
    <w:rsid w:val="63E849F6"/>
    <w:rsid w:val="63EF72C3"/>
    <w:rsid w:val="6503006B"/>
    <w:rsid w:val="656001A2"/>
    <w:rsid w:val="65C2152E"/>
    <w:rsid w:val="65D34107"/>
    <w:rsid w:val="66450511"/>
    <w:rsid w:val="66540FAC"/>
    <w:rsid w:val="67BE4F4B"/>
    <w:rsid w:val="68C207B5"/>
    <w:rsid w:val="695B2F20"/>
    <w:rsid w:val="6B015B0E"/>
    <w:rsid w:val="6CD01102"/>
    <w:rsid w:val="6EA51C51"/>
    <w:rsid w:val="6F1613E1"/>
    <w:rsid w:val="6F493F7B"/>
    <w:rsid w:val="6F6D41C3"/>
    <w:rsid w:val="6FE15325"/>
    <w:rsid w:val="714F778E"/>
    <w:rsid w:val="71FF2833"/>
    <w:rsid w:val="72421A28"/>
    <w:rsid w:val="7632053E"/>
    <w:rsid w:val="76A84290"/>
    <w:rsid w:val="76E8689E"/>
    <w:rsid w:val="77F67D90"/>
    <w:rsid w:val="7810477E"/>
    <w:rsid w:val="78B563CA"/>
    <w:rsid w:val="78BD01F1"/>
    <w:rsid w:val="79644113"/>
    <w:rsid w:val="7BDE34C6"/>
    <w:rsid w:val="7BEB74A5"/>
    <w:rsid w:val="7CAD338B"/>
    <w:rsid w:val="7D086F90"/>
    <w:rsid w:val="7F706E7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qFormat="1" w:unhideWhenUsed="0" w:uiPriority="9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12"/>
    <w:qFormat/>
    <w:uiPriority w:val="99"/>
    <w:pPr>
      <w:keepNext/>
      <w:keepLines/>
      <w:spacing w:before="260" w:after="260" w:line="416" w:lineRule="auto"/>
      <w:outlineLvl w:val="2"/>
    </w:pPr>
    <w:rPr>
      <w:b/>
      <w:bCs/>
      <w:sz w:val="32"/>
      <w:szCs w:val="32"/>
    </w:rPr>
  </w:style>
  <w:style w:type="character" w:default="1" w:styleId="9">
    <w:name w:val="Default Paragraph Font"/>
    <w:semiHidden/>
    <w:qFormat/>
    <w:uiPriority w:val="99"/>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link w:val="13"/>
    <w:qFormat/>
    <w:uiPriority w:val="99"/>
    <w:pPr>
      <w:jc w:val="left"/>
    </w:p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sz w:val="24"/>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styleId="11">
    <w:name w:val="annotation reference"/>
    <w:basedOn w:val="9"/>
    <w:qFormat/>
    <w:uiPriority w:val="99"/>
    <w:rPr>
      <w:rFonts w:cs="Times New Roman"/>
      <w:sz w:val="21"/>
      <w:szCs w:val="21"/>
    </w:rPr>
  </w:style>
  <w:style w:type="character" w:customStyle="1" w:styleId="12">
    <w:name w:val="Heading 3 Char"/>
    <w:basedOn w:val="9"/>
    <w:link w:val="2"/>
    <w:semiHidden/>
    <w:qFormat/>
    <w:uiPriority w:val="9"/>
    <w:rPr>
      <w:rFonts w:ascii="Calibri" w:hAnsi="Calibri"/>
      <w:b/>
      <w:bCs/>
      <w:sz w:val="32"/>
      <w:szCs w:val="32"/>
    </w:rPr>
  </w:style>
  <w:style w:type="character" w:customStyle="1" w:styleId="13">
    <w:name w:val="Comment Text Char"/>
    <w:basedOn w:val="9"/>
    <w:link w:val="3"/>
    <w:semiHidden/>
    <w:qFormat/>
    <w:uiPriority w:val="99"/>
    <w:rPr>
      <w:rFonts w:ascii="Calibri" w:hAnsi="Calibri"/>
      <w:szCs w:val="24"/>
    </w:rPr>
  </w:style>
  <w:style w:type="character" w:customStyle="1" w:styleId="14">
    <w:name w:val="Footer Char"/>
    <w:basedOn w:val="9"/>
    <w:link w:val="4"/>
    <w:qFormat/>
    <w:locked/>
    <w:uiPriority w:val="99"/>
    <w:rPr>
      <w:rFonts w:ascii="Calibri" w:hAnsi="Calibri" w:eastAsia="宋体" w:cs="Times New Roman"/>
      <w:kern w:val="2"/>
      <w:sz w:val="18"/>
      <w:szCs w:val="18"/>
    </w:rPr>
  </w:style>
  <w:style w:type="character" w:customStyle="1" w:styleId="15">
    <w:name w:val="Header Char"/>
    <w:basedOn w:val="9"/>
    <w:link w:val="5"/>
    <w:qFormat/>
    <w:locked/>
    <w:uiPriority w:val="99"/>
    <w:rPr>
      <w:rFonts w:ascii="Calibri" w:hAnsi="Calibri" w:eastAsia="宋体" w:cs="Times New Roman"/>
      <w:kern w:val="2"/>
      <w:sz w:val="18"/>
      <w:szCs w:val="18"/>
    </w:rPr>
  </w:style>
  <w:style w:type="paragraph" w:customStyle="1" w:styleId="16">
    <w:name w:val="List Paragraph1"/>
    <w:basedOn w:val="1"/>
    <w:qFormat/>
    <w:uiPriority w:val="99"/>
    <w:pPr>
      <w:ind w:firstLine="420" w:firstLineChars="200"/>
    </w:pPr>
  </w:style>
  <w:style w:type="paragraph" w:customStyle="1" w:styleId="17">
    <w:name w:val="正文A"/>
    <w:basedOn w:val="1"/>
    <w:qFormat/>
    <w:uiPriority w:val="99"/>
    <w:pPr>
      <w:widowControl/>
      <w:spacing w:line="580" w:lineRule="exact"/>
      <w:ind w:firstLine="640"/>
      <w:jc w:val="left"/>
    </w:pPr>
    <w:rPr>
      <w:rFonts w:ascii="仿宋_GB2312" w:hAnsi="仿宋_GB2312" w:eastAsia="仿宋_GB2312" w:cs="宋体"/>
      <w:sz w:val="32"/>
      <w:szCs w:val="32"/>
    </w:rPr>
  </w:style>
  <w:style w:type="paragraph" w:customStyle="1" w:styleId="18">
    <w:name w:val="闻政-正文段落文字"/>
    <w:basedOn w:val="1"/>
    <w:qFormat/>
    <w:uiPriority w:val="99"/>
    <w:pPr>
      <w:spacing w:line="500" w:lineRule="exact"/>
      <w:ind w:firstLine="200"/>
    </w:pPr>
    <w:rPr>
      <w:rFonts w:ascii="Times New Roman" w:hAnsi="Times New Roman"/>
      <w:kern w:val="0"/>
      <w:szCs w:val="28"/>
    </w:rPr>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17</Pages>
  <Words>7234</Words>
  <Characters>7603</Characters>
  <Lines>0</Lines>
  <Paragraphs>0</Paragraphs>
  <TotalTime>4</TotalTime>
  <ScaleCrop>false</ScaleCrop>
  <LinksUpToDate>false</LinksUpToDate>
  <CharactersWithSpaces>7617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2022-08-31T08:32:03Z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