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和田市浙江中学</w:t>
      </w:r>
      <w:r>
        <w:rPr>
          <w:rFonts w:hint="eastAsia" w:ascii="方正小标宋_GBK" w:hAnsi="华文中宋" w:eastAsia="方正小标宋_GBK" w:cs="宋体"/>
          <w:b/>
          <w:color w:val="auto"/>
          <w:kern w:val="0"/>
          <w:sz w:val="44"/>
          <w:szCs w:val="44"/>
          <w:highlight w:val="none"/>
        </w:rPr>
        <w:t>单位整体支出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val="en-US" w:eastAsia="zh-CN"/>
        </w:rPr>
        <w:t>和田市浙江中学</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填报时间：</w:t>
      </w:r>
      <w:r>
        <w:rPr>
          <w:rFonts w:hint="eastAsia" w:ascii="Times New Roman" w:hAnsi="宋体" w:eastAsia="仿宋_GB2312" w:cs="宋体"/>
          <w:color w:val="auto"/>
          <w:kern w:val="0"/>
          <w:sz w:val="36"/>
          <w:szCs w:val="36"/>
          <w:highlight w:val="none"/>
          <w:lang w:eastAsia="zh-CN"/>
        </w:rPr>
        <w:t>2022</w:t>
      </w:r>
      <w:r>
        <w:rPr>
          <w:rFonts w:hint="eastAsia" w:ascii="Times New Roman" w:hAnsi="宋体" w:eastAsia="仿宋_GB2312" w:cs="宋体"/>
          <w:color w:val="auto"/>
          <w:kern w:val="0"/>
          <w:sz w:val="36"/>
          <w:szCs w:val="36"/>
          <w:highlight w:val="none"/>
        </w:rPr>
        <w:t xml:space="preserve">年 </w:t>
      </w:r>
      <w:r>
        <w:rPr>
          <w:rFonts w:hint="eastAsia" w:ascii="Times New Roman" w:hAnsi="宋体" w:eastAsia="仿宋_GB2312" w:cs="宋体"/>
          <w:color w:val="auto"/>
          <w:kern w:val="0"/>
          <w:sz w:val="36"/>
          <w:szCs w:val="36"/>
          <w:highlight w:val="none"/>
          <w:lang w:eastAsia="zh-CN"/>
        </w:rPr>
        <w:t>1</w:t>
      </w:r>
      <w:r>
        <w:rPr>
          <w:rFonts w:hint="eastAsia" w:ascii="Times New Roman" w:hAnsi="宋体" w:eastAsia="仿宋_GB2312" w:cs="宋体"/>
          <w:color w:val="auto"/>
          <w:kern w:val="0"/>
          <w:sz w:val="36"/>
          <w:szCs w:val="36"/>
          <w:highlight w:val="none"/>
        </w:rPr>
        <w:t xml:space="preserve"> 月  </w:t>
      </w:r>
      <w:r>
        <w:rPr>
          <w:rFonts w:hint="eastAsia" w:ascii="Times New Roman" w:hAnsi="宋体" w:eastAsia="仿宋_GB2312" w:cs="宋体"/>
          <w:color w:val="auto"/>
          <w:kern w:val="0"/>
          <w:sz w:val="36"/>
          <w:szCs w:val="36"/>
          <w:highlight w:val="none"/>
          <w:lang w:eastAsia="zh-CN"/>
        </w:rPr>
        <w:t>11</w:t>
      </w:r>
      <w:r>
        <w:rPr>
          <w:rFonts w:hint="eastAsia" w:ascii="Times New Roman" w:hAnsi="宋体" w:eastAsia="仿宋_GB2312" w:cs="宋体"/>
          <w:color w:val="auto"/>
          <w:kern w:val="0"/>
          <w:sz w:val="36"/>
          <w:szCs w:val="36"/>
          <w:highlight w:val="none"/>
        </w:rPr>
        <w:t xml:space="preserve"> 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widowControl/>
        <w:spacing w:line="560" w:lineRule="exact"/>
        <w:ind w:firstLine="640" w:firstLineChars="200"/>
        <w:jc w:val="left"/>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我校是普及全日制九年义务教育阶段初中学历教育教学工作，是公益一类全额事业单位，其职责是全面实施党和国家教育方针、政策、法规， 培养学生的创新精神与实践能力，全面培养成德、智、体、美、劳全面发展的社会主义事业的建设者和接班人。全力推进素质教育实施，确保普及九年义务教育成果；管理学校基础教育工作，管理学校教育经费，执行财务制度。</w:t>
      </w:r>
    </w:p>
    <w:p>
      <w:pPr>
        <w:numPr>
          <w:ilvl w:val="0"/>
          <w:numId w:val="1"/>
        </w:numPr>
        <w:spacing w:line="560" w:lineRule="exact"/>
        <w:ind w:firstLine="48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p>
    <w:p>
      <w:pPr>
        <w:widowControl/>
        <w:spacing w:line="560" w:lineRule="exact"/>
        <w:ind w:firstLine="640" w:firstLineChars="200"/>
        <w:jc w:val="both"/>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和田市浙江中学</w:t>
      </w:r>
      <w:r>
        <w:rPr>
          <w:rFonts w:hint="eastAsia" w:ascii="仿宋_GB2312" w:hAnsi="黑体" w:eastAsia="仿宋_GB2312" w:cs="宋体"/>
          <w:bCs/>
          <w:color w:val="auto"/>
          <w:kern w:val="0"/>
          <w:sz w:val="32"/>
          <w:szCs w:val="32"/>
          <w:highlight w:val="none"/>
        </w:rPr>
        <w:t>本级无下属单位，下设</w:t>
      </w:r>
      <w:r>
        <w:rPr>
          <w:rFonts w:hint="eastAsia" w:ascii="仿宋_GB2312" w:hAnsi="黑体" w:eastAsia="仿宋_GB2312" w:cs="宋体"/>
          <w:bCs/>
          <w:color w:val="auto"/>
          <w:kern w:val="0"/>
          <w:sz w:val="32"/>
          <w:szCs w:val="32"/>
          <w:highlight w:val="none"/>
          <w:lang w:val="en-US" w:eastAsia="zh-CN"/>
        </w:rPr>
        <w:t>9</w:t>
      </w:r>
      <w:r>
        <w:rPr>
          <w:rFonts w:hint="eastAsia" w:ascii="仿宋_GB2312" w:hAnsi="黑体" w:eastAsia="仿宋_GB2312" w:cs="宋体"/>
          <w:bCs/>
          <w:color w:val="auto"/>
          <w:kern w:val="0"/>
          <w:sz w:val="32"/>
          <w:szCs w:val="32"/>
          <w:highlight w:val="none"/>
        </w:rPr>
        <w:t>个处室，分别是：校长办公室、书记办公室、副校长办公室、校办公室、党建办公室、德育处、教研室、教务处、后勤办公室机构。</w:t>
      </w:r>
    </w:p>
    <w:p>
      <w:pPr>
        <w:widowControl/>
        <w:spacing w:line="560" w:lineRule="exact"/>
        <w:jc w:val="both"/>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和田市浙江中学</w:t>
      </w:r>
      <w:r>
        <w:rPr>
          <w:rFonts w:hint="eastAsia" w:ascii="仿宋_GB2312" w:hAnsi="宋体" w:eastAsia="仿宋_GB2312" w:cs="宋体"/>
          <w:color w:val="auto"/>
          <w:kern w:val="0"/>
          <w:sz w:val="32"/>
          <w:szCs w:val="32"/>
          <w:highlight w:val="none"/>
        </w:rPr>
        <w:t>单位编制</w:t>
      </w:r>
      <w:r>
        <w:rPr>
          <w:rFonts w:hint="eastAsia" w:ascii="仿宋_GB2312" w:hAnsi="宋体" w:eastAsia="仿宋_GB2312" w:cs="宋体"/>
          <w:color w:val="auto"/>
          <w:kern w:val="0"/>
          <w:sz w:val="32"/>
          <w:szCs w:val="32"/>
          <w:highlight w:val="none"/>
          <w:lang w:val="en-US" w:eastAsia="zh-CN"/>
        </w:rPr>
        <w:t>人</w:t>
      </w:r>
      <w:r>
        <w:rPr>
          <w:rFonts w:hint="eastAsia" w:ascii="仿宋_GB2312" w:hAnsi="宋体" w:eastAsia="仿宋_GB2312" w:cs="宋体"/>
          <w:color w:val="auto"/>
          <w:kern w:val="0"/>
          <w:sz w:val="32"/>
          <w:szCs w:val="32"/>
          <w:highlight w:val="none"/>
        </w:rPr>
        <w:t>数</w:t>
      </w:r>
      <w:r>
        <w:rPr>
          <w:rFonts w:hint="eastAsia" w:ascii="仿宋_GB2312" w:hAnsi="宋体" w:eastAsia="仿宋_GB2312" w:cs="宋体"/>
          <w:color w:val="auto"/>
          <w:kern w:val="0"/>
          <w:sz w:val="32"/>
          <w:szCs w:val="32"/>
          <w:highlight w:val="none"/>
          <w:lang w:val="en-US" w:eastAsia="zh-CN"/>
        </w:rPr>
        <w:t>***人</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离</w:t>
      </w:r>
      <w:r>
        <w:rPr>
          <w:rFonts w:hint="eastAsia" w:ascii="仿宋_GB2312" w:hAnsi="宋体" w:eastAsia="仿宋_GB2312" w:cs="宋体"/>
          <w:color w:val="auto"/>
          <w:kern w:val="0"/>
          <w:sz w:val="32"/>
          <w:szCs w:val="32"/>
          <w:highlight w:val="none"/>
        </w:rPr>
        <w:t>退休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人。</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 xml:space="preserve">重点工作计划 </w:t>
      </w:r>
    </w:p>
    <w:p>
      <w:pPr>
        <w:spacing w:line="560" w:lineRule="exact"/>
        <w:ind w:firstLine="640" w:firstLineChars="200"/>
        <w:rPr>
          <w:rFonts w:hint="eastAsia" w:ascii="仿宋" w:hAnsi="仿宋" w:eastAsia="仿宋_GB2312" w:cs="Times New Roman"/>
          <w:color w:val="auto"/>
          <w:sz w:val="32"/>
          <w:szCs w:val="32"/>
          <w:highlight w:val="none"/>
          <w:lang w:val="en-US" w:eastAsia="zh-CN"/>
        </w:rPr>
      </w:pPr>
      <w:r>
        <w:rPr>
          <w:rFonts w:hint="eastAsia" w:ascii="仿宋_GB2312" w:hAnsi="仿宋" w:eastAsia="仿宋_GB2312"/>
          <w:bCs/>
          <w:color w:val="auto"/>
          <w:sz w:val="32"/>
          <w:szCs w:val="32"/>
          <w:highlight w:val="none"/>
          <w:lang w:eastAsia="zh-CN"/>
        </w:rPr>
        <w:t>保安人员工资补助</w:t>
      </w:r>
      <w:r>
        <w:rPr>
          <w:rFonts w:hint="eastAsia" w:ascii="仿宋_GB2312" w:hAnsi="仿宋" w:eastAsia="仿宋_GB2312"/>
          <w:bCs/>
          <w:color w:val="auto"/>
          <w:sz w:val="32"/>
          <w:szCs w:val="32"/>
          <w:highlight w:val="none"/>
        </w:rPr>
        <w:t>：</w:t>
      </w:r>
      <w:r>
        <w:rPr>
          <w:rFonts w:hint="eastAsia" w:ascii="仿宋_GB2312" w:hAnsi="仿宋" w:eastAsia="仿宋_GB2312"/>
          <w:bCs/>
          <w:color w:val="auto"/>
          <w:sz w:val="32"/>
          <w:szCs w:val="32"/>
          <w:highlight w:val="none"/>
          <w:lang w:eastAsia="zh-CN"/>
        </w:rPr>
        <w:t>发放补助保安人数</w:t>
      </w:r>
      <w:r>
        <w:rPr>
          <w:rFonts w:hint="eastAsia" w:ascii="仿宋_GB2312" w:hAnsi="仿宋" w:eastAsia="仿宋_GB2312"/>
          <w:bCs/>
          <w:color w:val="auto"/>
          <w:sz w:val="32"/>
          <w:szCs w:val="32"/>
          <w:highlight w:val="none"/>
          <w:lang w:val="en-US" w:eastAsia="zh-CN"/>
        </w:rPr>
        <w:t>**</w:t>
      </w:r>
      <w:r>
        <w:rPr>
          <w:rFonts w:hint="eastAsia" w:ascii="仿宋_GB2312" w:hAnsi="仿宋" w:eastAsia="仿宋_GB2312"/>
          <w:bCs/>
          <w:color w:val="auto"/>
          <w:sz w:val="32"/>
          <w:szCs w:val="32"/>
          <w:highlight w:val="none"/>
          <w:lang w:eastAsia="zh-CN"/>
        </w:rPr>
        <w:t>人。通过项目的实施，保证校园稳定和师生生命财产安全，改善保安生活条件。</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bookmarkStart w:id="0" w:name="_GoBack"/>
      <w:bookmarkEnd w:id="0"/>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本</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的项目立项符合相关法规政策及</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职责，依据充分；项目按照规定的程序申请设立；审批文件、材料符合相关要求；项目前期已经经过必要的绩效评估、集体决策。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w:t>
      </w: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val="en-US" w:eastAsia="zh-CN"/>
        </w:rPr>
        <w:t>和田市浙江中学</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2045.27</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2045.27</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1568.35</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476.92</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30.4</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学生人数和新增教师增加</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2039.8</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2039.8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1288.63</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751.17</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1个</w:t>
      </w:r>
      <w:r>
        <w:rPr>
          <w:rFonts w:hint="eastAsia" w:ascii="仿宋_GB2312" w:hAnsi="方正楷体简体" w:eastAsia="仿宋_GB2312" w:cs="宋体"/>
          <w:color w:val="auto"/>
          <w:sz w:val="32"/>
          <w:szCs w:val="32"/>
          <w:highlight w:val="none"/>
        </w:rPr>
        <w:t>，全年预算数</w:t>
      </w:r>
      <w:r>
        <w:rPr>
          <w:rFonts w:hint="eastAsia" w:ascii="仿宋_GB2312" w:hAnsi="方正楷体简体" w:eastAsia="仿宋_GB2312" w:cs="宋体"/>
          <w:color w:val="auto"/>
          <w:sz w:val="32"/>
          <w:szCs w:val="32"/>
          <w:highlight w:val="none"/>
          <w:lang w:val="en-US" w:eastAsia="zh-CN"/>
        </w:rPr>
        <w:t>5.47万元</w:t>
      </w:r>
      <w:r>
        <w:rPr>
          <w:rFonts w:hint="eastAsia" w:ascii="仿宋_GB2312" w:hAnsi="方正楷体简体" w:eastAsia="仿宋_GB2312" w:cs="宋体"/>
          <w:color w:val="auto"/>
          <w:sz w:val="32"/>
          <w:szCs w:val="32"/>
          <w:highlight w:val="none"/>
        </w:rPr>
        <w:t>，资金执行数</w:t>
      </w:r>
      <w:r>
        <w:rPr>
          <w:rFonts w:hint="eastAsia" w:ascii="仿宋_GB2312" w:hAnsi="方正楷体简体" w:eastAsia="仿宋_GB2312" w:cs="宋体"/>
          <w:color w:val="auto"/>
          <w:sz w:val="32"/>
          <w:szCs w:val="32"/>
          <w:highlight w:val="none"/>
          <w:lang w:val="en-US" w:eastAsia="zh-CN"/>
        </w:rPr>
        <w:t>5.47万元</w:t>
      </w:r>
      <w:r>
        <w:rPr>
          <w:rFonts w:hint="eastAsia" w:ascii="仿宋_GB2312" w:hAnsi="方正楷体简体" w:eastAsia="仿宋_GB2312" w:cs="宋体"/>
          <w:color w:val="auto"/>
          <w:sz w:val="32"/>
          <w:szCs w:val="32"/>
          <w:highlight w:val="none"/>
        </w:rPr>
        <w:t>，执行率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手续费、水费、电费、邮电费、取暖费、物业管理费、差旅费、维修（护）费、会议费、培训费、专用材料费、劳务费、工会经费、福利费、税金及附加费用、其他商品和服务支出、办公设备购置、专用设备购置等。</w:t>
      </w:r>
    </w:p>
    <w:p>
      <w:pPr>
        <w:pStyle w:val="15"/>
        <w:spacing w:line="560" w:lineRule="exact"/>
        <w:ind w:firstLineChars="200"/>
        <w:jc w:val="both"/>
        <w:rPr>
          <w:rFonts w:hAnsi="方正楷体简体"/>
          <w:b/>
          <w:color w:val="auto"/>
          <w:highlight w:val="none"/>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val="en-US" w:eastAsia="zh-CN"/>
        </w:rPr>
        <w:t>和田市浙江中学</w:t>
      </w:r>
      <w:r>
        <w:rPr>
          <w:rFonts w:hint="eastAsia" w:hAnsi="方正楷体简体"/>
          <w:color w:val="auto"/>
          <w:highlight w:val="none"/>
        </w:rPr>
        <w:t>单位项目支出共涉及</w:t>
      </w:r>
      <w:r>
        <w:rPr>
          <w:rFonts w:hint="eastAsia" w:hAnsi="方正楷体简体"/>
          <w:color w:val="auto"/>
          <w:highlight w:val="none"/>
          <w:lang w:val="en-US" w:eastAsia="zh-CN"/>
        </w:rPr>
        <w:t>1个</w:t>
      </w:r>
      <w:r>
        <w:rPr>
          <w:rFonts w:hint="eastAsia" w:hAnsi="方正楷体简体"/>
          <w:color w:val="auto"/>
          <w:highlight w:val="none"/>
        </w:rPr>
        <w:t>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项目名称</w:t>
            </w:r>
          </w:p>
        </w:tc>
        <w:tc>
          <w:tcPr>
            <w:tcW w:w="4261" w:type="dxa"/>
            <w:vAlign w:val="center"/>
          </w:tcPr>
          <w:p>
            <w:pPr>
              <w:pStyle w:val="12"/>
              <w:spacing w:line="560" w:lineRule="exact"/>
              <w:ind w:firstLine="200" w:firstLineChars="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rPr>
              <w:t>保安人员工资补助项目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highlight w:val="none"/>
              </w:rPr>
            </w:pPr>
            <w:r>
              <w:rPr>
                <w:rFonts w:hint="eastAsia" w:ascii="仿宋_GB2312" w:hAnsi="仿宋" w:eastAsia="仿宋_GB2312" w:cs="宋体"/>
                <w:color w:val="auto"/>
                <w:sz w:val="32"/>
                <w:szCs w:val="32"/>
                <w:highlight w:val="none"/>
                <w:lang w:val="en-US" w:eastAsia="zh-CN"/>
              </w:rPr>
              <w:t>5.47</w:t>
            </w:r>
            <w:r>
              <w:rPr>
                <w:rFonts w:hint="eastAsia" w:ascii="仿宋_GB2312" w:hAnsi="仿宋" w:eastAsia="仿宋_GB2312" w:cs="宋体"/>
                <w:color w:val="auto"/>
                <w:sz w:val="32"/>
                <w:szCs w:val="32"/>
                <w:highlight w:val="none"/>
              </w:rPr>
              <w:t>万元</w:t>
            </w:r>
          </w:p>
        </w:tc>
      </w:tr>
    </w:tbl>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资金管理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eastAsia="zh-CN"/>
        </w:rPr>
        <w:t>和田市浙江中学</w:t>
      </w:r>
      <w:r>
        <w:rPr>
          <w:rFonts w:hint="eastAsia" w:ascii="仿宋_GB2312" w:hAnsi="方正楷体简体" w:eastAsia="仿宋_GB2312" w:cs="宋体"/>
          <w:color w:val="auto"/>
          <w:sz w:val="32"/>
          <w:szCs w:val="32"/>
          <w:highlight w:val="none"/>
        </w:rPr>
        <w:t>单位基本支出预算总额</w:t>
      </w:r>
      <w:r>
        <w:rPr>
          <w:rFonts w:hint="eastAsia" w:ascii="仿宋_GB2312" w:hAnsi="方正楷体简体" w:eastAsia="仿宋_GB2312" w:cs="宋体"/>
          <w:color w:val="auto"/>
          <w:sz w:val="32"/>
          <w:szCs w:val="32"/>
          <w:highlight w:val="none"/>
          <w:lang w:val="en-US" w:eastAsia="zh-CN"/>
        </w:rPr>
        <w:t>2039.8</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1848.17</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191.63</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2039.8</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我单位认真贯彻落实中央关于厉行节约的有关规定，严格执行《党政机关厉行节约反对浪费条例》和《机关公务接待管理办法》，全年大幅度压缩了因公出国（境）及公务接待费用支出。全年“三公”经费支出为</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 xml:space="preserve">万元。 </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5.47万元</w:t>
      </w:r>
      <w:r>
        <w:rPr>
          <w:rFonts w:hint="eastAsia" w:ascii="仿宋_GB2312" w:hAnsi="方正楷体简体" w:eastAsia="仿宋_GB2312" w:cs="宋体"/>
          <w:color w:val="auto"/>
          <w:sz w:val="32"/>
          <w:szCs w:val="32"/>
          <w:highlight w:val="none"/>
        </w:rPr>
        <w:t>，实际支出</w:t>
      </w:r>
      <w:r>
        <w:rPr>
          <w:rFonts w:hint="eastAsia" w:ascii="仿宋_GB2312" w:hAnsi="方正楷体简体" w:eastAsia="仿宋_GB2312" w:cs="宋体"/>
          <w:color w:val="auto"/>
          <w:sz w:val="32"/>
          <w:szCs w:val="32"/>
          <w:highlight w:val="none"/>
          <w:lang w:val="en-US" w:eastAsia="zh-CN"/>
        </w:rPr>
        <w:t>5.47万元</w:t>
      </w:r>
      <w:r>
        <w:rPr>
          <w:rFonts w:hint="eastAsia" w:ascii="仿宋_GB2312" w:hAnsi="方正楷体简体" w:eastAsia="仿宋_GB2312" w:cs="宋体"/>
          <w:color w:val="auto"/>
          <w:sz w:val="32"/>
          <w:szCs w:val="32"/>
          <w:highlight w:val="none"/>
        </w:rPr>
        <w:t>，预算执行率</w:t>
      </w:r>
      <w:r>
        <w:rPr>
          <w:rFonts w:hint="eastAsia" w:ascii="仿宋_GB2312" w:hAnsi="方正楷体简体" w:eastAsia="仿宋_GB2312" w:cs="宋体"/>
          <w:color w:val="auto"/>
          <w:sz w:val="32"/>
          <w:szCs w:val="32"/>
          <w:highlight w:val="none"/>
          <w:lang w:val="en-US" w:eastAsia="zh-CN"/>
        </w:rPr>
        <w:t>100%</w:t>
      </w:r>
      <w:r>
        <w:rPr>
          <w:rFonts w:hint="eastAsia" w:ascii="仿宋_GB2312" w:hAnsi="方正楷体简体" w:eastAsia="仿宋_GB2312" w:cs="宋体"/>
          <w:color w:val="auto"/>
          <w:sz w:val="32"/>
          <w:szCs w:val="32"/>
          <w:highlight w:val="none"/>
        </w:rPr>
        <w:t>。</w:t>
      </w:r>
    </w:p>
    <w:p>
      <w:pPr>
        <w:spacing w:line="560" w:lineRule="exact"/>
        <w:ind w:firstLine="640" w:firstLineChars="200"/>
        <w:rPr>
          <w:rFonts w:ascii="仿宋" w:hAnsi="仿宋" w:eastAsia="仿宋" w:cs="Times New Roman"/>
          <w:bCs/>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年共有</w:t>
      </w:r>
      <w:r>
        <w:rPr>
          <w:rFonts w:hint="eastAsia" w:ascii="仿宋_GB2312" w:hAnsi="方正楷体简体" w:eastAsia="仿宋_GB2312" w:cs="宋体"/>
          <w:color w:val="auto"/>
          <w:sz w:val="32"/>
          <w:szCs w:val="32"/>
          <w:highlight w:val="none"/>
          <w:lang w:val="en-US" w:eastAsia="zh-CN"/>
        </w:rPr>
        <w:t>1个</w:t>
      </w:r>
      <w:r>
        <w:rPr>
          <w:rFonts w:hint="eastAsia" w:ascii="仿宋_GB2312" w:hAnsi="方正楷体简体" w:eastAsia="仿宋_GB2312" w:cs="宋体"/>
          <w:color w:val="auto"/>
          <w:sz w:val="32"/>
          <w:szCs w:val="32"/>
          <w:highlight w:val="none"/>
        </w:rPr>
        <w:t>专项资金项目，其中已完成项目</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个、未完成项目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个、结转项目</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w:t>
      </w: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年度项目预算及执行情况见下表：</w:t>
      </w:r>
    </w:p>
    <w:tbl>
      <w:tblPr>
        <w:tblStyle w:val="7"/>
        <w:tblW w:w="8522" w:type="dxa"/>
        <w:tblInd w:w="0" w:type="dxa"/>
        <w:tblLayout w:type="fixed"/>
        <w:tblCellMar>
          <w:top w:w="0" w:type="dxa"/>
          <w:left w:w="108" w:type="dxa"/>
          <w:bottom w:w="0" w:type="dxa"/>
          <w:right w:w="108" w:type="dxa"/>
        </w:tblCellMar>
      </w:tblPr>
      <w:tblGrid>
        <w:gridCol w:w="1982"/>
        <w:gridCol w:w="1328"/>
        <w:gridCol w:w="1148"/>
        <w:gridCol w:w="895"/>
        <w:gridCol w:w="1134"/>
        <w:gridCol w:w="2035"/>
      </w:tblGrid>
      <w:tr>
        <w:tblPrEx>
          <w:tblCellMar>
            <w:top w:w="0" w:type="dxa"/>
            <w:left w:w="108" w:type="dxa"/>
            <w:bottom w:w="0" w:type="dxa"/>
            <w:right w:w="108" w:type="dxa"/>
          </w:tblCellMar>
        </w:tblPrEx>
        <w:trPr>
          <w:trHeight w:val="1332" w:hRule="atLeast"/>
          <w:tblHeader/>
        </w:trPr>
        <w:tc>
          <w:tcPr>
            <w:tcW w:w="1982" w:type="dxa"/>
            <w:tcBorders>
              <w:top w:val="single" w:color="auto" w:sz="8" w:space="0"/>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项目名称</w:t>
            </w:r>
          </w:p>
        </w:tc>
        <w:tc>
          <w:tcPr>
            <w:tcW w:w="1328" w:type="dxa"/>
            <w:tcBorders>
              <w:top w:val="single" w:color="auto" w:sz="8" w:space="0"/>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预算金额（调整后）</w:t>
            </w:r>
          </w:p>
        </w:tc>
        <w:tc>
          <w:tcPr>
            <w:tcW w:w="1148"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执行金额</w:t>
            </w:r>
          </w:p>
        </w:tc>
        <w:tc>
          <w:tcPr>
            <w:tcW w:w="89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执行率</w:t>
            </w: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项目类型</w:t>
            </w:r>
          </w:p>
        </w:tc>
        <w:tc>
          <w:tcPr>
            <w:tcW w:w="2035" w:type="dxa"/>
            <w:tcBorders>
              <w:top w:val="single" w:color="auto" w:sz="8" w:space="0"/>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24"/>
                <w:highlight w:val="none"/>
              </w:rPr>
            </w:pPr>
            <w:r>
              <w:rPr>
                <w:rFonts w:hint="eastAsia" w:ascii="仿宋_GB2312" w:hAnsi="仿宋" w:eastAsia="仿宋_GB2312" w:cs="宋体"/>
                <w:b/>
                <w:bCs/>
                <w:color w:val="auto"/>
                <w:kern w:val="0"/>
                <w:sz w:val="24"/>
                <w:highlight w:val="none"/>
              </w:rPr>
              <w:t>备注（对预算调整情况进行说明）</w:t>
            </w:r>
          </w:p>
        </w:tc>
      </w:tr>
      <w:tr>
        <w:tblPrEx>
          <w:tblCellMar>
            <w:top w:w="0" w:type="dxa"/>
            <w:left w:w="108" w:type="dxa"/>
            <w:bottom w:w="0" w:type="dxa"/>
            <w:right w:w="108" w:type="dxa"/>
          </w:tblCellMar>
        </w:tblPrEx>
        <w:trPr>
          <w:trHeight w:val="1123" w:hRule="atLeast"/>
          <w:tblHeader/>
        </w:trPr>
        <w:tc>
          <w:tcPr>
            <w:tcW w:w="1982" w:type="dxa"/>
            <w:tcBorders>
              <w:top w:val="nil"/>
              <w:left w:val="single" w:color="auto" w:sz="8" w:space="0"/>
              <w:bottom w:val="single" w:color="auto" w:sz="8" w:space="0"/>
              <w:right w:val="single" w:color="auto" w:sz="8" w:space="0"/>
            </w:tcBorders>
            <w:shd w:val="clear" w:color="auto" w:fill="auto"/>
            <w:vAlign w:val="center"/>
          </w:tcPr>
          <w:p>
            <w:pPr>
              <w:pStyle w:val="12"/>
              <w:spacing w:line="560" w:lineRule="exact"/>
              <w:ind w:left="0" w:leftChars="0" w:firstLine="0" w:firstLineChars="0"/>
              <w:jc w:val="center"/>
              <w:rPr>
                <w:rFonts w:hint="eastAsia" w:ascii="仿宋_GB2312" w:hAnsi="仿宋" w:eastAsia="仿宋_GB2312" w:cs="宋体"/>
                <w:color w:val="auto"/>
                <w:kern w:val="2"/>
                <w:sz w:val="21"/>
                <w:szCs w:val="21"/>
                <w:highlight w:val="none"/>
                <w:lang w:val="en-US" w:eastAsia="zh-CN" w:bidi="ar-SA"/>
              </w:rPr>
            </w:pPr>
            <w:r>
              <w:rPr>
                <w:rFonts w:hint="eastAsia" w:ascii="仿宋_GB2312" w:hAnsi="仿宋" w:eastAsia="仿宋_GB2312" w:cs="宋体"/>
                <w:color w:val="auto"/>
                <w:kern w:val="2"/>
                <w:sz w:val="21"/>
                <w:szCs w:val="21"/>
                <w:highlight w:val="none"/>
                <w:lang w:val="en-US" w:eastAsia="zh-CN" w:bidi="ar-SA"/>
              </w:rPr>
              <w:t>保安人员</w:t>
            </w:r>
            <w:r>
              <w:rPr>
                <w:rFonts w:hint="eastAsia" w:ascii="仿宋_GB2312" w:hAnsi="仿宋" w:eastAsia="仿宋_GB2312" w:cs="宋体"/>
                <w:color w:val="auto"/>
                <w:sz w:val="22"/>
                <w:szCs w:val="22"/>
                <w:highlight w:val="none"/>
                <w:lang w:val="en-US" w:eastAsia="zh-CN"/>
              </w:rPr>
              <w:t>工资</w:t>
            </w:r>
            <w:r>
              <w:rPr>
                <w:rFonts w:hint="eastAsia" w:ascii="仿宋_GB2312" w:hAnsi="仿宋" w:eastAsia="仿宋_GB2312" w:cs="宋体"/>
                <w:color w:val="auto"/>
                <w:kern w:val="2"/>
                <w:sz w:val="21"/>
                <w:szCs w:val="21"/>
                <w:highlight w:val="none"/>
                <w:lang w:val="en-US" w:eastAsia="zh-CN" w:bidi="ar-SA"/>
              </w:rPr>
              <w:t>补助</w:t>
            </w:r>
          </w:p>
          <w:p>
            <w:pPr>
              <w:pStyle w:val="12"/>
              <w:spacing w:line="560" w:lineRule="exact"/>
              <w:ind w:left="0" w:leftChars="0" w:firstLine="0" w:firstLineChars="0"/>
              <w:jc w:val="center"/>
              <w:rPr>
                <w:rFonts w:hint="eastAsia" w:ascii="仿宋_GB2312" w:hAnsi="仿宋" w:eastAsia="仿宋_GB2312" w:cs="宋体"/>
                <w:color w:val="auto"/>
                <w:kern w:val="2"/>
                <w:sz w:val="22"/>
                <w:szCs w:val="22"/>
                <w:highlight w:val="none"/>
                <w:lang w:val="en-US" w:eastAsia="zh-CN" w:bidi="ar-SA"/>
              </w:rPr>
            </w:pPr>
          </w:p>
        </w:tc>
        <w:tc>
          <w:tcPr>
            <w:tcW w:w="1328" w:type="dxa"/>
            <w:tcBorders>
              <w:top w:val="nil"/>
              <w:left w:val="nil"/>
              <w:bottom w:val="single" w:color="auto" w:sz="8" w:space="0"/>
              <w:right w:val="single" w:color="auto" w:sz="8" w:space="0"/>
            </w:tcBorders>
            <w:shd w:val="clear" w:color="auto" w:fill="auto"/>
            <w:vAlign w:val="center"/>
          </w:tcPr>
          <w:p>
            <w:pPr>
              <w:pStyle w:val="12"/>
              <w:spacing w:line="560" w:lineRule="exact"/>
              <w:ind w:left="0" w:leftChars="0" w:firstLine="0" w:firstLineChars="0"/>
              <w:jc w:val="center"/>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sz w:val="22"/>
                <w:szCs w:val="22"/>
                <w:highlight w:val="none"/>
                <w:lang w:val="en-US" w:eastAsia="zh-CN"/>
              </w:rPr>
              <w:t>5.47</w:t>
            </w:r>
            <w:r>
              <w:rPr>
                <w:rFonts w:hint="eastAsia" w:ascii="仿宋_GB2312" w:hAnsi="仿宋" w:eastAsia="仿宋_GB2312" w:cs="宋体"/>
                <w:color w:val="auto"/>
                <w:sz w:val="22"/>
                <w:szCs w:val="22"/>
                <w:highlight w:val="none"/>
              </w:rPr>
              <w:t>万元</w:t>
            </w:r>
          </w:p>
        </w:tc>
        <w:tc>
          <w:tcPr>
            <w:tcW w:w="1148" w:type="dxa"/>
            <w:tcBorders>
              <w:top w:val="nil"/>
              <w:left w:val="nil"/>
              <w:bottom w:val="single" w:color="auto" w:sz="8" w:space="0"/>
              <w:right w:val="single" w:color="auto" w:sz="8" w:space="0"/>
            </w:tcBorders>
            <w:shd w:val="clear" w:color="auto" w:fill="auto"/>
            <w:vAlign w:val="center"/>
          </w:tcPr>
          <w:p>
            <w:pPr>
              <w:pStyle w:val="12"/>
              <w:spacing w:line="560" w:lineRule="exact"/>
              <w:ind w:left="0" w:leftChars="0" w:firstLine="0" w:firstLineChars="0"/>
              <w:jc w:val="center"/>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sz w:val="22"/>
                <w:szCs w:val="22"/>
                <w:highlight w:val="none"/>
                <w:lang w:val="en-US" w:eastAsia="zh-CN"/>
              </w:rPr>
              <w:t>5.47</w:t>
            </w:r>
            <w:r>
              <w:rPr>
                <w:rFonts w:hint="eastAsia" w:ascii="仿宋_GB2312" w:hAnsi="仿宋" w:eastAsia="仿宋_GB2312" w:cs="宋体"/>
                <w:color w:val="auto"/>
                <w:sz w:val="22"/>
                <w:szCs w:val="22"/>
                <w:highlight w:val="none"/>
              </w:rPr>
              <w:t>万元</w:t>
            </w:r>
          </w:p>
        </w:tc>
        <w:tc>
          <w:tcPr>
            <w:tcW w:w="895" w:type="dxa"/>
            <w:tcBorders>
              <w:top w:val="nil"/>
              <w:left w:val="nil"/>
              <w:bottom w:val="single" w:color="auto" w:sz="8" w:space="0"/>
              <w:right w:val="single" w:color="auto" w:sz="8" w:space="0"/>
            </w:tcBorders>
            <w:shd w:val="clear" w:color="auto" w:fill="auto"/>
            <w:vAlign w:val="center"/>
          </w:tcPr>
          <w:p>
            <w:pPr>
              <w:pStyle w:val="12"/>
              <w:spacing w:line="560" w:lineRule="exact"/>
              <w:ind w:firstLine="200" w:firstLineChars="0"/>
              <w:jc w:val="center"/>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sz w:val="22"/>
                <w:szCs w:val="22"/>
                <w:highlight w:val="none"/>
              </w:rPr>
              <w:t>100%</w:t>
            </w:r>
          </w:p>
        </w:tc>
        <w:tc>
          <w:tcPr>
            <w:tcW w:w="1134" w:type="dxa"/>
            <w:tcBorders>
              <w:top w:val="nil"/>
              <w:left w:val="nil"/>
              <w:bottom w:val="single" w:color="auto" w:sz="8" w:space="0"/>
              <w:right w:val="single" w:color="auto" w:sz="8" w:space="0"/>
            </w:tcBorders>
            <w:shd w:val="clear" w:color="auto" w:fill="auto"/>
            <w:vAlign w:val="center"/>
          </w:tcPr>
          <w:p>
            <w:pPr>
              <w:pStyle w:val="12"/>
              <w:spacing w:line="560" w:lineRule="exact"/>
              <w:ind w:firstLine="200" w:firstLineChars="0"/>
              <w:jc w:val="center"/>
              <w:rPr>
                <w:rFonts w:hint="eastAsia" w:ascii="仿宋_GB2312" w:hAnsi="仿宋" w:eastAsia="仿宋_GB2312" w:cs="宋体"/>
                <w:color w:val="auto"/>
                <w:kern w:val="2"/>
                <w:sz w:val="22"/>
                <w:szCs w:val="22"/>
                <w:highlight w:val="none"/>
                <w:lang w:val="en-US" w:eastAsia="zh-CN" w:bidi="ar-SA"/>
              </w:rPr>
            </w:pPr>
            <w:r>
              <w:rPr>
                <w:rFonts w:hint="eastAsia" w:ascii="仿宋_GB2312" w:hAnsi="仿宋" w:eastAsia="仿宋_GB2312" w:cs="宋体"/>
                <w:color w:val="auto"/>
                <w:sz w:val="22"/>
                <w:szCs w:val="22"/>
                <w:highlight w:val="none"/>
              </w:rPr>
              <w:t>补助类</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p>
        </w:tc>
      </w:tr>
      <w:tr>
        <w:tblPrEx>
          <w:tblCellMar>
            <w:top w:w="0" w:type="dxa"/>
            <w:left w:w="108" w:type="dxa"/>
            <w:bottom w:w="0" w:type="dxa"/>
            <w:right w:w="108" w:type="dxa"/>
          </w:tblCellMar>
        </w:tblPrEx>
        <w:trPr>
          <w:trHeight w:val="283" w:hRule="atLeast"/>
          <w:tblHeader/>
        </w:trPr>
        <w:tc>
          <w:tcPr>
            <w:tcW w:w="1982" w:type="dxa"/>
            <w:tcBorders>
              <w:top w:val="nil"/>
              <w:left w:val="single" w:color="auto" w:sz="8" w:space="0"/>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合计</w:t>
            </w:r>
          </w:p>
        </w:tc>
        <w:tc>
          <w:tcPr>
            <w:tcW w:w="1328"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sz w:val="22"/>
                <w:szCs w:val="22"/>
                <w:highlight w:val="none"/>
                <w:lang w:val="en-US" w:eastAsia="zh-CN"/>
              </w:rPr>
              <w:t>5.47万元</w:t>
            </w:r>
          </w:p>
        </w:tc>
        <w:tc>
          <w:tcPr>
            <w:tcW w:w="1148" w:type="dxa"/>
            <w:tcBorders>
              <w:top w:val="nil"/>
              <w:left w:val="nil"/>
              <w:bottom w:val="single" w:color="auto" w:sz="8" w:space="0"/>
              <w:right w:val="single" w:color="auto" w:sz="8" w:space="0"/>
            </w:tcBorders>
            <w:shd w:val="clear" w:color="auto" w:fill="auto"/>
            <w:vAlign w:val="center"/>
          </w:tcPr>
          <w:p>
            <w:pPr>
              <w:spacing w:line="560" w:lineRule="exact"/>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sz w:val="22"/>
                <w:szCs w:val="22"/>
                <w:highlight w:val="none"/>
                <w:lang w:val="en-US" w:eastAsia="zh-CN"/>
              </w:rPr>
              <w:t>5.47万元</w:t>
            </w:r>
          </w:p>
        </w:tc>
        <w:tc>
          <w:tcPr>
            <w:tcW w:w="895" w:type="dxa"/>
            <w:tcBorders>
              <w:top w:val="nil"/>
              <w:left w:val="nil"/>
              <w:bottom w:val="single" w:color="auto" w:sz="8" w:space="0"/>
              <w:right w:val="single" w:color="auto" w:sz="8" w:space="0"/>
            </w:tcBorders>
            <w:shd w:val="clear" w:color="auto" w:fill="auto"/>
            <w:vAlign w:val="center"/>
          </w:tcPr>
          <w:p>
            <w:pPr>
              <w:spacing w:line="560" w:lineRule="exact"/>
              <w:rPr>
                <w:rFonts w:hint="default" w:ascii="仿宋_GB2312" w:hAnsi="仿宋" w:eastAsia="仿宋_GB2312" w:cs="宋体"/>
                <w:color w:val="auto"/>
                <w:kern w:val="0"/>
                <w:sz w:val="32"/>
                <w:szCs w:val="32"/>
                <w:highlight w:val="none"/>
                <w:lang w:val="en-US" w:eastAsia="zh-CN"/>
              </w:rPr>
            </w:pPr>
            <w:r>
              <w:rPr>
                <w:rFonts w:hint="eastAsia" w:ascii="仿宋_GB2312" w:hAnsi="仿宋" w:eastAsia="仿宋_GB2312" w:cs="宋体"/>
                <w:color w:val="auto"/>
                <w:sz w:val="22"/>
                <w:szCs w:val="22"/>
                <w:highlight w:val="none"/>
                <w:lang w:val="en-US" w:eastAsia="zh-CN"/>
              </w:rPr>
              <w:t>100%</w:t>
            </w:r>
          </w:p>
        </w:tc>
        <w:tc>
          <w:tcPr>
            <w:tcW w:w="1134"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c>
          <w:tcPr>
            <w:tcW w:w="2035" w:type="dxa"/>
            <w:tcBorders>
              <w:top w:val="nil"/>
              <w:left w:val="nil"/>
              <w:bottom w:val="single" w:color="auto" w:sz="8" w:space="0"/>
              <w:right w:val="single" w:color="auto" w:sz="8" w:space="0"/>
            </w:tcBorders>
            <w:shd w:val="clear" w:color="auto" w:fill="auto"/>
            <w:vAlign w:val="center"/>
          </w:tcPr>
          <w:p>
            <w:pPr>
              <w:spacing w:line="560" w:lineRule="exact"/>
              <w:ind w:firstLine="200"/>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　</w:t>
            </w:r>
          </w:p>
        </w:tc>
      </w:tr>
    </w:tbl>
    <w:p>
      <w:pPr>
        <w:spacing w:line="560" w:lineRule="exact"/>
        <w:ind w:firstLine="200"/>
        <w:rPr>
          <w:color w:val="auto"/>
          <w:highlight w:val="none"/>
        </w:rPr>
      </w:pPr>
      <w:r>
        <w:rPr>
          <w:rFonts w:hint="eastAsia"/>
          <w:color w:val="auto"/>
          <w:highlight w:val="none"/>
        </w:rPr>
        <w:tab/>
      </w:r>
      <w:r>
        <w:rPr>
          <w:rFonts w:hint="eastAsia"/>
          <w:color w:val="auto"/>
          <w:highlight w:val="none"/>
        </w:rPr>
        <w:tab/>
      </w:r>
      <w:r>
        <w:rPr>
          <w:rFonts w:hint="eastAsia"/>
          <w:color w:val="auto"/>
          <w:highlight w:val="none"/>
        </w:rPr>
        <w:tab/>
      </w:r>
      <w:r>
        <w:rPr>
          <w:rFonts w:hint="eastAsia"/>
          <w:color w:val="auto"/>
          <w:highlight w:val="none"/>
        </w:rPr>
        <w:tab/>
      </w:r>
    </w:p>
    <w:p>
      <w:pPr>
        <w:spacing w:line="560" w:lineRule="exact"/>
        <w:rPr>
          <w:rFonts w:hint="eastAsia" w:ascii="仿宋_GB2312" w:eastAsia="仿宋_GB2312"/>
          <w:color w:val="auto"/>
          <w:sz w:val="32"/>
          <w:szCs w:val="32"/>
          <w:highlight w:val="none"/>
          <w:lang w:val="en-US" w:eastAsia="zh-CN"/>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2"/>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1个</w:t>
      </w:r>
      <w:r>
        <w:rPr>
          <w:rStyle w:val="10"/>
          <w:rFonts w:hint="eastAsia" w:ascii="仿宋_GB2312" w:hAnsi="黑体" w:eastAsia="仿宋_GB2312" w:cs="Times New Roman"/>
          <w:b w:val="0"/>
          <w:color w:val="auto"/>
          <w:spacing w:val="-4"/>
          <w:sz w:val="32"/>
          <w:szCs w:val="32"/>
          <w:highlight w:val="none"/>
        </w:rPr>
        <w:t>，项目总预算</w:t>
      </w:r>
      <w:r>
        <w:rPr>
          <w:rStyle w:val="10"/>
          <w:rFonts w:hint="eastAsia" w:ascii="仿宋_GB2312" w:hAnsi="黑体" w:eastAsia="仿宋_GB2312" w:cs="Times New Roman"/>
          <w:b w:val="0"/>
          <w:color w:val="auto"/>
          <w:spacing w:val="-4"/>
          <w:sz w:val="32"/>
          <w:szCs w:val="32"/>
          <w:highlight w:val="none"/>
          <w:lang w:val="en-US" w:eastAsia="zh-CN"/>
        </w:rPr>
        <w:t>5.47万元</w:t>
      </w:r>
      <w:r>
        <w:rPr>
          <w:rStyle w:val="10"/>
          <w:rFonts w:hint="eastAsia" w:ascii="仿宋_GB2312" w:hAnsi="黑体" w:eastAsia="仿宋_GB2312" w:cs="Times New Roman"/>
          <w:b w:val="0"/>
          <w:color w:val="auto"/>
          <w:spacing w:val="-4"/>
          <w:sz w:val="32"/>
          <w:szCs w:val="32"/>
          <w:highlight w:val="none"/>
        </w:rPr>
        <w:t>，资金到位</w:t>
      </w:r>
      <w:r>
        <w:rPr>
          <w:rStyle w:val="10"/>
          <w:rFonts w:hint="eastAsia" w:ascii="仿宋_GB2312" w:hAnsi="黑体" w:eastAsia="仿宋_GB2312" w:cs="Times New Roman"/>
          <w:b w:val="0"/>
          <w:color w:val="auto"/>
          <w:spacing w:val="-4"/>
          <w:sz w:val="32"/>
          <w:szCs w:val="32"/>
          <w:highlight w:val="none"/>
          <w:lang w:val="en-US" w:eastAsia="zh-CN"/>
        </w:rPr>
        <w:t>5.47万元</w:t>
      </w:r>
      <w:r>
        <w:rPr>
          <w:rStyle w:val="10"/>
          <w:rFonts w:hint="eastAsia" w:ascii="仿宋_GB2312" w:hAnsi="黑体" w:eastAsia="仿宋_GB2312" w:cs="Times New Roman"/>
          <w:b w:val="0"/>
          <w:color w:val="auto"/>
          <w:spacing w:val="-4"/>
          <w:sz w:val="32"/>
          <w:szCs w:val="32"/>
          <w:highlight w:val="none"/>
        </w:rPr>
        <w:t>，资金执行数</w:t>
      </w:r>
      <w:r>
        <w:rPr>
          <w:rStyle w:val="10"/>
          <w:rFonts w:hint="eastAsia" w:ascii="仿宋_GB2312" w:hAnsi="黑体" w:eastAsia="仿宋_GB2312" w:cs="Times New Roman"/>
          <w:b w:val="0"/>
          <w:color w:val="auto"/>
          <w:spacing w:val="-4"/>
          <w:sz w:val="32"/>
          <w:szCs w:val="32"/>
          <w:highlight w:val="none"/>
          <w:lang w:val="en-US" w:eastAsia="zh-CN"/>
        </w:rPr>
        <w:t>5.47万元</w:t>
      </w:r>
      <w:r>
        <w:rPr>
          <w:rStyle w:val="10"/>
          <w:rFonts w:hint="eastAsia" w:ascii="仿宋_GB2312" w:hAnsi="黑体" w:eastAsia="仿宋_GB2312" w:cs="Times New Roman"/>
          <w:b w:val="0"/>
          <w:color w:val="auto"/>
          <w:spacing w:val="-4"/>
          <w:sz w:val="32"/>
          <w:szCs w:val="32"/>
          <w:highlight w:val="none"/>
        </w:rPr>
        <w:t>，执行率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成本节约：我单位</w:t>
      </w:r>
      <w:r>
        <w:rPr>
          <w:rStyle w:val="10"/>
          <w:rFonts w:hint="eastAsia" w:ascii="仿宋_GB2312" w:hAnsi="黑体" w:eastAsia="仿宋_GB2312" w:cs="Times New Roman"/>
          <w:b w:val="0"/>
          <w:color w:val="auto"/>
          <w:spacing w:val="-4"/>
          <w:sz w:val="32"/>
          <w:szCs w:val="32"/>
          <w:highlight w:val="none"/>
          <w:lang w:val="en-US" w:eastAsia="zh-CN"/>
        </w:rPr>
        <w:t>1个</w:t>
      </w:r>
      <w:r>
        <w:rPr>
          <w:rStyle w:val="10"/>
          <w:rFonts w:hint="eastAsia" w:ascii="仿宋_GB2312" w:hAnsi="黑体" w:eastAsia="仿宋_GB2312" w:cs="Times New Roman"/>
          <w:b w:val="0"/>
          <w:color w:val="auto"/>
          <w:spacing w:val="-4"/>
          <w:sz w:val="32"/>
          <w:szCs w:val="32"/>
          <w:highlight w:val="none"/>
        </w:rPr>
        <w:t>项目成本均未超预算，预算执行率达</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实施进度：我单位共有</w:t>
      </w:r>
      <w:r>
        <w:rPr>
          <w:rStyle w:val="10"/>
          <w:rFonts w:hint="eastAsia" w:ascii="仿宋_GB2312" w:hAnsi="黑体" w:eastAsia="仿宋_GB2312" w:cs="Times New Roman"/>
          <w:b w:val="0"/>
          <w:color w:val="auto"/>
          <w:spacing w:val="-4"/>
          <w:sz w:val="32"/>
          <w:szCs w:val="32"/>
          <w:highlight w:val="none"/>
          <w:lang w:val="en-US" w:eastAsia="zh-CN"/>
        </w:rPr>
        <w:t>1个</w:t>
      </w:r>
      <w:r>
        <w:rPr>
          <w:rStyle w:val="10"/>
          <w:rFonts w:hint="eastAsia" w:ascii="仿宋_GB2312" w:hAnsi="黑体" w:eastAsia="仿宋_GB2312" w:cs="Times New Roman"/>
          <w:b w:val="0"/>
          <w:color w:val="auto"/>
          <w:spacing w:val="-4"/>
          <w:sz w:val="32"/>
          <w:szCs w:val="32"/>
          <w:highlight w:val="none"/>
        </w:rPr>
        <w:t>项目，</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个项目在项目计划期间完成，项目按期完成及时率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w:t>
      </w:r>
      <w:r>
        <w:rPr>
          <w:rStyle w:val="10"/>
          <w:rFonts w:hint="eastAsia" w:ascii="仿宋_GB2312" w:hAnsi="黑体" w:eastAsia="仿宋_GB2312" w:cs="Times New Roman"/>
          <w:b w:val="0"/>
          <w:color w:val="auto"/>
          <w:spacing w:val="-4"/>
          <w:sz w:val="32"/>
          <w:szCs w:val="32"/>
          <w:highlight w:val="none"/>
          <w:lang w:val="en-US" w:eastAsia="zh-CN"/>
        </w:rPr>
        <w:t>1个</w:t>
      </w:r>
      <w:r>
        <w:rPr>
          <w:rStyle w:val="10"/>
          <w:rFonts w:hint="eastAsia" w:ascii="仿宋_GB2312" w:hAnsi="黑体" w:eastAsia="仿宋_GB2312" w:cs="Times New Roman"/>
          <w:b w:val="0"/>
          <w:color w:val="auto"/>
          <w:spacing w:val="-4"/>
          <w:sz w:val="32"/>
          <w:szCs w:val="32"/>
          <w:highlight w:val="none"/>
        </w:rPr>
        <w:t>项目，</w:t>
      </w:r>
      <w:r>
        <w:rPr>
          <w:rStyle w:val="10"/>
          <w:rFonts w:hint="eastAsia" w:ascii="仿宋_GB2312" w:hAnsi="黑体" w:eastAsia="仿宋_GB2312" w:cs="Times New Roman"/>
          <w:b w:val="0"/>
          <w:color w:val="auto"/>
          <w:spacing w:val="-4"/>
          <w:sz w:val="32"/>
          <w:szCs w:val="32"/>
          <w:highlight w:val="none"/>
          <w:lang w:val="en-US" w:eastAsia="zh-CN"/>
        </w:rPr>
        <w:t>1</w:t>
      </w:r>
      <w:r>
        <w:rPr>
          <w:rStyle w:val="10"/>
          <w:rFonts w:hint="eastAsia" w:ascii="仿宋_GB2312" w:hAnsi="黑体" w:eastAsia="仿宋_GB2312" w:cs="Times New Roman"/>
          <w:b w:val="0"/>
          <w:color w:val="auto"/>
          <w:spacing w:val="-4"/>
          <w:sz w:val="32"/>
          <w:szCs w:val="32"/>
          <w:highlight w:val="none"/>
        </w:rPr>
        <w:t>个项目均验收完成，验收合格率</w:t>
      </w:r>
      <w:r>
        <w:rPr>
          <w:rStyle w:val="10"/>
          <w:rFonts w:hint="eastAsia" w:ascii="仿宋_GB2312" w:hAnsi="黑体" w:eastAsia="仿宋_GB2312" w:cs="Times New Roman"/>
          <w:b w:val="0"/>
          <w:color w:val="auto"/>
          <w:spacing w:val="-4"/>
          <w:sz w:val="32"/>
          <w:szCs w:val="32"/>
          <w:highlight w:val="none"/>
          <w:lang w:val="en-US" w:eastAsia="zh-CN"/>
        </w:rPr>
        <w:t>100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（3）项目效益性分析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年度本单位实</w:t>
      </w:r>
      <w:r>
        <w:rPr>
          <w:rStyle w:val="10"/>
          <w:rFonts w:hint="eastAsia" w:ascii="仿宋_GB2312" w:hAnsi="黑体" w:eastAsia="仿宋_GB2312" w:cs="Times New Roman"/>
          <w:b w:val="0"/>
          <w:color w:val="auto"/>
          <w:spacing w:val="-4"/>
          <w:sz w:val="32"/>
          <w:szCs w:val="32"/>
          <w:highlight w:val="none"/>
        </w:rPr>
        <w:t>施</w:t>
      </w:r>
      <w:r>
        <w:rPr>
          <w:rStyle w:val="10"/>
          <w:rFonts w:hint="eastAsia" w:ascii="仿宋_GB2312" w:hAnsi="黑体" w:eastAsia="仿宋_GB2312" w:cs="Times New Roman"/>
          <w:b w:val="0"/>
          <w:color w:val="auto"/>
          <w:spacing w:val="-4"/>
          <w:sz w:val="32"/>
          <w:szCs w:val="32"/>
          <w:highlight w:val="none"/>
          <w:lang w:val="en-US" w:eastAsia="zh-CN"/>
        </w:rPr>
        <w:t>1个</w:t>
      </w:r>
      <w:r>
        <w:rPr>
          <w:rStyle w:val="10"/>
          <w:rFonts w:hint="eastAsia" w:ascii="仿宋_GB2312" w:hAnsi="黑体" w:eastAsia="仿宋_GB2312" w:cs="Times New Roman"/>
          <w:b w:val="0"/>
          <w:color w:val="auto"/>
          <w:spacing w:val="-4"/>
          <w:sz w:val="32"/>
          <w:szCs w:val="32"/>
          <w:highlight w:val="none"/>
        </w:rPr>
        <w:t>项目，通过项目的实施带来的效益：</w:t>
      </w:r>
      <w:r>
        <w:rPr>
          <w:rStyle w:val="10"/>
          <w:rFonts w:hint="eastAsia" w:ascii="仿宋_GB2312" w:hAnsi="黑体" w:eastAsia="仿宋_GB2312"/>
          <w:b w:val="0"/>
          <w:color w:val="auto"/>
          <w:spacing w:val="-4"/>
          <w:sz w:val="32"/>
          <w:szCs w:val="32"/>
          <w:highlight w:val="none"/>
        </w:rPr>
        <w:t>确保全校师生安全，校园安全。有利于社会的稳定和发展，师生人身安全和财产安全得到切实保障。</w:t>
      </w:r>
    </w:p>
    <w:p>
      <w:pPr>
        <w:pStyle w:val="12"/>
        <w:spacing w:line="560" w:lineRule="exact"/>
        <w:ind w:firstLine="624"/>
        <w:rPr>
          <w:rFonts w:ascii="仿宋" w:hAnsi="仿宋" w:eastAsia="仿宋" w:cs="Times New Roman"/>
          <w:bCs/>
          <w:color w:val="auto"/>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r>
        <w:rPr>
          <w:rFonts w:hint="eastAsia" w:ascii="仿宋" w:hAnsi="仿宋" w:eastAsia="仿宋" w:cs="Times New Roman"/>
          <w:bCs/>
          <w:color w:val="auto"/>
          <w:sz w:val="32"/>
          <w:szCs w:val="32"/>
          <w:highlight w:val="none"/>
        </w:rPr>
        <w:t xml:space="preserve"> </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14</w:t>
      </w:r>
      <w:r>
        <w:rPr>
          <w:rFonts w:hint="eastAsia" w:ascii="仿宋_GB2312" w:hAnsi="仿宋" w:eastAsia="仿宋_GB2312" w:cs="Times New Roman"/>
          <w:bCs/>
          <w:color w:val="auto"/>
          <w:sz w:val="32"/>
          <w:szCs w:val="32"/>
          <w:highlight w:val="none"/>
        </w:rPr>
        <w:t>个，其中已完成三级指标</w:t>
      </w:r>
      <w:r>
        <w:rPr>
          <w:rFonts w:hint="eastAsia" w:ascii="仿宋_GB2312" w:hAnsi="仿宋" w:eastAsia="仿宋_GB2312" w:cs="Times New Roman"/>
          <w:bCs/>
          <w:color w:val="auto"/>
          <w:sz w:val="32"/>
          <w:szCs w:val="32"/>
          <w:highlight w:val="none"/>
          <w:lang w:val="en-US" w:eastAsia="zh-CN"/>
        </w:rPr>
        <w:t>14</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100</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（1）项目完成数量</w:t>
      </w:r>
    </w:p>
    <w:p>
      <w:pPr>
        <w:spacing w:line="560" w:lineRule="exact"/>
        <w:ind w:firstLine="640" w:firstLineChars="200"/>
        <w:rPr>
          <w:rFonts w:hint="default"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保障单位干部职工工资正常发放人数，预期指标是</w:t>
      </w:r>
      <w:r>
        <w:rPr>
          <w:rFonts w:hint="eastAsia" w:ascii="仿宋_GB2312" w:hAnsi="仿宋" w:eastAsia="仿宋_GB2312"/>
          <w:color w:val="auto"/>
          <w:sz w:val="32"/>
          <w:szCs w:val="32"/>
          <w:highlight w:val="none"/>
          <w:lang w:val="en-US" w:eastAsia="zh-CN"/>
        </w:rPr>
        <w:t>71</w:t>
      </w:r>
      <w:r>
        <w:rPr>
          <w:rFonts w:hint="eastAsia" w:ascii="仿宋_GB2312" w:hAnsi="仿宋" w:eastAsia="仿宋_GB2312"/>
          <w:color w:val="auto"/>
          <w:sz w:val="32"/>
          <w:szCs w:val="32"/>
          <w:highlight w:val="none"/>
        </w:rPr>
        <w:t>人，实际完成值是</w:t>
      </w:r>
      <w:r>
        <w:rPr>
          <w:rFonts w:hint="eastAsia" w:ascii="仿宋_GB2312" w:hAnsi="仿宋" w:eastAsia="仿宋_GB2312"/>
          <w:color w:val="auto"/>
          <w:sz w:val="32"/>
          <w:szCs w:val="32"/>
          <w:highlight w:val="none"/>
          <w:lang w:val="en-US" w:eastAsia="zh-CN"/>
        </w:rPr>
        <w:t>123人</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原因：因学生增加，教学任务较重，因此招聘新教师。</w:t>
      </w:r>
    </w:p>
    <w:p>
      <w:pPr>
        <w:spacing w:line="560" w:lineRule="exact"/>
        <w:ind w:firstLine="640" w:firstLineChars="200"/>
        <w:rPr>
          <w:rFonts w:hint="eastAsia"/>
          <w:color w:val="auto"/>
          <w:highlight w:val="none"/>
        </w:rPr>
      </w:pPr>
      <w:r>
        <w:rPr>
          <w:rFonts w:hint="eastAsia" w:ascii="仿宋_GB2312" w:hAnsi="仿宋" w:eastAsia="仿宋_GB2312"/>
          <w:color w:val="auto"/>
          <w:sz w:val="32"/>
          <w:szCs w:val="32"/>
          <w:highlight w:val="none"/>
        </w:rPr>
        <w:t>保障单位退休职工工资正常发放人数，预期指标是</w:t>
      </w:r>
      <w:r>
        <w:rPr>
          <w:rFonts w:hint="eastAsia" w:ascii="仿宋_GB2312" w:hAnsi="仿宋" w:eastAsia="仿宋_GB2312"/>
          <w:color w:val="auto"/>
          <w:sz w:val="32"/>
          <w:szCs w:val="32"/>
          <w:highlight w:val="none"/>
          <w:lang w:val="en-US" w:eastAsia="zh-CN"/>
        </w:rPr>
        <w:t>41</w:t>
      </w:r>
      <w:r>
        <w:rPr>
          <w:rFonts w:hint="eastAsia" w:ascii="仿宋_GB2312" w:hAnsi="仿宋" w:eastAsia="仿宋_GB2312"/>
          <w:color w:val="auto"/>
          <w:sz w:val="32"/>
          <w:szCs w:val="32"/>
          <w:highlight w:val="none"/>
        </w:rPr>
        <w:t>人，实际完成值是</w:t>
      </w:r>
      <w:r>
        <w:rPr>
          <w:rFonts w:hint="eastAsia" w:ascii="仿宋_GB2312" w:hAnsi="仿宋" w:eastAsia="仿宋_GB2312"/>
          <w:color w:val="auto"/>
          <w:sz w:val="32"/>
          <w:szCs w:val="32"/>
          <w:highlight w:val="none"/>
          <w:lang w:val="en-US" w:eastAsia="zh-CN"/>
        </w:rPr>
        <w:t>41人</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24" w:firstLineChars="200"/>
        <w:rPr>
          <w:rFonts w:hint="eastAsia" w:ascii="仿宋_GB2312" w:hAnsi="仿宋" w:eastAsia="仿宋_GB2312"/>
          <w:color w:val="auto"/>
          <w:sz w:val="32"/>
          <w:szCs w:val="32"/>
          <w:highlight w:val="none"/>
        </w:rPr>
      </w:pPr>
      <w:r>
        <w:rPr>
          <w:rFonts w:hint="eastAsia" w:ascii="仿宋_GB2312" w:hAnsi="楷体" w:eastAsia="仿宋_GB2312" w:cs="仿宋"/>
          <w:color w:val="auto"/>
          <w:spacing w:val="-4"/>
          <w:sz w:val="32"/>
          <w:szCs w:val="32"/>
          <w:highlight w:val="none"/>
        </w:rPr>
        <w:t>数量</w:t>
      </w:r>
      <w:r>
        <w:rPr>
          <w:rFonts w:hint="eastAsia" w:ascii="仿宋_GB2312" w:hAnsi="仿宋" w:eastAsia="仿宋_GB2312"/>
          <w:color w:val="auto"/>
          <w:sz w:val="32"/>
          <w:szCs w:val="32"/>
          <w:highlight w:val="none"/>
        </w:rPr>
        <w:t>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val="en-US" w:eastAsia="zh-CN"/>
        </w:rPr>
        <w:t>完成</w:t>
      </w:r>
      <w:r>
        <w:rPr>
          <w:rFonts w:hint="eastAsia" w:ascii="仿宋_GB2312" w:hAnsi="仿宋" w:eastAsia="仿宋_GB2312"/>
          <w:color w:val="auto"/>
          <w:sz w:val="32"/>
          <w:szCs w:val="32"/>
          <w:highlight w:val="none"/>
        </w:rPr>
        <w:t>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（2）项目完成质量</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工资及社保等各项缴费发放准确率，预期指标是100%，实际完成值是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color w:val="auto"/>
          <w:highlight w:val="none"/>
        </w:rPr>
      </w:pPr>
      <w:r>
        <w:rPr>
          <w:rFonts w:hint="eastAsia" w:ascii="仿宋_GB2312" w:hAnsi="仿宋" w:eastAsia="仿宋_GB2312"/>
          <w:color w:val="auto"/>
          <w:sz w:val="32"/>
          <w:szCs w:val="32"/>
          <w:highlight w:val="none"/>
        </w:rPr>
        <w:t>保障单位正常运转率，预期指标是100%，实际完成值是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质量指标共计</w:t>
      </w:r>
      <w:r>
        <w:rPr>
          <w:rFonts w:hint="eastAsia" w:ascii="仿宋_GB2312" w:hAnsi="仿宋" w:eastAsia="仿宋_GB2312"/>
          <w:color w:val="auto"/>
          <w:sz w:val="32"/>
          <w:szCs w:val="32"/>
          <w:highlight w:val="none"/>
          <w:lang w:val="en-US" w:eastAsia="zh-CN"/>
        </w:rPr>
        <w:t>2个</w:t>
      </w:r>
      <w:r>
        <w:rPr>
          <w:rFonts w:hint="eastAsia" w:ascii="仿宋_GB2312" w:hAnsi="仿宋" w:eastAsia="仿宋_GB2312"/>
          <w:color w:val="auto"/>
          <w:sz w:val="32"/>
          <w:szCs w:val="32"/>
          <w:highlight w:val="none"/>
        </w:rPr>
        <w:t>，完成</w:t>
      </w:r>
      <w:r>
        <w:rPr>
          <w:rFonts w:hint="eastAsia" w:ascii="仿宋_GB2312" w:hAnsi="仿宋" w:eastAsia="仿宋_GB2312"/>
          <w:color w:val="auto"/>
          <w:sz w:val="32"/>
          <w:szCs w:val="32"/>
          <w:highlight w:val="none"/>
          <w:lang w:val="en-US" w:eastAsia="zh-CN"/>
        </w:rPr>
        <w:t>12个</w:t>
      </w:r>
      <w:r>
        <w:rPr>
          <w:rFonts w:hint="eastAsia" w:ascii="仿宋_GB2312" w:hAnsi="仿宋" w:eastAsia="仿宋_GB2312"/>
          <w:color w:val="auto"/>
          <w:sz w:val="32"/>
          <w:szCs w:val="32"/>
          <w:highlight w:val="none"/>
        </w:rPr>
        <w:t>，达到预期目标，质量指标完成。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（3）项目实施进度</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stheme="minorBidi"/>
          <w:b w:val="0"/>
          <w:bCs w:val="0"/>
          <w:color w:val="auto"/>
          <w:kern w:val="2"/>
          <w:sz w:val="32"/>
          <w:szCs w:val="32"/>
          <w:highlight w:val="none"/>
          <w:lang w:val="en-US" w:eastAsia="zh-CN" w:bidi="ar-SA"/>
        </w:rPr>
        <w:t xml:space="preserve"> </w:t>
      </w:r>
      <w:r>
        <w:rPr>
          <w:rFonts w:hint="eastAsia" w:ascii="仿宋_GB2312" w:hAnsi="仿宋" w:eastAsia="仿宋_GB2312"/>
          <w:color w:val="auto"/>
          <w:sz w:val="32"/>
          <w:szCs w:val="32"/>
          <w:highlight w:val="none"/>
          <w:lang w:val="en-US" w:eastAsia="zh-CN"/>
        </w:rPr>
        <w:t>工资及社保等各项缴费发放及时率，预期指标是大于等于95%，实际完成值是95%，指标完成率是100%。</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val="en-US" w:eastAsia="zh-CN"/>
        </w:rPr>
        <w:t>项目完成时间，预期指标是2021年12月，实际完成值是2021年12月，指标完成率是100%。</w:t>
      </w:r>
    </w:p>
    <w:p>
      <w:pPr>
        <w:spacing w:line="56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rPr>
        <w:t>时效指标共计</w:t>
      </w:r>
      <w:r>
        <w:rPr>
          <w:rFonts w:hint="eastAsia" w:ascii="仿宋_GB2312" w:hAnsi="仿宋" w:eastAsia="仿宋_GB2312"/>
          <w:color w:val="auto"/>
          <w:sz w:val="32"/>
          <w:szCs w:val="32"/>
          <w:highlight w:val="none"/>
          <w:lang w:val="en-US" w:eastAsia="zh-CN"/>
        </w:rPr>
        <w:t>2个</w:t>
      </w:r>
      <w:r>
        <w:rPr>
          <w:rFonts w:hint="eastAsia" w:ascii="仿宋_GB2312" w:hAnsi="仿宋" w:eastAsia="仿宋_GB2312"/>
          <w:color w:val="auto"/>
          <w:sz w:val="32"/>
          <w:szCs w:val="32"/>
          <w:highlight w:val="none"/>
        </w:rPr>
        <w:t>，完成</w:t>
      </w:r>
      <w:r>
        <w:rPr>
          <w:rFonts w:hint="eastAsia" w:ascii="仿宋_GB2312" w:hAnsi="仿宋" w:eastAsia="仿宋_GB2312"/>
          <w:color w:val="auto"/>
          <w:sz w:val="32"/>
          <w:szCs w:val="32"/>
          <w:highlight w:val="none"/>
          <w:lang w:val="en-US" w:eastAsia="zh-CN"/>
        </w:rPr>
        <w:t>2个</w:t>
      </w:r>
      <w:r>
        <w:rPr>
          <w:rFonts w:hint="eastAsia" w:ascii="仿宋_GB2312" w:hAnsi="仿宋" w:eastAsia="仿宋_GB2312"/>
          <w:color w:val="auto"/>
          <w:sz w:val="32"/>
          <w:szCs w:val="32"/>
          <w:highlight w:val="none"/>
        </w:rPr>
        <w:t>，达到预期目标，时效指标完成</w:t>
      </w:r>
      <w:r>
        <w:rPr>
          <w:rFonts w:hint="eastAsia" w:ascii="仿宋_GB2312" w:hAnsi="仿宋" w:eastAsia="仿宋_GB2312"/>
          <w:color w:val="auto"/>
          <w:sz w:val="32"/>
          <w:szCs w:val="32"/>
          <w:highlight w:val="none"/>
          <w:lang w:val="en-US"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（4）项目成本节约情况</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对个人和家庭补助成本，预期指标是</w:t>
      </w:r>
      <w:r>
        <w:rPr>
          <w:rFonts w:hint="eastAsia" w:ascii="仿宋_GB2312" w:hAnsi="仿宋" w:eastAsia="仿宋_GB2312"/>
          <w:color w:val="auto"/>
          <w:sz w:val="32"/>
          <w:szCs w:val="32"/>
          <w:highlight w:val="none"/>
          <w:lang w:val="en-US" w:eastAsia="zh-CN"/>
        </w:rPr>
        <w:t>小于等于</w:t>
      </w:r>
      <w:r>
        <w:rPr>
          <w:rFonts w:hint="eastAsia" w:ascii="仿宋_GB2312" w:hAnsi="仿宋" w:eastAsia="仿宋_GB2312"/>
          <w:color w:val="auto"/>
          <w:sz w:val="32"/>
          <w:szCs w:val="32"/>
          <w:highlight w:val="none"/>
        </w:rPr>
        <w:t>162.35万元/人，实际完成值是162.35万元/人，指标完成率是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stheme="minorBidi"/>
          <w:b w:val="0"/>
          <w:bCs w:val="0"/>
          <w:color w:val="auto"/>
          <w:kern w:val="2"/>
          <w:sz w:val="32"/>
          <w:szCs w:val="32"/>
          <w:highlight w:val="none"/>
          <w:lang w:val="en-US" w:eastAsia="zh-CN" w:bidi="ar-SA"/>
        </w:rPr>
        <w:t>各项工资、福利、补助费用成本，</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小于等于</w:t>
      </w:r>
      <w:r>
        <w:rPr>
          <w:rFonts w:hint="eastAsia" w:ascii="仿宋_GB2312" w:hAnsi="仿宋" w:eastAsia="仿宋_GB2312"/>
          <w:color w:val="auto"/>
          <w:sz w:val="32"/>
          <w:szCs w:val="32"/>
          <w:highlight w:val="none"/>
        </w:rPr>
        <w:t>1099.01万元/人，实际完成值是1099.01万元/人，指标完成率是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保障单位正常运转支出</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预期指标是</w:t>
      </w:r>
      <w:r>
        <w:rPr>
          <w:rFonts w:hint="eastAsia" w:ascii="仿宋_GB2312" w:hAnsi="仿宋" w:eastAsia="仿宋_GB2312"/>
          <w:color w:val="auto"/>
          <w:sz w:val="32"/>
          <w:szCs w:val="32"/>
          <w:highlight w:val="none"/>
          <w:lang w:val="en-US" w:eastAsia="zh-CN"/>
        </w:rPr>
        <w:t>小于等于</w:t>
      </w:r>
      <w:r>
        <w:rPr>
          <w:rFonts w:hint="eastAsia" w:ascii="仿宋_GB2312" w:hAnsi="仿宋" w:eastAsia="仿宋_GB2312"/>
          <w:color w:val="auto"/>
          <w:sz w:val="32"/>
          <w:szCs w:val="32"/>
          <w:highlight w:val="none"/>
        </w:rPr>
        <w:t>27.27万元，实际完成值是27.27万元，指标完成率是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成本指标共计</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个，达到预期目标，成本指标完成。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24" w:firstLineChars="200"/>
        <w:rPr>
          <w:rFonts w:hint="eastAsia" w:ascii="仿宋_GB2312" w:eastAsia="仿宋_GB2312"/>
          <w:color w:val="auto"/>
          <w:sz w:val="32"/>
          <w:szCs w:val="32"/>
          <w:highlight w:val="none"/>
          <w:lang w:eastAsia="zh-CN"/>
        </w:rPr>
      </w:pPr>
      <w:r>
        <w:rPr>
          <w:rFonts w:hint="eastAsia" w:ascii="仿宋_GB2312" w:hAnsi="仿宋" w:eastAsia="仿宋_GB2312" w:cs="仿宋"/>
          <w:color w:val="auto"/>
          <w:spacing w:val="-4"/>
          <w:sz w:val="32"/>
          <w:szCs w:val="32"/>
          <w:highlight w:val="none"/>
        </w:rPr>
        <w:t>无</w:t>
      </w:r>
      <w:r>
        <w:rPr>
          <w:rFonts w:hint="eastAsia" w:ascii="仿宋_GB2312" w:hAnsi="仿宋" w:eastAsia="仿宋_GB2312" w:cs="仿宋"/>
          <w:color w:val="auto"/>
          <w:spacing w:val="-4"/>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保障单位正常运转，预期指标是有效保障，实际完成值是有效保障，指标完成率是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color w:val="auto"/>
          <w:highlight w:val="none"/>
        </w:rPr>
      </w:pPr>
      <w:r>
        <w:rPr>
          <w:rFonts w:hint="eastAsia" w:ascii="仿宋_GB2312" w:hAnsi="仿宋" w:eastAsia="仿宋_GB2312"/>
          <w:color w:val="auto"/>
          <w:sz w:val="32"/>
          <w:szCs w:val="32"/>
          <w:highlight w:val="none"/>
        </w:rPr>
        <w:t>公共服务水平提升情况，预期指标是持续提升，实际完成值是持续提升，指标完成率是</w:t>
      </w:r>
      <w:r>
        <w:rPr>
          <w:rFonts w:hint="eastAsia" w:ascii="仿宋_GB2312" w:hAnsi="仿宋" w:eastAsia="仿宋_GB2312"/>
          <w:color w:val="auto"/>
          <w:sz w:val="32"/>
          <w:szCs w:val="32"/>
          <w:highlight w:val="none"/>
          <w:lang w:val="en-US" w:eastAsia="zh-CN"/>
        </w:rPr>
        <w:t>100</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eastAsia="仿宋_GB2312"/>
          <w:color w:val="auto"/>
          <w:sz w:val="32"/>
          <w:szCs w:val="32"/>
          <w:highlight w:val="none"/>
        </w:rPr>
      </w:pPr>
      <w:r>
        <w:rPr>
          <w:rFonts w:hint="eastAsia" w:ascii="仿宋_GB2312" w:hAnsi="仿宋" w:eastAsia="仿宋_GB2312"/>
          <w:color w:val="auto"/>
          <w:sz w:val="32"/>
          <w:szCs w:val="32"/>
          <w:highlight w:val="none"/>
        </w:rPr>
        <w:t>社会效益指标共计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hAnsi="Times New Roman" w:eastAsia="仿宋_GB2312" w:cs="Times New Roman"/>
          <w:color w:val="auto"/>
          <w:sz w:val="32"/>
          <w:szCs w:val="28"/>
          <w:highlight w:val="none"/>
        </w:rPr>
        <w:t>社会效益指标完成。</w:t>
      </w:r>
    </w:p>
    <w:p>
      <w:pPr>
        <w:spacing w:line="560" w:lineRule="exact"/>
        <w:ind w:firstLine="624" w:firstLineChars="200"/>
        <w:rPr>
          <w:rFonts w:hint="eastAsia"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24" w:firstLineChars="200"/>
        <w:rPr>
          <w:rFonts w:hint="eastAsia" w:ascii="仿宋_GB2312" w:hAnsi="仿宋" w:eastAsia="仿宋_GB2312" w:cs="仿宋"/>
          <w:color w:val="auto"/>
          <w:spacing w:val="-4"/>
          <w:sz w:val="32"/>
          <w:szCs w:val="32"/>
          <w:highlight w:val="none"/>
          <w:lang w:eastAsia="zh-CN"/>
        </w:rPr>
      </w:pPr>
      <w:r>
        <w:rPr>
          <w:rFonts w:hint="eastAsia" w:ascii="仿宋_GB2312" w:hAnsi="仿宋" w:eastAsia="仿宋_GB2312" w:cs="仿宋"/>
          <w:color w:val="auto"/>
          <w:spacing w:val="-4"/>
          <w:sz w:val="32"/>
          <w:szCs w:val="32"/>
          <w:highlight w:val="none"/>
        </w:rPr>
        <w:t>无</w:t>
      </w:r>
      <w:r>
        <w:rPr>
          <w:rFonts w:hint="eastAsia" w:ascii="仿宋_GB2312" w:hAnsi="仿宋" w:eastAsia="仿宋_GB2312" w:cs="仿宋"/>
          <w:color w:val="auto"/>
          <w:spacing w:val="-4"/>
          <w:sz w:val="32"/>
          <w:szCs w:val="32"/>
          <w:highlight w:val="none"/>
          <w:lang w:eastAsia="zh-CN"/>
        </w:rPr>
        <w:t>。</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持续为群众提供政府公共服务能力，预期指标是长期，实际完成值是长期，指标完成率是</w:t>
      </w:r>
      <w:r>
        <w:rPr>
          <w:rFonts w:hint="eastAsia" w:ascii="仿宋_GB2312" w:hAnsi="仿宋" w:eastAsia="仿宋_GB2312" w:cs="仿宋"/>
          <w:color w:val="auto"/>
          <w:spacing w:val="-4"/>
          <w:sz w:val="32"/>
          <w:szCs w:val="32"/>
          <w:highlight w:val="none"/>
          <w:lang w:val="en-US" w:eastAsia="zh-CN"/>
        </w:rPr>
        <w:t>100</w:t>
      </w:r>
      <w:r>
        <w:rPr>
          <w:rFonts w:hint="eastAsia"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可持续指标共计</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个，完成</w:t>
      </w:r>
      <w:r>
        <w:rPr>
          <w:rFonts w:hint="eastAsia" w:ascii="仿宋_GB2312" w:hAnsi="仿宋" w:eastAsia="仿宋_GB2312" w:cs="仿宋"/>
          <w:color w:val="auto"/>
          <w:spacing w:val="-4"/>
          <w:sz w:val="32"/>
          <w:szCs w:val="32"/>
          <w:highlight w:val="none"/>
          <w:lang w:val="en-US" w:eastAsia="zh-CN"/>
        </w:rPr>
        <w:t>1</w:t>
      </w:r>
      <w:r>
        <w:rPr>
          <w:rFonts w:hint="eastAsia" w:ascii="仿宋_GB2312" w:hAnsi="仿宋" w:eastAsia="仿宋_GB2312" w:cs="仿宋"/>
          <w:color w:val="auto"/>
          <w:spacing w:val="-4"/>
          <w:sz w:val="32"/>
          <w:szCs w:val="32"/>
          <w:highlight w:val="none"/>
        </w:rPr>
        <w:t>个，达到预期目标，</w:t>
      </w:r>
      <w:r>
        <w:rPr>
          <w:rFonts w:hint="eastAsia" w:ascii="仿宋_GB2312" w:hAnsi="Times New Roman" w:eastAsia="仿宋_GB2312" w:cs="Times New Roman"/>
          <w:color w:val="auto"/>
          <w:sz w:val="32"/>
          <w:szCs w:val="32"/>
          <w:highlight w:val="none"/>
        </w:rPr>
        <w:t>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本单位干部职工满意度，</w:t>
      </w:r>
      <w:r>
        <w:rPr>
          <w:rFonts w:hint="eastAsia" w:ascii="仿宋_GB2312" w:hAnsi="仿宋" w:eastAsia="仿宋_GB2312"/>
          <w:color w:val="auto"/>
          <w:sz w:val="32"/>
          <w:szCs w:val="32"/>
          <w:highlight w:val="none"/>
          <w:lang w:val="en-US" w:eastAsia="zh-CN"/>
        </w:rPr>
        <w:t>预期指标是大于等于95%，实际完成值是95%，指标完成率是100%，</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eastAsiaTheme="minorEastAsia"/>
          <w:color w:val="auto"/>
          <w:highlight w:val="none"/>
          <w:lang w:eastAsia="zh-CN"/>
        </w:rPr>
      </w:pPr>
      <w:r>
        <w:rPr>
          <w:rFonts w:hint="eastAsia" w:ascii="仿宋_GB2312" w:hAnsi="仿宋" w:eastAsia="仿宋_GB2312" w:cs="仿宋"/>
          <w:color w:val="auto"/>
          <w:spacing w:val="-4"/>
          <w:sz w:val="32"/>
          <w:szCs w:val="32"/>
          <w:highlight w:val="none"/>
        </w:rPr>
        <w:t>受益群众满意度，</w:t>
      </w:r>
      <w:r>
        <w:rPr>
          <w:rFonts w:hint="eastAsia" w:ascii="仿宋_GB2312" w:hAnsi="仿宋" w:eastAsia="仿宋_GB2312"/>
          <w:color w:val="auto"/>
          <w:sz w:val="32"/>
          <w:szCs w:val="32"/>
          <w:highlight w:val="none"/>
          <w:lang w:val="en-US" w:eastAsia="zh-CN"/>
        </w:rPr>
        <w:t>预期指标是大于等于95%，实际完成值是95%，指标完成率是100%，</w:t>
      </w:r>
      <w:r>
        <w:rPr>
          <w:rFonts w:hint="eastAsia" w:ascii="仿宋_GB2312" w:hAnsi="仿宋" w:eastAsia="仿宋_GB2312" w:cs="仿宋"/>
          <w:color w:val="auto"/>
          <w:spacing w:val="-4"/>
          <w:sz w:val="32"/>
          <w:szCs w:val="32"/>
          <w:highlight w:val="none"/>
        </w:rPr>
        <w:t>达到预期目标。</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w:t>
      </w:r>
      <w:r>
        <w:rPr>
          <w:rFonts w:hint="eastAsia" w:ascii="仿宋_GB2312" w:hAnsi="仿宋" w:eastAsia="仿宋_GB2312" w:cs="仿宋"/>
          <w:color w:val="auto"/>
          <w:spacing w:val="-4"/>
          <w:sz w:val="32"/>
          <w:szCs w:val="32"/>
          <w:highlight w:val="none"/>
          <w:lang w:val="en-US" w:eastAsia="zh-CN"/>
        </w:rPr>
        <w:t>2个</w:t>
      </w:r>
      <w:r>
        <w:rPr>
          <w:rFonts w:hint="eastAsia" w:ascii="仿宋_GB2312" w:hAnsi="仿宋" w:eastAsia="仿宋_GB2312" w:cs="仿宋"/>
          <w:color w:val="auto"/>
          <w:spacing w:val="-4"/>
          <w:sz w:val="32"/>
          <w:szCs w:val="32"/>
          <w:highlight w:val="none"/>
        </w:rPr>
        <w:t>，完成</w:t>
      </w:r>
      <w:r>
        <w:rPr>
          <w:rFonts w:hint="eastAsia" w:ascii="仿宋_GB2312" w:hAnsi="仿宋" w:eastAsia="仿宋_GB2312" w:cs="仿宋"/>
          <w:color w:val="auto"/>
          <w:spacing w:val="-4"/>
          <w:sz w:val="32"/>
          <w:szCs w:val="32"/>
          <w:highlight w:val="none"/>
          <w:lang w:val="en-US" w:eastAsia="zh-CN"/>
        </w:rPr>
        <w:t>2个</w:t>
      </w:r>
      <w:r>
        <w:rPr>
          <w:rFonts w:hint="eastAsia" w:ascii="仿宋_GB2312" w:hAnsi="仿宋" w:eastAsia="仿宋_GB2312" w:cs="仿宋"/>
          <w:color w:val="auto"/>
          <w:spacing w:val="-4"/>
          <w:sz w:val="32"/>
          <w:szCs w:val="32"/>
          <w:highlight w:val="none"/>
        </w:rPr>
        <w:t>，达到预期目标，服务对象满意度指标完成。</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w:t>
      </w:r>
      <w:r>
        <w:rPr>
          <w:rFonts w:hint="eastAsia" w:ascii="仿宋_GB2312" w:hAnsi="仿宋" w:eastAsia="仿宋_GB2312" w:cs="仿宋"/>
          <w:color w:val="auto"/>
          <w:spacing w:val="-4"/>
          <w:sz w:val="32"/>
          <w:szCs w:val="32"/>
          <w:highlight w:val="none"/>
          <w:lang w:eastAsia="zh-CN"/>
        </w:rPr>
        <w:t>单位</w:t>
      </w:r>
      <w:r>
        <w:rPr>
          <w:rFonts w:hint="eastAsia" w:ascii="仿宋_GB2312" w:hAnsi="仿宋" w:eastAsia="仿宋_GB2312" w:cs="仿宋"/>
          <w:color w:val="auto"/>
          <w:spacing w:val="-4"/>
          <w:sz w:val="32"/>
          <w:szCs w:val="32"/>
          <w:highlight w:val="none"/>
        </w:rPr>
        <w:t>年度任务在预算资金额度内完成，并通过严格的资金管理及项目管理及其他创新的管理措施实现了资金的节约。</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效率性评价：各项工作计划是按预期计划按时完成，效益按预期时间产生。</w:t>
      </w:r>
    </w:p>
    <w:p>
      <w:pPr>
        <w:spacing w:line="560" w:lineRule="exact"/>
        <w:ind w:firstLine="624" w:firstLineChars="200"/>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效益性评价：预期的经济效益、社会效益、可持续的影响产生，干部职工</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受益群众的满意度达到预期目标</w:t>
      </w:r>
      <w:r>
        <w:rPr>
          <w:rFonts w:hint="eastAsia" w:ascii="仿宋_GB2312" w:hAnsi="仿宋" w:eastAsia="仿宋_GB2312" w:cs="仿宋"/>
          <w:color w:val="auto"/>
          <w:spacing w:val="-4"/>
          <w:sz w:val="32"/>
          <w:szCs w:val="32"/>
          <w:highlight w:val="none"/>
          <w:lang w:eastAsia="zh-CN"/>
        </w:rPr>
        <w:t>。</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lang w:eastAsia="zh-CN"/>
        </w:rPr>
        <w:t>无。</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97CE0472"/>
    <w:multiLevelType w:val="singleLevel"/>
    <w:tmpl w:val="97CE0472"/>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2YyNTkwNWNkMTgyZTBiMDM2MTcxYTg3YjgwNzNiYz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85A7547"/>
    <w:rsid w:val="097807C5"/>
    <w:rsid w:val="0A531B8B"/>
    <w:rsid w:val="0E2D1421"/>
    <w:rsid w:val="0F484CBE"/>
    <w:rsid w:val="110F10CC"/>
    <w:rsid w:val="11970B0A"/>
    <w:rsid w:val="141C6243"/>
    <w:rsid w:val="1A7D2E72"/>
    <w:rsid w:val="1ACC0302"/>
    <w:rsid w:val="1CEF2574"/>
    <w:rsid w:val="227375DB"/>
    <w:rsid w:val="29F9207F"/>
    <w:rsid w:val="2F187AB3"/>
    <w:rsid w:val="2F2E1EC8"/>
    <w:rsid w:val="30E07F90"/>
    <w:rsid w:val="3455214F"/>
    <w:rsid w:val="353C0AD7"/>
    <w:rsid w:val="3B2B6289"/>
    <w:rsid w:val="3CCA3DC7"/>
    <w:rsid w:val="4D457C38"/>
    <w:rsid w:val="4E31105E"/>
    <w:rsid w:val="4ECD6109"/>
    <w:rsid w:val="517E1B32"/>
    <w:rsid w:val="521C582E"/>
    <w:rsid w:val="555C287A"/>
    <w:rsid w:val="55D03A95"/>
    <w:rsid w:val="56E47737"/>
    <w:rsid w:val="599F2F96"/>
    <w:rsid w:val="5D6176A7"/>
    <w:rsid w:val="5FAE484C"/>
    <w:rsid w:val="60CD06DE"/>
    <w:rsid w:val="616E0F8F"/>
    <w:rsid w:val="66540FAC"/>
    <w:rsid w:val="6E3F6EF2"/>
    <w:rsid w:val="6FE15325"/>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6390</Words>
  <Characters>6687</Characters>
  <Lines>58</Lines>
  <Paragraphs>16</Paragraphs>
  <TotalTime>1</TotalTime>
  <ScaleCrop>false</ScaleCrop>
  <LinksUpToDate>false</LinksUpToDate>
  <CharactersWithSpaces>6712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2022-08-30T09:34:39Z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