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00" w:firstLineChars="200"/>
        <w:rPr>
          <w:color w:val="auto"/>
          <w:highlight w:val="none"/>
        </w:rPr>
      </w:pPr>
    </w:p>
    <w:p>
      <w:pPr>
        <w:spacing w:line="560" w:lineRule="exact"/>
        <w:ind w:firstLine="600" w:firstLineChars="200"/>
        <w:rPr>
          <w:color w:val="auto"/>
          <w:highlight w:val="none"/>
        </w:rPr>
      </w:pPr>
    </w:p>
    <w:p>
      <w:pPr>
        <w:spacing w:line="560" w:lineRule="exact"/>
        <w:ind w:firstLine="600" w:firstLineChars="200"/>
        <w:rPr>
          <w:color w:val="auto"/>
          <w:highlight w:val="none"/>
        </w:rPr>
      </w:pPr>
    </w:p>
    <w:p>
      <w:pPr>
        <w:spacing w:line="560" w:lineRule="exact"/>
        <w:ind w:firstLine="600" w:firstLineChars="200"/>
        <w:rPr>
          <w:color w:val="auto"/>
          <w:highlight w:val="none"/>
        </w:rPr>
      </w:pPr>
    </w:p>
    <w:p>
      <w:pPr>
        <w:spacing w:line="560" w:lineRule="exact"/>
        <w:ind w:firstLine="600" w:firstLineChars="200"/>
        <w:rPr>
          <w:color w:val="auto"/>
          <w:highlight w:val="none"/>
        </w:rPr>
      </w:pPr>
    </w:p>
    <w:p>
      <w:pPr>
        <w:spacing w:line="560" w:lineRule="exact"/>
        <w:ind w:firstLine="600" w:firstLineChars="200"/>
        <w:rPr>
          <w:color w:val="auto"/>
          <w:highlight w:val="none"/>
        </w:rPr>
      </w:pPr>
    </w:p>
    <w:p>
      <w:pPr>
        <w:spacing w:line="560" w:lineRule="exact"/>
        <w:jc w:val="center"/>
        <w:rPr>
          <w:rFonts w:ascii="方正小标宋_GBK" w:hAnsi="华文中宋" w:eastAsia="方正小标宋_GBK" w:cs="宋体"/>
          <w:b/>
          <w:color w:val="auto"/>
          <w:kern w:val="0"/>
          <w:sz w:val="48"/>
          <w:szCs w:val="48"/>
          <w:highlight w:val="none"/>
        </w:rPr>
      </w:pPr>
      <w:r>
        <w:rPr>
          <w:rFonts w:hint="eastAsia" w:ascii="方正小标宋_GBK" w:hAnsi="华文中宋" w:eastAsia="方正小标宋_GBK" w:cs="宋体"/>
          <w:b/>
          <w:color w:val="auto"/>
          <w:kern w:val="0"/>
          <w:sz w:val="48"/>
          <w:szCs w:val="48"/>
          <w:highlight w:val="none"/>
        </w:rPr>
        <w:t>新疆维吾尔自治区县级融媒体建设项目中央专项转移支付</w:t>
      </w:r>
    </w:p>
    <w:p>
      <w:pPr>
        <w:spacing w:line="560" w:lineRule="exact"/>
        <w:jc w:val="center"/>
        <w:rPr>
          <w:rFonts w:ascii="方正小标宋_GBK" w:hAnsi="华文中宋" w:eastAsia="方正小标宋_GBK" w:cs="宋体"/>
          <w:b/>
          <w:color w:val="auto"/>
          <w:kern w:val="0"/>
          <w:sz w:val="48"/>
          <w:szCs w:val="48"/>
          <w:highlight w:val="none"/>
        </w:rPr>
      </w:pPr>
      <w:r>
        <w:rPr>
          <w:rFonts w:hint="eastAsia" w:ascii="方正小标宋_GBK" w:hAnsi="华文中宋" w:eastAsia="方正小标宋_GBK" w:cs="宋体"/>
          <w:b/>
          <w:color w:val="auto"/>
          <w:kern w:val="0"/>
          <w:sz w:val="48"/>
          <w:szCs w:val="48"/>
          <w:highlight w:val="none"/>
        </w:rPr>
        <w:t>绩效自评报告</w:t>
      </w:r>
    </w:p>
    <w:p>
      <w:pPr>
        <w:spacing w:line="560" w:lineRule="exact"/>
        <w:ind w:firstLine="720" w:firstLineChars="200"/>
        <w:rPr>
          <w:color w:val="auto"/>
          <w:sz w:val="36"/>
          <w:szCs w:val="36"/>
          <w:highlight w:val="none"/>
        </w:rPr>
      </w:pPr>
    </w:p>
    <w:p>
      <w:pPr>
        <w:spacing w:line="560" w:lineRule="exact"/>
        <w:ind w:firstLine="720" w:firstLineChars="200"/>
        <w:jc w:val="center"/>
        <w:rPr>
          <w:color w:val="auto"/>
          <w:sz w:val="36"/>
          <w:szCs w:val="36"/>
          <w:highlight w:val="none"/>
        </w:rPr>
      </w:pPr>
      <w:r>
        <w:rPr>
          <w:rFonts w:hint="eastAsia"/>
          <w:color w:val="auto"/>
          <w:sz w:val="36"/>
          <w:szCs w:val="36"/>
          <w:highlight w:val="none"/>
        </w:rPr>
        <w:t>（</w:t>
      </w:r>
      <w:r>
        <w:rPr>
          <w:color w:val="auto"/>
          <w:sz w:val="36"/>
          <w:szCs w:val="36"/>
          <w:highlight w:val="none"/>
        </w:rPr>
        <w:t xml:space="preserve"> </w:t>
      </w:r>
      <w:r>
        <w:rPr>
          <w:rFonts w:hint="eastAsia"/>
          <w:color w:val="auto"/>
          <w:sz w:val="36"/>
          <w:szCs w:val="36"/>
          <w:highlight w:val="none"/>
        </w:rPr>
        <w:t>2021</w:t>
      </w:r>
      <w:r>
        <w:rPr>
          <w:color w:val="auto"/>
          <w:sz w:val="36"/>
          <w:szCs w:val="36"/>
          <w:highlight w:val="none"/>
        </w:rPr>
        <w:t xml:space="preserve"> </w:t>
      </w:r>
      <w:r>
        <w:rPr>
          <w:rFonts w:hint="eastAsia"/>
          <w:color w:val="auto"/>
          <w:sz w:val="36"/>
          <w:szCs w:val="36"/>
          <w:highlight w:val="none"/>
        </w:rPr>
        <w:t>年度）</w:t>
      </w:r>
    </w:p>
    <w:p>
      <w:pPr>
        <w:spacing w:line="560" w:lineRule="exact"/>
        <w:ind w:firstLine="720" w:firstLineChars="200"/>
        <w:jc w:val="center"/>
        <w:rPr>
          <w:color w:val="auto"/>
          <w:sz w:val="36"/>
          <w:szCs w:val="36"/>
          <w:highlight w:val="none"/>
        </w:rPr>
      </w:pPr>
    </w:p>
    <w:p>
      <w:pPr>
        <w:spacing w:line="560" w:lineRule="exact"/>
        <w:ind w:firstLine="720" w:firstLineChars="200"/>
        <w:jc w:val="center"/>
        <w:rPr>
          <w:color w:val="auto"/>
          <w:sz w:val="36"/>
          <w:szCs w:val="36"/>
          <w:highlight w:val="none"/>
        </w:rPr>
      </w:pPr>
    </w:p>
    <w:p>
      <w:pPr>
        <w:spacing w:line="560" w:lineRule="exact"/>
        <w:ind w:firstLine="720" w:firstLineChars="200"/>
        <w:rPr>
          <w:color w:val="auto"/>
          <w:sz w:val="36"/>
          <w:szCs w:val="36"/>
          <w:highlight w:val="none"/>
        </w:rPr>
      </w:pPr>
    </w:p>
    <w:p>
      <w:pPr>
        <w:spacing w:line="560" w:lineRule="exact"/>
        <w:ind w:firstLine="720" w:firstLineChars="200"/>
        <w:rPr>
          <w:color w:val="auto"/>
          <w:sz w:val="36"/>
          <w:szCs w:val="36"/>
          <w:highlight w:val="none"/>
        </w:rPr>
      </w:pPr>
    </w:p>
    <w:p>
      <w:pPr>
        <w:spacing w:line="560" w:lineRule="exact"/>
        <w:ind w:firstLine="720" w:firstLineChars="200"/>
        <w:rPr>
          <w:color w:val="auto"/>
          <w:sz w:val="36"/>
          <w:szCs w:val="36"/>
          <w:highlight w:val="none"/>
        </w:rPr>
      </w:pPr>
    </w:p>
    <w:p>
      <w:pPr>
        <w:spacing w:line="560" w:lineRule="exact"/>
        <w:ind w:firstLine="720" w:firstLineChars="200"/>
        <w:rPr>
          <w:color w:val="auto"/>
          <w:sz w:val="36"/>
          <w:szCs w:val="36"/>
          <w:highlight w:val="none"/>
        </w:rPr>
      </w:pPr>
    </w:p>
    <w:p>
      <w:pPr>
        <w:spacing w:line="560" w:lineRule="exact"/>
        <w:ind w:firstLine="720" w:firstLineChars="200"/>
        <w:rPr>
          <w:color w:val="auto"/>
          <w:highlight w:val="none"/>
        </w:rPr>
      </w:pPr>
      <w:r>
        <w:rPr>
          <w:rFonts w:hint="eastAsia"/>
          <w:color w:val="auto"/>
          <w:sz w:val="36"/>
          <w:szCs w:val="36"/>
          <w:highlight w:val="none"/>
        </w:rPr>
        <w:t>项目名称：县级融媒体建设项目</w:t>
      </w:r>
    </w:p>
    <w:p>
      <w:pPr>
        <w:spacing w:line="560" w:lineRule="exact"/>
        <w:ind w:firstLine="720" w:firstLineChars="200"/>
        <w:rPr>
          <w:color w:val="auto"/>
          <w:sz w:val="36"/>
          <w:szCs w:val="36"/>
          <w:highlight w:val="none"/>
        </w:rPr>
      </w:pPr>
      <w:r>
        <w:rPr>
          <w:rFonts w:hint="eastAsia"/>
          <w:color w:val="auto"/>
          <w:sz w:val="36"/>
          <w:szCs w:val="36"/>
          <w:highlight w:val="none"/>
        </w:rPr>
        <w:t>实施单位（公章）：和田市广播电视台</w:t>
      </w:r>
    </w:p>
    <w:p>
      <w:pPr>
        <w:ind w:firstLine="720" w:firstLineChars="200"/>
        <w:rPr>
          <w:color w:val="auto"/>
          <w:sz w:val="36"/>
          <w:szCs w:val="36"/>
          <w:highlight w:val="none"/>
        </w:rPr>
      </w:pPr>
      <w:r>
        <w:rPr>
          <w:rFonts w:hint="eastAsia"/>
          <w:color w:val="auto"/>
          <w:sz w:val="36"/>
          <w:szCs w:val="36"/>
          <w:highlight w:val="none"/>
        </w:rPr>
        <w:t>主管部门（公章）：中共和田市委宣传部</w:t>
      </w:r>
    </w:p>
    <w:p>
      <w:pPr>
        <w:spacing w:line="560" w:lineRule="exact"/>
        <w:ind w:firstLine="720" w:firstLineChars="200"/>
        <w:rPr>
          <w:color w:val="auto"/>
          <w:sz w:val="36"/>
          <w:szCs w:val="36"/>
          <w:highlight w:val="none"/>
        </w:rPr>
      </w:pPr>
      <w:r>
        <w:rPr>
          <w:rFonts w:hint="eastAsia"/>
          <w:color w:val="auto"/>
          <w:sz w:val="36"/>
          <w:szCs w:val="36"/>
          <w:highlight w:val="none"/>
        </w:rPr>
        <w:t>项目负责人（签章）：苟凯旺</w:t>
      </w:r>
    </w:p>
    <w:p>
      <w:pPr>
        <w:spacing w:line="560" w:lineRule="exact"/>
        <w:ind w:firstLine="720" w:firstLineChars="200"/>
        <w:rPr>
          <w:color w:val="auto"/>
          <w:sz w:val="36"/>
          <w:szCs w:val="36"/>
          <w:highlight w:val="none"/>
        </w:rPr>
      </w:pPr>
      <w:r>
        <w:rPr>
          <w:rFonts w:hint="eastAsia"/>
          <w:color w:val="auto"/>
          <w:sz w:val="36"/>
          <w:szCs w:val="36"/>
          <w:highlight w:val="none"/>
        </w:rPr>
        <w:t>填报时间：</w:t>
      </w:r>
      <w:r>
        <w:rPr>
          <w:color w:val="auto"/>
          <w:sz w:val="36"/>
          <w:szCs w:val="36"/>
          <w:highlight w:val="none"/>
        </w:rPr>
        <w:t xml:space="preserve"> </w:t>
      </w:r>
      <w:r>
        <w:rPr>
          <w:rFonts w:hint="eastAsia"/>
          <w:color w:val="auto"/>
          <w:sz w:val="36"/>
          <w:szCs w:val="36"/>
          <w:highlight w:val="none"/>
        </w:rPr>
        <w:t>2022年2月18日</w:t>
      </w:r>
    </w:p>
    <w:p>
      <w:pPr>
        <w:spacing w:line="560" w:lineRule="exact"/>
        <w:ind w:firstLine="600" w:firstLineChars="200"/>
        <w:rPr>
          <w:color w:val="auto"/>
          <w:highlight w:val="none"/>
        </w:rPr>
      </w:pPr>
    </w:p>
    <w:p>
      <w:pPr>
        <w:pStyle w:val="2"/>
        <w:rPr>
          <w:color w:val="auto"/>
          <w:highlight w:val="none"/>
        </w:rPr>
      </w:pPr>
    </w:p>
    <w:p>
      <w:pPr>
        <w:numPr>
          <w:ilvl w:val="0"/>
          <w:numId w:val="1"/>
        </w:numPr>
        <w:spacing w:line="560" w:lineRule="exact"/>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绩效目标分解下达情况</w:t>
      </w:r>
    </w:p>
    <w:p>
      <w:pPr>
        <w:spacing w:line="560" w:lineRule="exact"/>
        <w:ind w:firstLine="627" w:firstLineChars="200"/>
        <w:rPr>
          <w:rStyle w:val="5"/>
          <w:rFonts w:ascii="楷体" w:hAnsi="楷体" w:eastAsia="楷体"/>
          <w:color w:val="auto"/>
          <w:spacing w:val="-4"/>
          <w:highlight w:val="none"/>
        </w:rPr>
      </w:pPr>
      <w:r>
        <w:rPr>
          <w:rStyle w:val="5"/>
          <w:rFonts w:hint="eastAsia" w:ascii="楷体" w:hAnsi="楷体" w:eastAsia="楷体"/>
          <w:color w:val="auto"/>
          <w:spacing w:val="-4"/>
          <w:sz w:val="32"/>
          <w:szCs w:val="32"/>
          <w:highlight w:val="none"/>
        </w:rPr>
        <w:t>（一）中央下达专项转移支付预算和绩效目标情况</w:t>
      </w:r>
      <w:r>
        <w:rPr>
          <w:rStyle w:val="5"/>
          <w:rFonts w:hint="eastAsia" w:ascii="楷体" w:hAnsi="楷体" w:eastAsia="楷体"/>
          <w:color w:val="auto"/>
          <w:spacing w:val="-4"/>
          <w:highlight w:val="none"/>
        </w:rPr>
        <w:t>。</w:t>
      </w:r>
    </w:p>
    <w:p>
      <w:pPr>
        <w:spacing w:line="560" w:lineRule="exact"/>
        <w:ind w:firstLine="643" w:firstLineChars="200"/>
        <w:rPr>
          <w:rFonts w:hint="eastAsia" w:ascii="仿宋_GB2312" w:hAnsi="仿宋"/>
          <w:b/>
          <w:bCs w:val="0"/>
          <w:color w:val="auto"/>
          <w:sz w:val="32"/>
          <w:szCs w:val="32"/>
          <w:highlight w:val="none"/>
        </w:rPr>
      </w:pPr>
      <w:r>
        <w:rPr>
          <w:rFonts w:hint="eastAsia" w:ascii="仿宋_GB2312" w:hAnsi="仿宋"/>
          <w:b/>
          <w:bCs w:val="0"/>
          <w:color w:val="auto"/>
          <w:sz w:val="32"/>
          <w:szCs w:val="32"/>
          <w:highlight w:val="none"/>
          <w:lang w:val="en-US" w:eastAsia="zh-CN"/>
        </w:rPr>
        <w:t>1.</w:t>
      </w:r>
      <w:r>
        <w:rPr>
          <w:rFonts w:hint="eastAsia" w:ascii="仿宋_GB2312" w:hAnsi="仿宋"/>
          <w:b/>
          <w:bCs w:val="0"/>
          <w:color w:val="auto"/>
          <w:sz w:val="32"/>
          <w:szCs w:val="32"/>
          <w:highlight w:val="none"/>
        </w:rPr>
        <w:t>预算情况：</w:t>
      </w:r>
    </w:p>
    <w:p>
      <w:pPr>
        <w:spacing w:line="560" w:lineRule="exact"/>
        <w:ind w:firstLine="640" w:firstLineChars="200"/>
        <w:rPr>
          <w:rFonts w:hint="eastAsia" w:ascii="仿宋_GB2312" w:hAnsi="Calibri"/>
          <w:bCs/>
          <w:color w:val="auto"/>
          <w:sz w:val="32"/>
          <w:szCs w:val="32"/>
          <w:highlight w:val="none"/>
        </w:rPr>
      </w:pPr>
      <w:r>
        <w:rPr>
          <w:rFonts w:hint="eastAsia" w:ascii="仿宋_GB2312" w:hAnsi="Calibri"/>
          <w:bCs/>
          <w:color w:val="auto"/>
          <w:sz w:val="32"/>
          <w:szCs w:val="32"/>
          <w:highlight w:val="none"/>
        </w:rPr>
        <w:t>根据和地财教</w:t>
      </w:r>
      <w:r>
        <w:rPr>
          <w:rFonts w:hint="eastAsia" w:ascii="仿宋_GB2312" w:hAnsi="仿宋_GB2312" w:cs="仿宋_GB2312"/>
          <w:color w:val="auto"/>
          <w:sz w:val="32"/>
          <w:highlight w:val="none"/>
          <w:lang w:val="en-US" w:eastAsia="zh-CN"/>
        </w:rPr>
        <w:t>〔2021〕</w:t>
      </w:r>
      <w:r>
        <w:rPr>
          <w:rFonts w:hint="eastAsia" w:ascii="仿宋_GB2312" w:hAnsi="Calibri"/>
          <w:bCs/>
          <w:color w:val="auto"/>
          <w:sz w:val="32"/>
          <w:szCs w:val="32"/>
          <w:highlight w:val="none"/>
        </w:rPr>
        <w:t>24号，下达2021年中央支持地方公共文化服务体系建设补助资金预算(县级融媒体中心建设项目）资金40万元。</w:t>
      </w:r>
    </w:p>
    <w:p>
      <w:pPr>
        <w:spacing w:line="560" w:lineRule="exact"/>
        <w:ind w:firstLine="643" w:firstLineChars="200"/>
        <w:rPr>
          <w:rFonts w:hint="eastAsia" w:ascii="仿宋_GB2312" w:hAnsi="Calibri"/>
          <w:b/>
          <w:bCs w:val="0"/>
          <w:color w:val="auto"/>
          <w:sz w:val="32"/>
          <w:szCs w:val="32"/>
          <w:highlight w:val="none"/>
        </w:rPr>
      </w:pPr>
      <w:r>
        <w:rPr>
          <w:rFonts w:hint="eastAsia" w:ascii="仿宋_GB2312" w:hAnsi="Calibri"/>
          <w:b/>
          <w:bCs w:val="0"/>
          <w:color w:val="auto"/>
          <w:sz w:val="32"/>
          <w:szCs w:val="32"/>
          <w:highlight w:val="none"/>
          <w:lang w:val="en-US" w:eastAsia="zh-CN"/>
        </w:rPr>
        <w:t>2.</w:t>
      </w:r>
      <w:r>
        <w:rPr>
          <w:rFonts w:hint="eastAsia" w:ascii="仿宋_GB2312" w:hAnsi="Calibri"/>
          <w:b/>
          <w:bCs w:val="0"/>
          <w:color w:val="auto"/>
          <w:sz w:val="32"/>
          <w:szCs w:val="32"/>
          <w:highlight w:val="none"/>
        </w:rPr>
        <w:t>绩效目标：</w:t>
      </w:r>
    </w:p>
    <w:p>
      <w:pPr>
        <w:spacing w:line="560" w:lineRule="exact"/>
        <w:ind w:firstLine="640" w:firstLineChars="200"/>
        <w:rPr>
          <w:rFonts w:hint="eastAsia" w:ascii="仿宋_GB2312" w:hAnsi="Calibri"/>
          <w:bCs/>
          <w:color w:val="auto"/>
          <w:sz w:val="32"/>
          <w:szCs w:val="32"/>
          <w:highlight w:val="none"/>
        </w:rPr>
      </w:pPr>
      <w:r>
        <w:rPr>
          <w:rFonts w:hint="eastAsia" w:ascii="仿宋_GB2312" w:hAnsi="Calibri"/>
          <w:bCs/>
          <w:color w:val="auto"/>
          <w:sz w:val="32"/>
          <w:szCs w:val="32"/>
          <w:highlight w:val="none"/>
        </w:rPr>
        <w:t>专项资金文件要求，中央下达年度总目标为：县级融媒体中心建成以专门的移动客户端为主要载体的移动传播矩阵，传播力、引导力、影响力、公信力明显提升，提供满足县域群众基本要求的线上政务服务。</w:t>
      </w:r>
    </w:p>
    <w:p>
      <w:pPr>
        <w:spacing w:line="560" w:lineRule="exact"/>
        <w:ind w:firstLine="640" w:firstLineChars="200"/>
        <w:rPr>
          <w:rStyle w:val="5"/>
          <w:rFonts w:ascii="黑体" w:hAnsi="黑体" w:eastAsia="黑体"/>
          <w:b w:val="0"/>
          <w:color w:val="auto"/>
          <w:spacing w:val="-4"/>
          <w:highlight w:val="none"/>
        </w:rPr>
      </w:pPr>
      <w:r>
        <w:rPr>
          <w:rFonts w:hint="eastAsia" w:ascii="黑体" w:hAnsi="黑体" w:eastAsia="黑体"/>
          <w:color w:val="auto"/>
          <w:sz w:val="32"/>
          <w:szCs w:val="32"/>
          <w:highlight w:val="none"/>
        </w:rPr>
        <w:t>二、绩效目标完成情况分析</w:t>
      </w:r>
    </w:p>
    <w:p>
      <w:pPr>
        <w:spacing w:line="560" w:lineRule="exact"/>
        <w:ind w:firstLine="627" w:firstLineChars="200"/>
        <w:rPr>
          <w:rStyle w:val="5"/>
          <w:rFonts w:ascii="楷体" w:hAnsi="楷体" w:eastAsia="楷体"/>
          <w:color w:val="auto"/>
          <w:spacing w:val="-4"/>
          <w:sz w:val="32"/>
          <w:szCs w:val="32"/>
          <w:highlight w:val="none"/>
        </w:rPr>
      </w:pPr>
      <w:r>
        <w:rPr>
          <w:rStyle w:val="5"/>
          <w:rFonts w:hint="eastAsia" w:ascii="楷体" w:hAnsi="楷体" w:eastAsia="楷体"/>
          <w:color w:val="auto"/>
          <w:spacing w:val="-4"/>
          <w:sz w:val="32"/>
          <w:szCs w:val="32"/>
          <w:highlight w:val="none"/>
        </w:rPr>
        <w:t>（一）资金投入情</w:t>
      </w:r>
      <w:bookmarkStart w:id="0" w:name="_GoBack"/>
      <w:bookmarkEnd w:id="0"/>
      <w:r>
        <w:rPr>
          <w:rStyle w:val="5"/>
          <w:rFonts w:hint="eastAsia" w:ascii="楷体" w:hAnsi="楷体" w:eastAsia="楷体"/>
          <w:color w:val="auto"/>
          <w:spacing w:val="-4"/>
          <w:sz w:val="32"/>
          <w:szCs w:val="32"/>
          <w:highlight w:val="none"/>
        </w:rPr>
        <w:t>况分析。</w:t>
      </w:r>
    </w:p>
    <w:p>
      <w:pPr>
        <w:spacing w:line="560" w:lineRule="exact"/>
        <w:ind w:firstLine="627" w:firstLineChars="200"/>
        <w:rPr>
          <w:rFonts w:ascii="仿宋_GB2312" w:hAnsi="Calibri"/>
          <w:b/>
          <w:color w:val="auto"/>
          <w:sz w:val="32"/>
          <w:szCs w:val="32"/>
          <w:highlight w:val="none"/>
        </w:rPr>
      </w:pPr>
      <w:r>
        <w:rPr>
          <w:rStyle w:val="5"/>
          <w:rFonts w:hint="eastAsia" w:ascii="楷体" w:hAnsi="楷体" w:eastAsia="楷体"/>
          <w:bCs w:val="0"/>
          <w:color w:val="auto"/>
          <w:spacing w:val="-4"/>
          <w:sz w:val="32"/>
          <w:szCs w:val="32"/>
          <w:highlight w:val="none"/>
        </w:rPr>
        <w:t>1</w:t>
      </w:r>
      <w:r>
        <w:rPr>
          <w:rFonts w:hint="eastAsia" w:ascii="仿宋_GB2312" w:hAnsi="Calibri"/>
          <w:b/>
          <w:color w:val="auto"/>
          <w:sz w:val="32"/>
          <w:szCs w:val="32"/>
          <w:highlight w:val="none"/>
        </w:rPr>
        <w:t>.项目资金到位情况分析。</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根据和地财教</w:t>
      </w:r>
      <w:r>
        <w:rPr>
          <w:rFonts w:hint="eastAsia" w:ascii="仿宋_GB2312" w:hAnsi="仿宋_GB2312" w:cs="仿宋_GB2312"/>
          <w:color w:val="auto"/>
          <w:sz w:val="32"/>
          <w:highlight w:val="none"/>
          <w:lang w:val="en-US" w:eastAsia="zh-CN"/>
        </w:rPr>
        <w:t>〔2021〕</w:t>
      </w:r>
      <w:r>
        <w:rPr>
          <w:rFonts w:hint="eastAsia" w:ascii="仿宋_GB2312" w:hAnsi="Calibri"/>
          <w:bCs/>
          <w:color w:val="auto"/>
          <w:sz w:val="32"/>
          <w:szCs w:val="32"/>
          <w:highlight w:val="none"/>
        </w:rPr>
        <w:t>24号文件要求，本项目资金40万元，其中财政资金40万元，其他资金0万元，资金到位40万元；资金到位率100%。</w:t>
      </w:r>
    </w:p>
    <w:p>
      <w:pPr>
        <w:spacing w:line="560" w:lineRule="exact"/>
        <w:ind w:firstLine="643" w:firstLineChars="200"/>
        <w:rPr>
          <w:rFonts w:ascii="仿宋_GB2312" w:hAnsi="Calibri"/>
          <w:b/>
          <w:color w:val="auto"/>
          <w:sz w:val="32"/>
          <w:szCs w:val="32"/>
          <w:highlight w:val="none"/>
        </w:rPr>
      </w:pPr>
      <w:r>
        <w:rPr>
          <w:rFonts w:hint="eastAsia" w:ascii="仿宋_GB2312" w:hAnsi="Calibri"/>
          <w:b/>
          <w:color w:val="auto"/>
          <w:sz w:val="32"/>
          <w:szCs w:val="32"/>
          <w:highlight w:val="none"/>
        </w:rPr>
        <w:t>2.项目资金执行情况分析。</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根据和地财教</w:t>
      </w:r>
      <w:r>
        <w:rPr>
          <w:rFonts w:hint="eastAsia" w:ascii="仿宋_GB2312" w:hAnsi="仿宋_GB2312" w:cs="仿宋_GB2312"/>
          <w:color w:val="auto"/>
          <w:sz w:val="32"/>
          <w:highlight w:val="none"/>
          <w:lang w:val="en-US" w:eastAsia="zh-CN"/>
        </w:rPr>
        <w:t>〔2021〕</w:t>
      </w:r>
      <w:r>
        <w:rPr>
          <w:rFonts w:hint="eastAsia" w:ascii="仿宋_GB2312" w:hAnsi="Calibri"/>
          <w:bCs/>
          <w:color w:val="auto"/>
          <w:sz w:val="32"/>
          <w:szCs w:val="32"/>
          <w:highlight w:val="none"/>
        </w:rPr>
        <w:t>24号文件关于下达2021年中央支持地方公共文化服务体系建设补助资金预算(县级融媒体中心建设项目）资金40万元，本项目总资金40万元，实际支付资金0万元，预算执行率0%。结余资金全部上缴地方财政。项目资金主要用于支付客户端平台服务费用40万元。</w:t>
      </w:r>
    </w:p>
    <w:p>
      <w:pPr>
        <w:spacing w:line="560" w:lineRule="exact"/>
        <w:ind w:firstLine="643" w:firstLineChars="200"/>
        <w:rPr>
          <w:rFonts w:ascii="仿宋_GB2312" w:hAnsi="Calibri"/>
          <w:b/>
          <w:color w:val="auto"/>
          <w:sz w:val="32"/>
          <w:szCs w:val="32"/>
          <w:highlight w:val="none"/>
        </w:rPr>
      </w:pPr>
      <w:r>
        <w:rPr>
          <w:rFonts w:hint="eastAsia" w:ascii="仿宋_GB2312" w:hAnsi="Calibri"/>
          <w:b/>
          <w:color w:val="auto"/>
          <w:sz w:val="32"/>
          <w:szCs w:val="32"/>
          <w:highlight w:val="none"/>
        </w:rPr>
        <w:t>3、项目资金管理情况分析。</w:t>
      </w:r>
    </w:p>
    <w:p>
      <w:pPr>
        <w:spacing w:line="60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根据中央、自治区和</w:t>
      </w:r>
      <w:r>
        <w:rPr>
          <w:rFonts w:hint="eastAsia" w:ascii="仿宋_GB2312" w:hAnsi="Calibri"/>
          <w:bCs/>
          <w:color w:val="auto"/>
          <w:sz w:val="32"/>
          <w:szCs w:val="32"/>
          <w:highlight w:val="none"/>
          <w:lang w:eastAsia="zh-CN"/>
        </w:rPr>
        <w:t>和田</w:t>
      </w:r>
      <w:r>
        <w:rPr>
          <w:rFonts w:hint="eastAsia" w:ascii="仿宋_GB2312" w:hAnsi="Calibri"/>
          <w:bCs/>
          <w:color w:val="auto"/>
          <w:sz w:val="32"/>
          <w:szCs w:val="32"/>
          <w:highlight w:val="none"/>
        </w:rPr>
        <w:t>地区中央转移专项资金管理办法的要求和《和田市广播电视台财务管理制度》，和田市广播电视台严格按照专项资金支持的项目条件和范围要求，使用管理项目资金。并由专人负责，负责人为：苟凯旺，职务为副主任，职责为：</w:t>
      </w:r>
      <w:r>
        <w:rPr>
          <w:rStyle w:val="5"/>
          <w:rFonts w:hint="eastAsia" w:ascii="仿宋_GB2312" w:hAnsi="黑体"/>
          <w:b w:val="0"/>
          <w:color w:val="auto"/>
          <w:spacing w:val="-4"/>
          <w:sz w:val="32"/>
          <w:szCs w:val="32"/>
          <w:highlight w:val="none"/>
        </w:rPr>
        <w:t>根据各业务实际情况，向单位党组提出项目实施申请及具体开展计划措施，定期对项目执行及资金的使用情况进行自查，重点检查项目资金的使用进度，使用情况、落实情况。</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制度包括：会计人员集中核算工作管理制度、财务收支审批制度、财务稽核制度、财务牵制制度、会计主管岗位职责等制度规定。资金拨付有完整的审批程序和手续，符合制度要求；不存在截留、挤占、挪用、虚列支出等情况。</w:t>
      </w:r>
    </w:p>
    <w:p>
      <w:pPr>
        <w:spacing w:line="560" w:lineRule="exact"/>
        <w:ind w:firstLine="627" w:firstLineChars="200"/>
        <w:rPr>
          <w:rStyle w:val="5"/>
          <w:rFonts w:ascii="楷体" w:hAnsi="楷体" w:eastAsia="楷体"/>
          <w:color w:val="auto"/>
          <w:spacing w:val="-4"/>
          <w:sz w:val="32"/>
          <w:szCs w:val="32"/>
          <w:highlight w:val="none"/>
        </w:rPr>
      </w:pPr>
      <w:r>
        <w:rPr>
          <w:rStyle w:val="5"/>
          <w:rFonts w:hint="eastAsia" w:ascii="楷体" w:hAnsi="楷体" w:eastAsia="楷体"/>
          <w:color w:val="auto"/>
          <w:spacing w:val="-4"/>
          <w:sz w:val="32"/>
          <w:szCs w:val="32"/>
          <w:highlight w:val="none"/>
        </w:rPr>
        <w:t>（二）总体绩效目标完成情况分析</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县级融媒体中心建成以专门的移动客户端为主要载体的移动传播矩阵，传播力、引导力、影响力、公信力明显提升，提供满足县域群众基本要求的线上政务服务。</w:t>
      </w:r>
    </w:p>
    <w:p>
      <w:pPr>
        <w:numPr>
          <w:ilvl w:val="0"/>
          <w:numId w:val="2"/>
        </w:numPr>
        <w:spacing w:line="560" w:lineRule="exact"/>
        <w:ind w:firstLine="627" w:firstLineChars="200"/>
        <w:rPr>
          <w:rStyle w:val="5"/>
          <w:rFonts w:ascii="楷体" w:hAnsi="楷体" w:eastAsia="楷体"/>
          <w:color w:val="auto"/>
          <w:spacing w:val="-4"/>
          <w:sz w:val="32"/>
          <w:szCs w:val="32"/>
          <w:highlight w:val="none"/>
        </w:rPr>
      </w:pPr>
      <w:r>
        <w:rPr>
          <w:rStyle w:val="5"/>
          <w:rFonts w:hint="eastAsia" w:ascii="楷体" w:hAnsi="楷体" w:eastAsia="楷体"/>
          <w:color w:val="auto"/>
          <w:spacing w:val="-4"/>
          <w:sz w:val="32"/>
          <w:szCs w:val="32"/>
          <w:highlight w:val="none"/>
        </w:rPr>
        <w:t>绩效指标完成情况分析。</w:t>
      </w:r>
    </w:p>
    <w:p>
      <w:pPr>
        <w:spacing w:line="560" w:lineRule="exact"/>
        <w:ind w:firstLine="600" w:firstLineChars="200"/>
        <w:rPr>
          <w:color w:val="auto"/>
          <w:highlight w:val="none"/>
        </w:rPr>
      </w:pPr>
      <w:r>
        <w:rPr>
          <w:rFonts w:hint="eastAsia"/>
          <w:color w:val="auto"/>
          <w:highlight w:val="none"/>
        </w:rPr>
        <w:t xml:space="preserve"> </w:t>
      </w:r>
      <w:r>
        <w:rPr>
          <w:rFonts w:hint="eastAsia" w:ascii="仿宋_GB2312" w:hAnsi="Calibri"/>
          <w:bCs/>
          <w:color w:val="auto"/>
          <w:sz w:val="32"/>
          <w:szCs w:val="32"/>
          <w:highlight w:val="none"/>
        </w:rPr>
        <w:t>2021年本项目绩效目标未完成，原因：</w:t>
      </w:r>
      <w:r>
        <w:rPr>
          <w:rFonts w:hint="eastAsia" w:ascii="仿宋_GB2312" w:hAnsi="Calibri"/>
          <w:bCs/>
          <w:color w:val="auto"/>
          <w:sz w:val="32"/>
          <w:szCs w:val="32"/>
          <w:highlight w:val="none"/>
        </w:rPr>
        <w:t>服务期未满，约定次年支付服务费元，供应商未提供发票，资金未支付。</w:t>
      </w:r>
    </w:p>
    <w:p>
      <w:pPr>
        <w:spacing w:line="560" w:lineRule="exact"/>
        <w:ind w:firstLine="627" w:firstLineChars="200"/>
        <w:rPr>
          <w:rStyle w:val="5"/>
          <w:rFonts w:ascii="楷体" w:hAnsi="楷体" w:eastAsia="楷体"/>
          <w:color w:val="auto"/>
          <w:spacing w:val="-4"/>
          <w:sz w:val="32"/>
          <w:szCs w:val="32"/>
          <w:highlight w:val="none"/>
        </w:rPr>
      </w:pPr>
      <w:r>
        <w:rPr>
          <w:rStyle w:val="5"/>
          <w:rFonts w:hint="eastAsia" w:ascii="楷体" w:hAnsi="楷体" w:eastAsia="楷体"/>
          <w:color w:val="auto"/>
          <w:spacing w:val="-4"/>
          <w:sz w:val="32"/>
          <w:szCs w:val="32"/>
          <w:highlight w:val="none"/>
        </w:rPr>
        <w:t>1.产出指标完成情况分析。</w:t>
      </w:r>
    </w:p>
    <w:p>
      <w:pPr>
        <w:spacing w:line="560" w:lineRule="exact"/>
        <w:ind w:firstLine="586" w:firstLineChars="200"/>
        <w:rPr>
          <w:rFonts w:ascii="仿宋_GB2312" w:hAnsi="Calibri"/>
          <w:bCs/>
          <w:color w:val="auto"/>
          <w:sz w:val="32"/>
          <w:szCs w:val="32"/>
          <w:highlight w:val="none"/>
        </w:rPr>
      </w:pPr>
      <w:r>
        <w:rPr>
          <w:rStyle w:val="5"/>
          <w:rFonts w:hint="eastAsia" w:ascii="楷体" w:hAnsi="楷体" w:eastAsia="楷体"/>
          <w:bCs w:val="0"/>
          <w:color w:val="auto"/>
          <w:spacing w:val="-4"/>
          <w:highlight w:val="none"/>
        </w:rPr>
        <w:t>（</w:t>
      </w:r>
      <w:r>
        <w:rPr>
          <w:rFonts w:hint="eastAsia" w:ascii="仿宋_GB2312" w:hAnsi="Calibri"/>
          <w:b/>
          <w:color w:val="auto"/>
          <w:sz w:val="32"/>
          <w:szCs w:val="32"/>
          <w:highlight w:val="none"/>
        </w:rPr>
        <w:t>1）数量指标完成情况</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融媒体中心建设数量，预期指标是1个，实际完成值是1个，指标完成率是100%。</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客户端平台数量，预期指标是1个，实际完成值是1个，指标完成率是100%。</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数量指标共计2个，完成2个，达到预期目标,数量指标完成。</w:t>
      </w:r>
    </w:p>
    <w:p>
      <w:pPr>
        <w:spacing w:line="560" w:lineRule="exact"/>
        <w:ind w:firstLine="643" w:firstLineChars="200"/>
        <w:rPr>
          <w:rFonts w:ascii="仿宋_GB2312" w:hAnsi="Calibri"/>
          <w:b/>
          <w:color w:val="auto"/>
          <w:sz w:val="32"/>
          <w:szCs w:val="32"/>
          <w:highlight w:val="none"/>
        </w:rPr>
      </w:pPr>
      <w:r>
        <w:rPr>
          <w:rFonts w:hint="eastAsia" w:ascii="仿宋_GB2312" w:hAnsi="Calibri"/>
          <w:b/>
          <w:color w:val="auto"/>
          <w:sz w:val="32"/>
          <w:szCs w:val="32"/>
          <w:highlight w:val="none"/>
        </w:rPr>
        <w:t>（2）质量指标完成情况</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地方县域重大事件县级融媒体首报率，预期指标是大于等于98%，实际完成值是98%，指标完成率是100%。</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提供线上政务服务率，预期指标是大于等于90%，实际完成值是92%，指标完成率是100%。</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质量指标共计2个，完成2个，达到预期目标，质量指标完成。</w:t>
      </w:r>
    </w:p>
    <w:p>
      <w:pPr>
        <w:spacing w:line="560" w:lineRule="exact"/>
        <w:ind w:firstLine="643" w:firstLineChars="200"/>
        <w:rPr>
          <w:rFonts w:ascii="仿宋_GB2312" w:hAnsi="Calibri"/>
          <w:b/>
          <w:color w:val="auto"/>
          <w:sz w:val="32"/>
          <w:szCs w:val="32"/>
          <w:highlight w:val="none"/>
        </w:rPr>
      </w:pPr>
      <w:r>
        <w:rPr>
          <w:rFonts w:hint="eastAsia" w:ascii="仿宋_GB2312" w:hAnsi="Calibri"/>
          <w:b/>
          <w:color w:val="auto"/>
          <w:sz w:val="32"/>
          <w:szCs w:val="32"/>
          <w:highlight w:val="none"/>
        </w:rPr>
        <w:t>（3）时效指标完成情况</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资金拨付及时率，预期指标是100%，实际完成值是100%，指标完成率是100%。</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项目完成时间，预期指标是2021年12月，实际完成值是2021年12月，指标完成率是100%。</w:t>
      </w:r>
    </w:p>
    <w:p>
      <w:pPr>
        <w:spacing w:line="560" w:lineRule="exact"/>
        <w:ind w:left="318" w:leftChars="106"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时效指标共计2个，完成2个，达到预期目标，时效指标完成。</w:t>
      </w:r>
    </w:p>
    <w:p>
      <w:pPr>
        <w:spacing w:line="560" w:lineRule="exact"/>
        <w:ind w:firstLine="643" w:firstLineChars="200"/>
        <w:rPr>
          <w:rFonts w:ascii="仿宋_GB2312" w:hAnsi="Calibri"/>
          <w:b/>
          <w:color w:val="auto"/>
          <w:sz w:val="32"/>
          <w:szCs w:val="32"/>
          <w:highlight w:val="none"/>
        </w:rPr>
      </w:pPr>
      <w:r>
        <w:rPr>
          <w:rFonts w:hint="eastAsia" w:ascii="仿宋_GB2312" w:hAnsi="Calibri"/>
          <w:b/>
          <w:color w:val="auto"/>
          <w:sz w:val="32"/>
          <w:szCs w:val="32"/>
          <w:highlight w:val="none"/>
        </w:rPr>
        <w:t>（4）成本指标完成情况</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客户端平台服务费，预期指标是40万元/</w:t>
      </w:r>
      <w:r>
        <w:rPr>
          <w:rFonts w:ascii="仿宋_GB2312" w:hAnsi="Calibri"/>
          <w:bCs/>
          <w:color w:val="auto"/>
          <w:sz w:val="32"/>
          <w:szCs w:val="32"/>
          <w:highlight w:val="none"/>
        </w:rPr>
        <w:t>个</w:t>
      </w:r>
      <w:r>
        <w:rPr>
          <w:rFonts w:hint="eastAsia" w:ascii="仿宋_GB2312" w:hAnsi="Calibri"/>
          <w:bCs/>
          <w:color w:val="auto"/>
          <w:sz w:val="32"/>
          <w:szCs w:val="32"/>
          <w:highlight w:val="none"/>
        </w:rPr>
        <w:t>，实际完成值是0万元/</w:t>
      </w:r>
      <w:r>
        <w:rPr>
          <w:rFonts w:ascii="仿宋_GB2312" w:hAnsi="Calibri"/>
          <w:bCs/>
          <w:color w:val="auto"/>
          <w:sz w:val="32"/>
          <w:szCs w:val="32"/>
          <w:highlight w:val="none"/>
        </w:rPr>
        <w:t>个</w:t>
      </w:r>
      <w:r>
        <w:rPr>
          <w:rFonts w:hint="eastAsia" w:ascii="仿宋_GB2312" w:hAnsi="Calibri"/>
          <w:bCs/>
          <w:color w:val="auto"/>
          <w:sz w:val="32"/>
          <w:szCs w:val="32"/>
          <w:highlight w:val="none"/>
        </w:rPr>
        <w:t>，指标完成率是0%。原因：服务期未满，约定次年支付服务费，供应商未提供发票，资金未支付。</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成本指标共计1个，完成0个，成本指标未达到预期目标，措施：加快申请资金速度，督促供应商提供发票，及时支付资金。</w:t>
      </w:r>
    </w:p>
    <w:p>
      <w:pPr>
        <w:spacing w:line="560" w:lineRule="exact"/>
        <w:ind w:firstLine="627" w:firstLineChars="200"/>
        <w:rPr>
          <w:rStyle w:val="5"/>
          <w:rFonts w:ascii="楷体" w:hAnsi="楷体" w:eastAsia="楷体"/>
          <w:color w:val="auto"/>
          <w:spacing w:val="-4"/>
          <w:sz w:val="32"/>
          <w:szCs w:val="32"/>
          <w:highlight w:val="none"/>
        </w:rPr>
      </w:pPr>
      <w:r>
        <w:rPr>
          <w:rStyle w:val="5"/>
          <w:rFonts w:hint="eastAsia" w:ascii="楷体" w:hAnsi="楷体" w:eastAsia="楷体"/>
          <w:color w:val="auto"/>
          <w:spacing w:val="-4"/>
          <w:sz w:val="32"/>
          <w:szCs w:val="32"/>
          <w:highlight w:val="none"/>
        </w:rPr>
        <w:t>2.效益指标完成情况分析。</w:t>
      </w:r>
    </w:p>
    <w:p>
      <w:pPr>
        <w:spacing w:line="560" w:lineRule="exact"/>
        <w:ind w:firstLine="643" w:firstLineChars="200"/>
        <w:rPr>
          <w:rFonts w:ascii="仿宋_GB2312" w:hAnsi="Calibri"/>
          <w:b/>
          <w:color w:val="auto"/>
          <w:sz w:val="32"/>
          <w:szCs w:val="32"/>
          <w:highlight w:val="none"/>
        </w:rPr>
      </w:pPr>
      <w:r>
        <w:rPr>
          <w:rFonts w:hint="eastAsia" w:ascii="仿宋_GB2312" w:hAnsi="Calibri"/>
          <w:b/>
          <w:color w:val="auto"/>
          <w:sz w:val="32"/>
          <w:szCs w:val="32"/>
          <w:highlight w:val="none"/>
        </w:rPr>
        <w:t>（1）项目实施的经济效益分析。</w:t>
      </w:r>
    </w:p>
    <w:p>
      <w:pPr>
        <w:spacing w:line="560" w:lineRule="exact"/>
        <w:ind w:firstLine="960" w:firstLineChars="300"/>
        <w:rPr>
          <w:rFonts w:hint="eastAsia" w:ascii="仿宋_GB2312" w:hAnsi="Calibri" w:eastAsia="仿宋_GB2312"/>
          <w:bCs/>
          <w:color w:val="auto"/>
          <w:sz w:val="32"/>
          <w:szCs w:val="32"/>
          <w:highlight w:val="none"/>
          <w:lang w:val="en-US" w:eastAsia="zh-CN"/>
        </w:rPr>
      </w:pPr>
      <w:r>
        <w:rPr>
          <w:rFonts w:hint="eastAsia" w:ascii="仿宋_GB2312" w:hAnsi="Calibri"/>
          <w:bCs/>
          <w:color w:val="auto"/>
          <w:sz w:val="32"/>
          <w:szCs w:val="32"/>
          <w:highlight w:val="none"/>
        </w:rPr>
        <w:t>无</w:t>
      </w:r>
      <w:r>
        <w:rPr>
          <w:rFonts w:hint="eastAsia" w:ascii="仿宋_GB2312" w:hAnsi="Calibri"/>
          <w:bCs/>
          <w:color w:val="auto"/>
          <w:sz w:val="32"/>
          <w:szCs w:val="32"/>
          <w:highlight w:val="none"/>
          <w:lang w:eastAsia="zh-CN"/>
        </w:rPr>
        <w:t>。</w:t>
      </w:r>
    </w:p>
    <w:p>
      <w:pPr>
        <w:spacing w:line="560" w:lineRule="exact"/>
        <w:ind w:firstLine="643" w:firstLineChars="200"/>
        <w:rPr>
          <w:rFonts w:ascii="仿宋_GB2312" w:hAnsi="Calibri"/>
          <w:b/>
          <w:color w:val="auto"/>
          <w:sz w:val="32"/>
          <w:szCs w:val="32"/>
          <w:highlight w:val="none"/>
        </w:rPr>
      </w:pPr>
      <w:r>
        <w:rPr>
          <w:rFonts w:hint="eastAsia" w:ascii="仿宋_GB2312" w:hAnsi="Calibri"/>
          <w:b/>
          <w:color w:val="auto"/>
          <w:sz w:val="32"/>
          <w:szCs w:val="32"/>
          <w:highlight w:val="none"/>
        </w:rPr>
        <w:t>（2）项目实施的社会效益分析。</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各类传播平台覆盖人数占县域常驻人口比例，预期指标是大于等于60%，实际完成值是60%，指标完成率是100%。</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各类服务活动覆盖人数占县域常住人口比例，预期指标是大于等于60%，实际完成值是60%，指标完成率是100%。</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社会效益指标共计2个，完成2个，达到预期目标，社会效益指标完成。</w:t>
      </w:r>
    </w:p>
    <w:p>
      <w:pPr>
        <w:spacing w:line="560" w:lineRule="exact"/>
        <w:ind w:firstLine="643" w:firstLineChars="200"/>
        <w:rPr>
          <w:rFonts w:ascii="仿宋_GB2312" w:hAnsi="Calibri"/>
          <w:b/>
          <w:color w:val="auto"/>
          <w:sz w:val="32"/>
          <w:szCs w:val="32"/>
          <w:highlight w:val="none"/>
        </w:rPr>
      </w:pPr>
      <w:r>
        <w:rPr>
          <w:rFonts w:hint="eastAsia" w:ascii="仿宋_GB2312" w:hAnsi="Calibri"/>
          <w:b/>
          <w:color w:val="auto"/>
          <w:sz w:val="32"/>
          <w:szCs w:val="32"/>
          <w:highlight w:val="none"/>
        </w:rPr>
        <w:t>（3）项目实施的生态效益分析。</w:t>
      </w:r>
    </w:p>
    <w:p>
      <w:pPr>
        <w:spacing w:line="560" w:lineRule="exact"/>
        <w:ind w:firstLine="960" w:firstLineChars="300"/>
        <w:rPr>
          <w:rFonts w:hint="eastAsia" w:ascii="仿宋_GB2312" w:hAnsi="Calibri" w:eastAsia="仿宋_GB2312"/>
          <w:bCs/>
          <w:color w:val="auto"/>
          <w:sz w:val="32"/>
          <w:szCs w:val="32"/>
          <w:highlight w:val="none"/>
          <w:lang w:eastAsia="zh-CN"/>
        </w:rPr>
      </w:pPr>
      <w:r>
        <w:rPr>
          <w:rFonts w:hint="eastAsia" w:ascii="仿宋_GB2312" w:hAnsi="Calibri"/>
          <w:bCs/>
          <w:color w:val="auto"/>
          <w:sz w:val="32"/>
          <w:szCs w:val="32"/>
          <w:highlight w:val="none"/>
        </w:rPr>
        <w:t>无</w:t>
      </w:r>
      <w:r>
        <w:rPr>
          <w:rFonts w:hint="eastAsia" w:ascii="仿宋_GB2312" w:hAnsi="Calibri"/>
          <w:bCs/>
          <w:color w:val="auto"/>
          <w:sz w:val="32"/>
          <w:szCs w:val="32"/>
          <w:highlight w:val="none"/>
          <w:lang w:eastAsia="zh-CN"/>
        </w:rPr>
        <w:t>。</w:t>
      </w:r>
    </w:p>
    <w:p>
      <w:pPr>
        <w:spacing w:line="560" w:lineRule="exact"/>
        <w:ind w:firstLine="643" w:firstLineChars="200"/>
        <w:rPr>
          <w:rFonts w:ascii="仿宋_GB2312" w:hAnsi="Calibri"/>
          <w:b/>
          <w:color w:val="auto"/>
          <w:sz w:val="32"/>
          <w:szCs w:val="32"/>
          <w:highlight w:val="none"/>
        </w:rPr>
      </w:pPr>
      <w:r>
        <w:rPr>
          <w:rFonts w:hint="eastAsia" w:ascii="仿宋_GB2312" w:hAnsi="Calibri"/>
          <w:b/>
          <w:color w:val="auto"/>
          <w:sz w:val="32"/>
          <w:szCs w:val="32"/>
          <w:highlight w:val="none"/>
        </w:rPr>
        <w:t>（4）项目实施的可持续影响分析。</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为融媒体中心提供技术支撑，预期指标是大于等于1年，实际完成值是1年，指标完成率是100%。</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可持续指标共计1个，完成1个，达到预期目标，可持续影响指标完成。</w:t>
      </w:r>
    </w:p>
    <w:p>
      <w:pPr>
        <w:spacing w:line="560" w:lineRule="exact"/>
        <w:ind w:firstLine="627" w:firstLineChars="200"/>
        <w:rPr>
          <w:rStyle w:val="5"/>
          <w:rFonts w:ascii="楷体" w:hAnsi="楷体" w:eastAsia="楷体"/>
          <w:color w:val="auto"/>
          <w:spacing w:val="-4"/>
          <w:sz w:val="32"/>
          <w:szCs w:val="32"/>
          <w:highlight w:val="none"/>
        </w:rPr>
      </w:pPr>
      <w:r>
        <w:rPr>
          <w:rStyle w:val="5"/>
          <w:rFonts w:hint="eastAsia" w:ascii="楷体" w:hAnsi="楷体" w:eastAsia="楷体"/>
          <w:color w:val="auto"/>
          <w:spacing w:val="-4"/>
          <w:sz w:val="32"/>
          <w:szCs w:val="32"/>
          <w:highlight w:val="none"/>
        </w:rPr>
        <w:t>3.满意度指标完成情况分析。</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按计划完成项目实施，已做满意度调查问卷（满意度调查会议），调查人数20人，其中满意19人，不满意1人，县级融媒体建设项目满意率达95%，服务对象满意度指标完成。</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按计划完成项目实施，已做满意度调查问卷，具体如下：</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受益群众满意度，预期指标是大于等于95%，实际完成值是95%，指标完成率是100%。</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满意度指标共计1个，完成1个，达到预期目标，服务对象满意度指标完成。</w:t>
      </w:r>
    </w:p>
    <w:p>
      <w:pPr>
        <w:spacing w:line="560" w:lineRule="exact"/>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三、偏离绩效目标的原因和下一步改进措施</w:t>
      </w:r>
    </w:p>
    <w:p>
      <w:pPr>
        <w:spacing w:line="560" w:lineRule="exact"/>
        <w:ind w:firstLine="627" w:firstLineChars="200"/>
        <w:rPr>
          <w:rStyle w:val="5"/>
          <w:rFonts w:ascii="楷体" w:hAnsi="楷体" w:eastAsia="楷体"/>
          <w:color w:val="auto"/>
          <w:spacing w:val="-4"/>
          <w:sz w:val="32"/>
          <w:szCs w:val="32"/>
          <w:highlight w:val="none"/>
        </w:rPr>
      </w:pPr>
      <w:r>
        <w:rPr>
          <w:rStyle w:val="5"/>
          <w:rFonts w:hint="eastAsia" w:ascii="楷体" w:hAnsi="楷体" w:eastAsia="楷体"/>
          <w:color w:val="auto"/>
          <w:spacing w:val="-4"/>
          <w:sz w:val="32"/>
          <w:szCs w:val="32"/>
          <w:highlight w:val="none"/>
        </w:rPr>
        <w:t>（一）偏离绩效目标的原因</w:t>
      </w:r>
    </w:p>
    <w:p>
      <w:pPr>
        <w:pStyle w:val="2"/>
        <w:spacing w:before="0" w:after="0" w:line="560" w:lineRule="exact"/>
        <w:ind w:firstLine="640" w:firstLineChars="200"/>
        <w:rPr>
          <w:rFonts w:ascii="仿宋_GB2312" w:hAnsi="Calibri"/>
          <w:b w:val="0"/>
          <w:color w:val="auto"/>
          <w:highlight w:val="none"/>
        </w:rPr>
      </w:pPr>
      <w:r>
        <w:rPr>
          <w:rFonts w:hint="eastAsia" w:ascii="仿宋_GB2312" w:hAnsi="Calibri"/>
          <w:b w:val="0"/>
          <w:color w:val="auto"/>
          <w:highlight w:val="none"/>
        </w:rPr>
        <w:t>服务期未满，约定次年支付服务费元，供应商未提供发票，资金未支付。</w:t>
      </w:r>
    </w:p>
    <w:p>
      <w:pPr>
        <w:spacing w:line="560" w:lineRule="exact"/>
        <w:ind w:firstLine="627" w:firstLineChars="200"/>
        <w:rPr>
          <w:rStyle w:val="5"/>
          <w:rFonts w:ascii="楷体" w:hAnsi="楷体" w:eastAsia="楷体"/>
          <w:color w:val="auto"/>
          <w:spacing w:val="-4"/>
          <w:sz w:val="32"/>
          <w:szCs w:val="32"/>
          <w:highlight w:val="none"/>
        </w:rPr>
      </w:pPr>
      <w:r>
        <w:rPr>
          <w:rStyle w:val="5"/>
          <w:rFonts w:hint="eastAsia" w:ascii="楷体" w:hAnsi="楷体" w:eastAsia="楷体"/>
          <w:color w:val="auto"/>
          <w:spacing w:val="-4"/>
          <w:sz w:val="32"/>
          <w:szCs w:val="32"/>
          <w:highlight w:val="none"/>
        </w:rPr>
        <w:t>（二）下一步改进措施</w:t>
      </w:r>
    </w:p>
    <w:p>
      <w:pPr>
        <w:spacing w:line="560" w:lineRule="exact"/>
        <w:ind w:firstLine="640" w:firstLineChars="200"/>
        <w:rPr>
          <w:color w:val="auto"/>
          <w:highlight w:val="none"/>
        </w:rPr>
      </w:pPr>
      <w:r>
        <w:rPr>
          <w:rFonts w:hint="eastAsia" w:ascii="仿宋_GB2312" w:hAnsi="Calibri"/>
          <w:bCs/>
          <w:color w:val="auto"/>
          <w:sz w:val="32"/>
          <w:szCs w:val="32"/>
          <w:highlight w:val="none"/>
        </w:rPr>
        <w:t>今后加强专项资金申请，及时编写实施方案，并对各项指标和指标值的设定要进一步优化、完善。严格执行专项资金管理办法和财政资金管理制度，按照项目实施方案、项目进度表严格执行，稳步推进，加快项目实施、验收和移交，使项目尽快投入运行。加强后续的管理工作，按照项目的可持续性，最大限度发挥项目的效益。</w:t>
      </w:r>
    </w:p>
    <w:p>
      <w:pPr>
        <w:spacing w:line="560" w:lineRule="exact"/>
        <w:ind w:firstLine="624" w:firstLineChars="200"/>
        <w:rPr>
          <w:rStyle w:val="5"/>
          <w:rFonts w:ascii="黑体" w:hAnsi="黑体" w:eastAsia="黑体"/>
          <w:b w:val="0"/>
          <w:color w:val="auto"/>
          <w:spacing w:val="-4"/>
          <w:sz w:val="32"/>
          <w:szCs w:val="32"/>
          <w:highlight w:val="none"/>
        </w:rPr>
      </w:pPr>
      <w:r>
        <w:rPr>
          <w:rStyle w:val="5"/>
          <w:rFonts w:hint="eastAsia" w:ascii="黑体" w:hAnsi="黑体" w:eastAsia="黑体"/>
          <w:b w:val="0"/>
          <w:color w:val="auto"/>
          <w:spacing w:val="-4"/>
          <w:sz w:val="32"/>
          <w:szCs w:val="32"/>
          <w:highlight w:val="none"/>
        </w:rPr>
        <w:t>四、绩效自评结果应用和公开情况</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结果应用：一是将自评结果报送上级主管部门及地区财政局，根据绩效自评结果作为下一年度资金安排参考。二是在次年对该项工作提出整改措施，并落实到位。三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spacing w:line="560" w:lineRule="exact"/>
        <w:ind w:firstLine="640" w:firstLineChars="200"/>
        <w:rPr>
          <w:rFonts w:ascii="仿宋_GB2312" w:hAnsi="Calibri"/>
          <w:bCs/>
          <w:color w:val="auto"/>
          <w:sz w:val="32"/>
          <w:szCs w:val="32"/>
          <w:highlight w:val="none"/>
        </w:rPr>
      </w:pPr>
      <w:r>
        <w:rPr>
          <w:rFonts w:hint="eastAsia" w:ascii="仿宋_GB2312" w:hAnsi="Calibri"/>
          <w:bCs/>
          <w:color w:val="auto"/>
          <w:sz w:val="32"/>
          <w:szCs w:val="32"/>
          <w:highlight w:val="none"/>
        </w:rPr>
        <w:t>根据自治区财政厅统一安排，绩效自评结果按要求的时间及网站予以公开。</w:t>
      </w:r>
    </w:p>
    <w:p>
      <w:pPr>
        <w:spacing w:line="560" w:lineRule="exact"/>
        <w:ind w:firstLine="584" w:firstLineChars="200"/>
        <w:rPr>
          <w:rStyle w:val="5"/>
          <w:rFonts w:ascii="黑体" w:hAnsi="黑体" w:eastAsia="黑体" w:cstheme="minorBidi"/>
          <w:b w:val="0"/>
          <w:color w:val="auto"/>
          <w:spacing w:val="-4"/>
          <w:highlight w:val="none"/>
        </w:rPr>
      </w:pPr>
      <w:r>
        <w:rPr>
          <w:rStyle w:val="5"/>
          <w:rFonts w:hint="eastAsia" w:ascii="黑体" w:hAnsi="黑体" w:eastAsia="黑体" w:cstheme="minorBidi"/>
          <w:b w:val="0"/>
          <w:color w:val="auto"/>
          <w:spacing w:val="-4"/>
          <w:highlight w:val="none"/>
        </w:rPr>
        <w:t>五、其他需说明的问题。</w:t>
      </w:r>
    </w:p>
    <w:p>
      <w:pPr>
        <w:spacing w:line="560" w:lineRule="exact"/>
        <w:ind w:firstLine="640" w:firstLineChars="200"/>
        <w:rPr>
          <w:rFonts w:hint="eastAsia" w:ascii="仿宋_GB2312" w:hAnsi="Calibri" w:eastAsia="仿宋_GB2312"/>
          <w:bCs/>
          <w:color w:val="auto"/>
          <w:sz w:val="32"/>
          <w:szCs w:val="32"/>
          <w:highlight w:val="none"/>
          <w:lang w:eastAsia="zh-CN"/>
        </w:rPr>
      </w:pPr>
      <w:r>
        <w:rPr>
          <w:rFonts w:hint="eastAsia" w:ascii="仿宋_GB2312" w:hAnsi="Calibri"/>
          <w:bCs/>
          <w:color w:val="auto"/>
          <w:sz w:val="32"/>
          <w:szCs w:val="32"/>
          <w:highlight w:val="none"/>
        </w:rPr>
        <w:t>无</w:t>
      </w:r>
      <w:r>
        <w:rPr>
          <w:rFonts w:hint="eastAsia" w:ascii="仿宋_GB2312" w:hAnsi="Calibri"/>
          <w:bCs/>
          <w:color w:val="auto"/>
          <w:sz w:val="32"/>
          <w:szCs w:val="32"/>
          <w:highlight w:val="none"/>
          <w:lang w:eastAsia="zh-CN"/>
        </w:rPr>
        <w:t>。</w:t>
      </w:r>
    </w:p>
    <w:sectPr>
      <w:pgSz w:w="11906" w:h="16838"/>
      <w:pgMar w:top="1440" w:right="1800" w:bottom="1440" w:left="1800" w:header="851" w:footer="992" w:gutter="0"/>
      <w:cols w:space="720"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3EED4D"/>
    <w:multiLevelType w:val="singleLevel"/>
    <w:tmpl w:val="E43EED4D"/>
    <w:lvl w:ilvl="0" w:tentative="0">
      <w:start w:val="3"/>
      <w:numFmt w:val="chineseCounting"/>
      <w:suff w:val="nothing"/>
      <w:lvlText w:val="（%1）"/>
      <w:lvlJc w:val="left"/>
      <w:rPr>
        <w:rFonts w:hint="eastAsia"/>
      </w:rPr>
    </w:lvl>
  </w:abstractNum>
  <w:abstractNum w:abstractNumId="1">
    <w:nsid w:val="5DAB5CFE"/>
    <w:multiLevelType w:val="singleLevel"/>
    <w:tmpl w:val="5DAB5CF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B34"/>
    <w:rsid w:val="000543D9"/>
    <w:rsid w:val="00553D8A"/>
    <w:rsid w:val="007B7B34"/>
    <w:rsid w:val="00AE0C00"/>
    <w:rsid w:val="02504C8A"/>
    <w:rsid w:val="0A5C363A"/>
    <w:rsid w:val="0B7136F6"/>
    <w:rsid w:val="0F9574D4"/>
    <w:rsid w:val="10C54CA7"/>
    <w:rsid w:val="173F5014"/>
    <w:rsid w:val="17AB0827"/>
    <w:rsid w:val="1BCF59BB"/>
    <w:rsid w:val="2B0B1BBD"/>
    <w:rsid w:val="2E093550"/>
    <w:rsid w:val="2EFC4E63"/>
    <w:rsid w:val="33D06CF9"/>
    <w:rsid w:val="346C44B8"/>
    <w:rsid w:val="3B241FBC"/>
    <w:rsid w:val="3B984165"/>
    <w:rsid w:val="3D574F70"/>
    <w:rsid w:val="40C70749"/>
    <w:rsid w:val="40C94DC1"/>
    <w:rsid w:val="4A9D2E50"/>
    <w:rsid w:val="4B7047A6"/>
    <w:rsid w:val="4E5713DC"/>
    <w:rsid w:val="500D6A78"/>
    <w:rsid w:val="52833022"/>
    <w:rsid w:val="545F22DD"/>
    <w:rsid w:val="56687AC7"/>
    <w:rsid w:val="56725887"/>
    <w:rsid w:val="59B15D82"/>
    <w:rsid w:val="5B151C5F"/>
    <w:rsid w:val="5FB34AC5"/>
    <w:rsid w:val="602B78CF"/>
    <w:rsid w:val="61C91196"/>
    <w:rsid w:val="62AE0083"/>
    <w:rsid w:val="643D2B1F"/>
    <w:rsid w:val="65444892"/>
    <w:rsid w:val="68F16ADF"/>
    <w:rsid w:val="6A021E5B"/>
    <w:rsid w:val="6BD337C1"/>
    <w:rsid w:val="6F647F8E"/>
    <w:rsid w:val="6FA2517D"/>
    <w:rsid w:val="71D5600F"/>
    <w:rsid w:val="73D05340"/>
    <w:rsid w:val="7DBD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3"/>
    <w:basedOn w:val="1"/>
    <w:next w:val="1"/>
    <w:link w:val="6"/>
    <w:semiHidden/>
    <w:unhideWhenUsed/>
    <w:qFormat/>
    <w:uiPriority w:val="9"/>
    <w:pPr>
      <w:keepNext/>
      <w:keepLines/>
      <w:spacing w:before="260" w:after="260" w:line="416" w:lineRule="auto"/>
      <w:outlineLvl w:val="2"/>
    </w:pPr>
    <w:rPr>
      <w:b/>
      <w:bCs/>
      <w:sz w:val="32"/>
      <w:szCs w:val="32"/>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5">
    <w:name w:val="Strong"/>
    <w:qFormat/>
    <w:uiPriority w:val="0"/>
    <w:rPr>
      <w:b/>
      <w:bCs/>
    </w:rPr>
  </w:style>
  <w:style w:type="character" w:customStyle="1" w:styleId="6">
    <w:name w:val="标题 3 Char"/>
    <w:basedOn w:val="4"/>
    <w:link w:val="2"/>
    <w:semiHidden/>
    <w:qFormat/>
    <w:uiPriority w:val="9"/>
    <w:rPr>
      <w:rFonts w:ascii="Times New Roman" w:hAnsi="Times New Roman" w:eastAsia="仿宋_GB2312"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Micorosoft</Company>
  <Pages>7</Pages>
  <Words>386</Words>
  <Characters>2206</Characters>
  <Lines>18</Lines>
  <Paragraphs>5</Paragraphs>
  <TotalTime>4</TotalTime>
  <ScaleCrop>false</ScaleCrop>
  <LinksUpToDate>false</LinksUpToDate>
  <CharactersWithSpaces>2587</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2020-01-22T14:29:00Z</dcterms:created>
  <dc:creator>Micorosoft</dc:creator>
  <cp:lastModifiedBy>Administrator</cp:lastModifiedBy>
  <dcterms:modified xsi:type="dcterms:W3CDTF">2022-02-22T13:12:42Z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F338C27AF1A04ABF91BB66DDD6DB6354</vt:lpwstr>
  </property>
</Properties>
</file>