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和田市市政养护队</w:t>
      </w:r>
      <w:r>
        <w:rPr>
          <w:rFonts w:hint="eastAsia" w:ascii="方正小标宋_GBK" w:hAnsi="华文中宋" w:eastAsia="方正小标宋_GBK" w:cs="宋体"/>
          <w:b/>
          <w:color w:val="auto"/>
          <w:kern w:val="0"/>
          <w:sz w:val="44"/>
          <w:szCs w:val="44"/>
          <w:highlight w:val="none"/>
        </w:rPr>
        <w:t>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eastAsia" w:ascii="Times New Roman" w:hAnsi="宋体" w:eastAsia="仿宋_GB2312" w:cs="宋体"/>
          <w:color w:val="auto"/>
          <w:kern w:val="0"/>
          <w:sz w:val="36"/>
          <w:szCs w:val="36"/>
          <w:highlight w:val="none"/>
          <w:lang w:val="en-US"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和田市市政养护队</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 xml:space="preserve">填报时间： </w:t>
      </w:r>
      <w:r>
        <w:rPr>
          <w:rFonts w:hint="eastAsia" w:ascii="Times New Roman" w:hAnsi="宋体" w:eastAsia="仿宋_GB2312" w:cs="宋体"/>
          <w:color w:val="auto"/>
          <w:kern w:val="0"/>
          <w:sz w:val="36"/>
          <w:szCs w:val="36"/>
          <w:highlight w:val="none"/>
          <w:lang w:val="en-US" w:eastAsia="zh-CN"/>
        </w:rPr>
        <w:t xml:space="preserve">2022 </w:t>
      </w:r>
      <w:r>
        <w:rPr>
          <w:rFonts w:hint="eastAsia" w:ascii="Times New Roman" w:hAnsi="宋体" w:eastAsia="仿宋_GB2312" w:cs="宋体"/>
          <w:color w:val="auto"/>
          <w:kern w:val="0"/>
          <w:sz w:val="36"/>
          <w:szCs w:val="36"/>
          <w:highlight w:val="none"/>
        </w:rPr>
        <w:t xml:space="preserve">年 </w:t>
      </w:r>
      <w:r>
        <w:rPr>
          <w:rFonts w:hint="eastAsia" w:ascii="Times New Roman" w:hAnsi="宋体" w:eastAsia="仿宋_GB2312" w:cs="宋体"/>
          <w:color w:val="auto"/>
          <w:kern w:val="0"/>
          <w:sz w:val="36"/>
          <w:szCs w:val="36"/>
          <w:highlight w:val="none"/>
          <w:lang w:val="en-US" w:eastAsia="zh-CN"/>
        </w:rPr>
        <w:t>1</w:t>
      </w:r>
      <w:r>
        <w:rPr>
          <w:rFonts w:hint="eastAsia" w:ascii="Times New Roman" w:hAnsi="宋体" w:eastAsia="仿宋_GB2312" w:cs="宋体"/>
          <w:color w:val="auto"/>
          <w:kern w:val="0"/>
          <w:sz w:val="36"/>
          <w:szCs w:val="36"/>
          <w:highlight w:val="none"/>
        </w:rPr>
        <w:t xml:space="preserve"> 月 </w:t>
      </w:r>
      <w:r>
        <w:rPr>
          <w:rFonts w:hint="eastAsia" w:ascii="Times New Roman" w:hAnsi="宋体" w:eastAsia="仿宋_GB2312" w:cs="宋体"/>
          <w:color w:val="auto"/>
          <w:kern w:val="0"/>
          <w:sz w:val="36"/>
          <w:szCs w:val="36"/>
          <w:highlight w:val="none"/>
          <w:lang w:val="en-US" w:eastAsia="zh-CN"/>
        </w:rPr>
        <w:t>21</w:t>
      </w:r>
      <w:r>
        <w:rPr>
          <w:rFonts w:hint="eastAsia" w:ascii="Times New Roman" w:hAnsi="宋体" w:eastAsia="仿宋_GB2312" w:cs="宋体"/>
          <w:color w:val="auto"/>
          <w:kern w:val="0"/>
          <w:sz w:val="36"/>
          <w:szCs w:val="36"/>
          <w:highlight w:val="none"/>
        </w:rPr>
        <w:t xml:space="preserve"> 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 w:eastAsia="仿宋_GB2312" w:cs="Times New Roman"/>
          <w:bCs/>
          <w:color w:val="auto"/>
          <w:sz w:val="32"/>
          <w:szCs w:val="32"/>
          <w:highlight w:val="none"/>
        </w:rPr>
      </w:pPr>
      <w:r>
        <w:rPr>
          <w:rFonts w:hint="eastAsia" w:ascii="仿宋_GB2312" w:hAnsi="黑体" w:eastAsia="仿宋_GB2312" w:cs="宋体"/>
          <w:bCs/>
          <w:color w:val="auto"/>
          <w:kern w:val="0"/>
          <w:sz w:val="32"/>
          <w:szCs w:val="32"/>
          <w:highlight w:val="none"/>
          <w:lang w:val="en-US" w:eastAsia="zh-CN"/>
        </w:rPr>
        <w:t>为生产和生活正常提供市政工程设施管理和维护；</w:t>
      </w:r>
      <w:r>
        <w:rPr>
          <w:rFonts w:hint="eastAsia" w:ascii="仿宋_GB2312" w:hAnsi="宋体" w:eastAsia="仿宋_GB2312" w:cs="宋体"/>
          <w:bCs/>
          <w:color w:val="auto"/>
          <w:kern w:val="0"/>
          <w:sz w:val="32"/>
          <w:szCs w:val="32"/>
          <w:highlight w:val="none"/>
          <w:lang w:val="en-US" w:eastAsia="zh-CN"/>
        </w:rPr>
        <w:t>主要业务工作范围市政亮化设施及道路隔离防护栏的日常维护维修。</w:t>
      </w:r>
    </w:p>
    <w:p>
      <w:pPr>
        <w:pageBreakBefore w:val="0"/>
        <w:widowControl/>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_GB2312" w:hAnsi="仿宋" w:eastAsia="仿宋_GB2312" w:cs="Times New Roman"/>
          <w:bCs/>
          <w:color w:val="auto"/>
          <w:sz w:val="32"/>
          <w:szCs w:val="32"/>
          <w:highlight w:val="none"/>
          <w:lang w:eastAsia="zh-CN"/>
        </w:rPr>
      </w:pPr>
      <w:r>
        <w:rPr>
          <w:rFonts w:hint="eastAsia" w:ascii="仿宋_GB2312" w:hAnsi="仿宋" w:eastAsia="仿宋_GB2312" w:cs="Times New Roman"/>
          <w:bCs/>
          <w:color w:val="auto"/>
          <w:sz w:val="32"/>
          <w:szCs w:val="32"/>
          <w:highlight w:val="none"/>
        </w:rPr>
        <w:t>2．</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pageBreakBefore w:val="0"/>
        <w:widowControl/>
        <w:numPr>
          <w:ilvl w:val="0"/>
          <w:numId w:val="0"/>
        </w:numPr>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和田市市政养护队</w:t>
      </w:r>
      <w:r>
        <w:rPr>
          <w:rFonts w:hint="eastAsia" w:ascii="仿宋_GB2312" w:hAnsi="黑体" w:eastAsia="仿宋_GB2312" w:cs="宋体"/>
          <w:bCs/>
          <w:color w:val="auto"/>
          <w:kern w:val="0"/>
          <w:sz w:val="32"/>
          <w:szCs w:val="32"/>
          <w:highlight w:val="none"/>
        </w:rPr>
        <w:t xml:space="preserve">单位下设 </w:t>
      </w:r>
      <w:r>
        <w:rPr>
          <w:rFonts w:hint="eastAsia" w:ascii="仿宋_GB2312" w:hAnsi="黑体" w:eastAsia="仿宋_GB2312" w:cs="宋体"/>
          <w:bCs/>
          <w:color w:val="auto"/>
          <w:kern w:val="0"/>
          <w:sz w:val="32"/>
          <w:szCs w:val="32"/>
          <w:highlight w:val="none"/>
          <w:lang w:val="en-US" w:eastAsia="zh-CN"/>
        </w:rPr>
        <w:t>6</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科室</w:t>
      </w:r>
      <w:r>
        <w:rPr>
          <w:rFonts w:hint="eastAsia" w:ascii="仿宋_GB2312" w:hAnsi="黑体" w:eastAsia="仿宋_GB2312" w:cs="宋体"/>
          <w:bCs/>
          <w:color w:val="auto"/>
          <w:kern w:val="0"/>
          <w:sz w:val="32"/>
          <w:szCs w:val="32"/>
          <w:highlight w:val="none"/>
        </w:rPr>
        <w:t>，分别是：</w:t>
      </w:r>
      <w:r>
        <w:rPr>
          <w:rFonts w:hint="eastAsia" w:ascii="仿宋_GB2312" w:hAnsi="宋体" w:eastAsia="仿宋_GB2312" w:cs="宋体"/>
          <w:color w:val="auto"/>
          <w:kern w:val="0"/>
          <w:sz w:val="32"/>
          <w:szCs w:val="32"/>
          <w:highlight w:val="none"/>
          <w:lang w:eastAsia="zh-CN"/>
        </w:rPr>
        <w:t>队长室、副队长室、综合办公室、财务室、路灯管理室、路政管理室</w:t>
      </w:r>
      <w:r>
        <w:rPr>
          <w:rFonts w:hint="eastAsia" w:ascii="仿宋_GB2312" w:hAnsi="宋体" w:eastAsia="仿宋_GB2312" w:cs="宋体"/>
          <w:color w:val="auto"/>
          <w:kern w:val="0"/>
          <w:sz w:val="32"/>
          <w:szCs w:val="32"/>
          <w:highlight w:val="none"/>
        </w:rPr>
        <w:t>。</w:t>
      </w:r>
    </w:p>
    <w:p>
      <w:pPr>
        <w:pageBreakBefore w:val="0"/>
        <w:widowControl/>
        <w:kinsoku/>
        <w:wordWrap/>
        <w:overflowPunct/>
        <w:topLinePunct w:val="0"/>
        <w:autoSpaceDE/>
        <w:autoSpaceDN/>
        <w:bidi w:val="0"/>
        <w:adjustRightInd/>
        <w:spacing w:line="560" w:lineRule="exact"/>
        <w:ind w:firstLine="640" w:firstLineChars="200"/>
        <w:jc w:val="left"/>
        <w:textAlignment w:val="auto"/>
        <w:rPr>
          <w:rFonts w:ascii="仿宋_GB2312" w:hAnsi="仿宋" w:eastAsia="仿宋_GB2312" w:cs="Times New Roman"/>
          <w:bCs/>
          <w:color w:val="auto"/>
          <w:sz w:val="32"/>
          <w:szCs w:val="32"/>
          <w:highlight w:val="none"/>
        </w:rPr>
      </w:pPr>
      <w:r>
        <w:rPr>
          <w:rFonts w:hint="eastAsia" w:ascii="仿宋_GB2312" w:hAnsi="宋体" w:eastAsia="仿宋_GB2312" w:cs="宋体"/>
          <w:color w:val="auto"/>
          <w:kern w:val="0"/>
          <w:sz w:val="32"/>
          <w:szCs w:val="32"/>
          <w:highlight w:val="none"/>
          <w:lang w:val="en-US" w:eastAsia="zh-CN"/>
        </w:rPr>
        <w:t>和田市市政养护队在职职工**</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退休人员</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人。</w:t>
      </w:r>
    </w:p>
    <w:p>
      <w:pPr>
        <w:pageBreakBefore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重点工作计划</w:t>
      </w:r>
    </w:p>
    <w:p>
      <w:pPr>
        <w:pageBreakBefore w:val="0"/>
        <w:kinsoku/>
        <w:wordWrap/>
        <w:overflowPunct/>
        <w:topLinePunct w:val="0"/>
        <w:autoSpaceDE/>
        <w:autoSpaceDN/>
        <w:bidi w:val="0"/>
        <w:adjustRightInd/>
        <w:snapToGrid w:val="0"/>
        <w:spacing w:line="560" w:lineRule="exact"/>
        <w:ind w:firstLine="640" w:firstLineChars="200"/>
        <w:textAlignment w:val="auto"/>
        <w:outlineLvl w:val="0"/>
        <w:rPr>
          <w:rFonts w:ascii="仿宋" w:hAnsi="仿宋" w:eastAsia="仿宋" w:cs="Times New Roman"/>
          <w:color w:val="auto"/>
          <w:sz w:val="32"/>
          <w:szCs w:val="32"/>
          <w:highlight w:val="none"/>
        </w:rPr>
      </w:pPr>
      <w:r>
        <w:rPr>
          <w:rFonts w:hint="eastAsia" w:ascii="仿宋_GB2312" w:hAnsi="仿宋" w:eastAsia="仿宋_GB2312" w:cs="Times New Roman"/>
          <w:bCs/>
          <w:color w:val="auto"/>
          <w:sz w:val="32"/>
          <w:szCs w:val="32"/>
          <w:highlight w:val="none"/>
          <w:lang w:val="en-US" w:eastAsia="zh-CN"/>
        </w:rPr>
        <w:t>2021</w:t>
      </w:r>
      <w:r>
        <w:rPr>
          <w:rFonts w:hint="eastAsia" w:ascii="仿宋_GB2312" w:hAnsi="仿宋_GB2312" w:eastAsia="仿宋_GB2312" w:cs="仿宋_GB2312"/>
          <w:b w:val="0"/>
          <w:bCs w:val="0"/>
          <w:color w:val="auto"/>
          <w:sz w:val="32"/>
          <w:szCs w:val="32"/>
          <w:highlight w:val="none"/>
          <w:lang w:val="en-US" w:eastAsia="zh-CN"/>
        </w:rPr>
        <w:t>年度主要工作是</w:t>
      </w:r>
      <w:bookmarkStart w:id="0" w:name="_GoBack"/>
      <w:bookmarkEnd w:id="0"/>
      <w:r>
        <w:rPr>
          <w:rFonts w:hint="eastAsia" w:ascii="仿宋_GB2312" w:hAnsi="仿宋_GB2312" w:eastAsia="仿宋_GB2312" w:cs="仿宋_GB2312"/>
          <w:b w:val="0"/>
          <w:bCs w:val="0"/>
          <w:color w:val="auto"/>
          <w:sz w:val="32"/>
          <w:szCs w:val="32"/>
          <w:highlight w:val="none"/>
          <w:lang w:eastAsia="zh-CN"/>
        </w:rPr>
        <w:t>确保对全市路灯亮化设施及</w:t>
      </w:r>
      <w:r>
        <w:rPr>
          <w:rFonts w:hint="eastAsia" w:ascii="仿宋_GB2312" w:hAnsi="仿宋_GB2312" w:eastAsia="仿宋_GB2312" w:cs="仿宋_GB2312"/>
          <w:b w:val="0"/>
          <w:bCs w:val="0"/>
          <w:color w:val="auto"/>
          <w:sz w:val="32"/>
          <w:szCs w:val="32"/>
          <w:highlight w:val="none"/>
          <w:lang w:val="en-US" w:eastAsia="zh-CN"/>
        </w:rPr>
        <w:t>道路隔离防护栏进行维修维护</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更好的促进城市建设和发展，保障市政亮化设施的正常运行，保证市民夜间安全出行，满足人民群众的需求，为社会稳定和长治久安做出积极贡献，推进和田的稳定发展。</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本</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的项目立项符合相关法规政策及</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职责，依据充分；项目按照规定的程序申请设立；审批文件、材料符合相关要求；项目前期已经经过必要的可行性研究、风险评估、绩效评估、集体决策。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市政养护队</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885.25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878.01</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99.2</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1750.44</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lang w:eastAsia="zh-CN"/>
        </w:rPr>
        <w:t>，</w:t>
      </w:r>
      <w:r>
        <w:rPr>
          <w:rFonts w:hint="eastAsia" w:ascii="仿宋_GB2312" w:hAnsi="方正楷体简体" w:eastAsia="仿宋_GB2312" w:cs="宋体"/>
          <w:color w:val="auto"/>
          <w:sz w:val="32"/>
          <w:szCs w:val="32"/>
          <w:highlight w:val="none"/>
        </w:rPr>
        <w:t>减少</w:t>
      </w:r>
      <w:r>
        <w:rPr>
          <w:rFonts w:hint="eastAsia" w:ascii="仿宋_GB2312" w:hAnsi="方正楷体简体" w:eastAsia="仿宋_GB2312" w:cs="宋体"/>
          <w:color w:val="auto"/>
          <w:sz w:val="32"/>
          <w:szCs w:val="32"/>
          <w:highlight w:val="none"/>
          <w:lang w:val="en-US" w:eastAsia="zh-CN"/>
        </w:rPr>
        <w:t>865.19</w:t>
      </w:r>
      <w:r>
        <w:rPr>
          <w:rFonts w:hint="eastAsia" w:ascii="仿宋_GB2312" w:hAnsi="方正楷体简体" w:eastAsia="仿宋_GB2312" w:cs="宋体"/>
          <w:color w:val="auto"/>
          <w:sz w:val="32"/>
          <w:szCs w:val="32"/>
          <w:highlight w:val="none"/>
        </w:rPr>
        <w:t>万元，减幅：</w:t>
      </w:r>
      <w:r>
        <w:rPr>
          <w:rFonts w:hint="eastAsia" w:ascii="仿宋_GB2312" w:hAnsi="方正楷体简体" w:eastAsia="仿宋_GB2312" w:cs="宋体"/>
          <w:color w:val="auto"/>
          <w:sz w:val="32"/>
          <w:szCs w:val="32"/>
          <w:highlight w:val="none"/>
          <w:lang w:val="en-US" w:eastAsia="zh-CN"/>
        </w:rPr>
        <w:t>49.4</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项目资金减少</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296.72</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289.48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97.6</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276.04</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20.68</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6</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588.53</w:t>
      </w:r>
      <w:r>
        <w:rPr>
          <w:rFonts w:hint="eastAsia" w:ascii="仿宋_GB2312" w:hAnsi="方正楷体简体" w:eastAsia="仿宋_GB2312" w:cs="宋体"/>
          <w:color w:val="auto"/>
          <w:sz w:val="32"/>
          <w:szCs w:val="32"/>
          <w:highlight w:val="none"/>
        </w:rPr>
        <w:t>万元元，资金执行数</w:t>
      </w:r>
      <w:r>
        <w:rPr>
          <w:rFonts w:hint="eastAsia" w:ascii="仿宋_GB2312" w:hAnsi="方正楷体简体" w:eastAsia="仿宋_GB2312" w:cs="宋体"/>
          <w:color w:val="auto"/>
          <w:sz w:val="32"/>
          <w:szCs w:val="32"/>
          <w:highlight w:val="none"/>
          <w:lang w:val="en-US" w:eastAsia="zh-CN"/>
        </w:rPr>
        <w:t>588.53</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526.74</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526.74</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61.79</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61.79</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val="en-US" w:eastAsia="zh-CN"/>
        </w:rPr>
        <w:t>市政养护队</w:t>
      </w:r>
      <w:r>
        <w:rPr>
          <w:rFonts w:hint="eastAsia" w:hAnsi="方正楷体简体"/>
          <w:color w:val="auto"/>
          <w:highlight w:val="none"/>
        </w:rPr>
        <w:t>项目支出共涉及</w:t>
      </w:r>
      <w:r>
        <w:rPr>
          <w:rFonts w:hint="eastAsia" w:hAnsi="方正楷体简体"/>
          <w:color w:val="auto"/>
          <w:highlight w:val="none"/>
          <w:lang w:val="en-US" w:eastAsia="zh-CN"/>
        </w:rPr>
        <w:t>6</w:t>
      </w:r>
      <w:r>
        <w:rPr>
          <w:rFonts w:hint="eastAsia" w:hAnsi="方正楷体简体"/>
          <w:color w:val="auto"/>
          <w:highlight w:val="none"/>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center"/>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jc w:val="center"/>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default" w:ascii="仿宋_GB2312" w:hAnsi="仿宋" w:eastAsia="仿宋_GB2312" w:cs="宋体"/>
                <w:color w:val="auto"/>
                <w:sz w:val="32"/>
                <w:szCs w:val="32"/>
                <w:highlight w:val="none"/>
                <w:lang w:val="en-US"/>
              </w:rPr>
            </w:pPr>
            <w:r>
              <w:rPr>
                <w:rFonts w:hint="eastAsia" w:ascii="仿宋_GB2312" w:hAnsi="仿宋" w:eastAsia="仿宋_GB2312" w:cs="宋体"/>
                <w:color w:val="auto"/>
                <w:sz w:val="32"/>
                <w:szCs w:val="32"/>
                <w:highlight w:val="none"/>
                <w:lang w:val="en-US" w:eastAsia="zh-CN"/>
              </w:rPr>
              <w:t>路灯材料采购项目</w:t>
            </w:r>
          </w:p>
        </w:tc>
        <w:tc>
          <w:tcPr>
            <w:tcW w:w="4261" w:type="dxa"/>
            <w:vAlign w:val="center"/>
          </w:tcPr>
          <w:p>
            <w:pPr>
              <w:pStyle w:val="12"/>
              <w:spacing w:line="560" w:lineRule="exact"/>
              <w:ind w:firstLine="1600" w:firstLineChars="500"/>
              <w:jc w:val="both"/>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100</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default" w:ascii="仿宋_GB2312" w:hAnsi="仿宋" w:eastAsia="仿宋_GB2312" w:cs="宋体"/>
                <w:color w:val="auto"/>
                <w:sz w:val="32"/>
                <w:szCs w:val="32"/>
                <w:highlight w:val="none"/>
                <w:lang w:val="en-US"/>
              </w:rPr>
            </w:pPr>
            <w:r>
              <w:rPr>
                <w:rFonts w:hint="eastAsia" w:ascii="仿宋_GB2312" w:hAnsi="仿宋" w:eastAsia="仿宋_GB2312" w:cs="宋体"/>
                <w:color w:val="auto"/>
                <w:sz w:val="32"/>
                <w:szCs w:val="32"/>
                <w:highlight w:val="none"/>
                <w:lang w:val="en-US" w:eastAsia="zh-CN"/>
              </w:rPr>
              <w:t>路灯电费项目</w:t>
            </w:r>
          </w:p>
        </w:tc>
        <w:tc>
          <w:tcPr>
            <w:tcW w:w="4261" w:type="dxa"/>
            <w:vAlign w:val="center"/>
          </w:tcPr>
          <w:p>
            <w:pPr>
              <w:pStyle w:val="12"/>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400</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default"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业务费</w:t>
            </w:r>
          </w:p>
        </w:tc>
        <w:tc>
          <w:tcPr>
            <w:tcW w:w="4261" w:type="dxa"/>
            <w:vAlign w:val="center"/>
          </w:tcPr>
          <w:p>
            <w:pPr>
              <w:pStyle w:val="12"/>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26.74</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default"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城市维护费项目</w:t>
            </w:r>
          </w:p>
        </w:tc>
        <w:tc>
          <w:tcPr>
            <w:tcW w:w="4261" w:type="dxa"/>
            <w:vAlign w:val="center"/>
          </w:tcPr>
          <w:p>
            <w:pPr>
              <w:pStyle w:val="12"/>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13.66</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default"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路灯维护项目</w:t>
            </w:r>
          </w:p>
        </w:tc>
        <w:tc>
          <w:tcPr>
            <w:tcW w:w="4261" w:type="dxa"/>
            <w:vAlign w:val="center"/>
          </w:tcPr>
          <w:p>
            <w:pPr>
              <w:pStyle w:val="12"/>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27.54</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default"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道路防护栏采购项目</w:t>
            </w:r>
          </w:p>
        </w:tc>
        <w:tc>
          <w:tcPr>
            <w:tcW w:w="4261" w:type="dxa"/>
            <w:vAlign w:val="center"/>
          </w:tcPr>
          <w:p>
            <w:pPr>
              <w:pStyle w:val="12"/>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20.59</w:t>
            </w:r>
            <w:r>
              <w:rPr>
                <w:rFonts w:hint="eastAsia" w:ascii="仿宋_GB2312" w:hAnsi="仿宋" w:eastAsia="仿宋_GB2312" w:cs="宋体"/>
                <w:color w:val="auto"/>
                <w:sz w:val="32"/>
                <w:szCs w:val="32"/>
                <w:highlight w:val="none"/>
              </w:rPr>
              <w:t>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Style w:val="10"/>
          <w:rFonts w:hint="eastAsia" w:ascii="仿宋_GB2312" w:hAnsi="黑体" w:eastAsia="仿宋_GB2312" w:cs="Times New Roman"/>
          <w:b w:val="0"/>
          <w:color w:val="auto"/>
          <w:spacing w:val="-4"/>
          <w:sz w:val="32"/>
          <w:szCs w:val="32"/>
          <w:highlight w:val="none"/>
        </w:rPr>
        <w:t>《财务管理制度》</w:t>
      </w:r>
      <w:r>
        <w:rPr>
          <w:rFonts w:hint="eastAsia" w:ascii="仿宋_GB2312" w:hAnsi="方正楷体简体" w:eastAsia="仿宋_GB2312" w:cs="宋体"/>
          <w:color w:val="auto"/>
          <w:sz w:val="32"/>
          <w:szCs w:val="32"/>
          <w:highlight w:val="none"/>
        </w:rPr>
        <w:t>，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val="en-US" w:eastAsia="zh-CN"/>
        </w:rPr>
        <w:t>市政养护队</w:t>
      </w:r>
      <w:r>
        <w:rPr>
          <w:rFonts w:hint="eastAsia" w:ascii="仿宋_GB2312" w:hAnsi="方正楷体简体" w:eastAsia="仿宋_GB2312" w:cs="宋体"/>
          <w:color w:val="auto"/>
          <w:sz w:val="32"/>
          <w:szCs w:val="32"/>
          <w:highlight w:val="none"/>
        </w:rPr>
        <w:t>基本支出预算总额</w:t>
      </w:r>
      <w:r>
        <w:rPr>
          <w:rFonts w:hint="eastAsia" w:ascii="仿宋_GB2312" w:hAnsi="方正楷体简体" w:eastAsia="仿宋_GB2312" w:cs="宋体"/>
          <w:color w:val="auto"/>
          <w:sz w:val="32"/>
          <w:szCs w:val="32"/>
          <w:highlight w:val="none"/>
          <w:lang w:val="en-US" w:eastAsia="zh-CN"/>
        </w:rPr>
        <w:t>296.72</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281.52</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15.2</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289.48</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97.6</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1.86</w:t>
      </w:r>
      <w:r>
        <w:rPr>
          <w:rFonts w:hint="eastAsia" w:ascii="仿宋_GB2312" w:hAnsi="方正楷体简体" w:eastAsia="仿宋_GB2312" w:cs="宋体"/>
          <w:color w:val="auto"/>
          <w:sz w:val="32"/>
          <w:szCs w:val="32"/>
          <w:highlight w:val="none"/>
        </w:rPr>
        <w:t xml:space="preserve">万元。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年“三公”经费预算数为</w:t>
      </w:r>
      <w:r>
        <w:rPr>
          <w:rFonts w:hint="eastAsia" w:ascii="仿宋_GB2312" w:hAnsi="方正楷体简体" w:eastAsia="仿宋_GB2312" w:cs="宋体"/>
          <w:color w:val="auto"/>
          <w:sz w:val="32"/>
          <w:szCs w:val="32"/>
          <w:highlight w:val="none"/>
          <w:lang w:val="en-US" w:eastAsia="zh-CN"/>
        </w:rPr>
        <w:t>4.20</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4.20</w:t>
      </w:r>
      <w:r>
        <w:rPr>
          <w:rFonts w:hint="eastAsia" w:ascii="仿宋_GB2312" w:hAnsi="方正楷体简体" w:eastAsia="仿宋_GB2312" w:cs="宋体"/>
          <w:color w:val="auto"/>
          <w:sz w:val="32"/>
          <w:szCs w:val="32"/>
          <w:highlight w:val="none"/>
        </w:rPr>
        <w:t>万元。全年“三公”经费支出</w:t>
      </w:r>
      <w:r>
        <w:rPr>
          <w:rFonts w:hint="eastAsia" w:ascii="仿宋_GB2312" w:hAnsi="方正楷体简体" w:eastAsia="仿宋_GB2312" w:cs="宋体"/>
          <w:color w:val="auto"/>
          <w:sz w:val="32"/>
          <w:szCs w:val="32"/>
          <w:highlight w:val="none"/>
          <w:lang w:val="en-US" w:eastAsia="zh-CN"/>
        </w:rPr>
        <w:t>1.86</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1.86</w:t>
      </w:r>
      <w:r>
        <w:rPr>
          <w:rFonts w:hint="eastAsia" w:ascii="仿宋_GB2312" w:hAnsi="方正楷体简体" w:eastAsia="仿宋_GB2312" w:cs="宋体"/>
          <w:color w:val="auto"/>
          <w:sz w:val="32"/>
          <w:szCs w:val="32"/>
          <w:highlight w:val="none"/>
        </w:rPr>
        <w:t>万元，较2019年“三公”经费决算</w:t>
      </w:r>
      <w:r>
        <w:rPr>
          <w:rFonts w:hint="eastAsia" w:ascii="仿宋_GB2312" w:hAnsi="方正楷体简体" w:eastAsia="仿宋_GB2312" w:cs="宋体"/>
          <w:color w:val="auto"/>
          <w:sz w:val="32"/>
          <w:szCs w:val="32"/>
          <w:highlight w:val="none"/>
          <w:lang w:val="en-US" w:eastAsia="zh-CN"/>
        </w:rPr>
        <w:t>1.78</w:t>
      </w:r>
      <w:r>
        <w:rPr>
          <w:rFonts w:hint="eastAsia" w:ascii="仿宋_GB2312" w:hAnsi="方正楷体简体" w:eastAsia="仿宋_GB2312" w:cs="宋体"/>
          <w:color w:val="auto"/>
          <w:sz w:val="32"/>
          <w:szCs w:val="32"/>
          <w:highlight w:val="none"/>
        </w:rPr>
        <w:t>万元，上浮</w:t>
      </w:r>
      <w:r>
        <w:rPr>
          <w:rFonts w:hint="eastAsia" w:ascii="仿宋_GB2312" w:hAnsi="方正楷体简体" w:eastAsia="仿宋_GB2312" w:cs="宋体"/>
          <w:color w:val="auto"/>
          <w:sz w:val="32"/>
          <w:szCs w:val="32"/>
          <w:highlight w:val="none"/>
          <w:lang w:val="en-US" w:eastAsia="zh-CN"/>
        </w:rPr>
        <w:t>4.5</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hint="default" w:ascii="仿宋_GB2312" w:eastAsia="仿宋_GB2312"/>
          <w:color w:val="auto"/>
          <w:sz w:val="32"/>
          <w:szCs w:val="32"/>
          <w:highlight w:val="none"/>
          <w:lang w:val="en-US" w:eastAsia="zh-CN"/>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r>
        <w:rPr>
          <w:rFonts w:hint="eastAsia"/>
          <w:color w:val="auto"/>
          <w:sz w:val="24"/>
          <w:szCs w:val="24"/>
          <w:highlight w:val="none"/>
        </w:rPr>
        <w:tab/>
      </w:r>
      <w:r>
        <w:rPr>
          <w:rFonts w:hint="eastAsia"/>
          <w:color w:val="auto"/>
          <w:sz w:val="24"/>
          <w:szCs w:val="24"/>
          <w:highlight w:val="none"/>
        </w:rPr>
        <w:tab/>
      </w:r>
      <w:r>
        <w:rPr>
          <w:rFonts w:hint="eastAsia"/>
          <w:color w:val="auto"/>
          <w:sz w:val="24"/>
          <w:szCs w:val="24"/>
          <w:highlight w:val="none"/>
        </w:rPr>
        <w:tab/>
      </w:r>
      <w:r>
        <w:rPr>
          <w:rFonts w:hint="eastAsia"/>
          <w:color w:val="auto"/>
          <w:sz w:val="24"/>
          <w:szCs w:val="24"/>
          <w:highlight w:val="none"/>
        </w:rPr>
        <w:tab/>
      </w:r>
    </w:p>
    <w:p>
      <w:pPr>
        <w:pStyle w:val="12"/>
        <w:spacing w:line="560" w:lineRule="exact"/>
        <w:ind w:firstLine="624"/>
        <w:rPr>
          <w:rFonts w:ascii="仿宋" w:hAnsi="仿宋" w:eastAsia="仿宋"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6</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588.53</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588.53</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588.53</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6</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6</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6</w:t>
      </w:r>
      <w:r>
        <w:rPr>
          <w:rStyle w:val="10"/>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6</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6</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numPr>
          <w:ilvl w:val="0"/>
          <w:numId w:val="2"/>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pageBreakBefore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hAnsi="方正楷体简体" w:eastAsia="仿宋_GB2312" w:cs="宋体"/>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年度本单位实</w:t>
      </w:r>
      <w:r>
        <w:rPr>
          <w:rStyle w:val="10"/>
          <w:rFonts w:hint="eastAsia" w:ascii="仿宋_GB2312" w:hAnsi="仿宋_GB2312" w:eastAsia="仿宋_GB2312" w:cs="仿宋_GB2312"/>
          <w:b w:val="0"/>
          <w:color w:val="auto"/>
          <w:spacing w:val="-4"/>
          <w:sz w:val="32"/>
          <w:szCs w:val="32"/>
          <w:highlight w:val="none"/>
        </w:rPr>
        <w:t>施</w:t>
      </w:r>
      <w:r>
        <w:rPr>
          <w:rStyle w:val="10"/>
          <w:rFonts w:hint="eastAsia" w:ascii="仿宋_GB2312" w:hAnsi="仿宋_GB2312" w:eastAsia="仿宋_GB2312" w:cs="仿宋_GB2312"/>
          <w:b w:val="0"/>
          <w:color w:val="auto"/>
          <w:spacing w:val="-4"/>
          <w:sz w:val="32"/>
          <w:szCs w:val="32"/>
          <w:highlight w:val="none"/>
          <w:lang w:eastAsia="zh-CN"/>
        </w:rPr>
        <w:t>路灯电费</w:t>
      </w:r>
      <w:r>
        <w:rPr>
          <w:rStyle w:val="10"/>
          <w:rFonts w:hint="eastAsia" w:ascii="仿宋_GB2312" w:hAnsi="仿宋_GB2312" w:eastAsia="仿宋_GB2312" w:cs="仿宋_GB2312"/>
          <w:b w:val="0"/>
          <w:color w:val="auto"/>
          <w:spacing w:val="-4"/>
          <w:sz w:val="32"/>
          <w:szCs w:val="32"/>
          <w:highlight w:val="none"/>
          <w:lang w:val="en-US" w:eastAsia="zh-CN"/>
        </w:rPr>
        <w:t>等6个</w:t>
      </w:r>
      <w:r>
        <w:rPr>
          <w:rStyle w:val="10"/>
          <w:rFonts w:hint="eastAsia" w:ascii="仿宋_GB2312" w:hAnsi="仿宋_GB2312" w:eastAsia="仿宋_GB2312" w:cs="仿宋_GB2312"/>
          <w:b w:val="0"/>
          <w:color w:val="auto"/>
          <w:spacing w:val="-4"/>
          <w:sz w:val="32"/>
          <w:szCs w:val="32"/>
          <w:highlight w:val="none"/>
        </w:rPr>
        <w:t>项目，通过项目的实施带来的效益：</w:t>
      </w:r>
      <w:r>
        <w:rPr>
          <w:rFonts w:hint="eastAsia" w:ascii="仿宋_GB2312" w:hAnsi="仿宋_GB2312" w:eastAsia="仿宋_GB2312" w:cs="仿宋_GB2312"/>
          <w:b w:val="0"/>
          <w:bCs w:val="0"/>
          <w:i w:val="0"/>
          <w:caps w:val="0"/>
          <w:color w:val="auto"/>
          <w:spacing w:val="0"/>
          <w:sz w:val="32"/>
          <w:szCs w:val="32"/>
          <w:highlight w:val="none"/>
          <w:shd w:val="clear" w:fill="FFFFFF"/>
          <w:lang w:val="en-US" w:eastAsia="zh-CN"/>
        </w:rPr>
        <w:t>确保全市路灯亮化设施及道路设施的正常运行，确保城市“路通”、“灯亮”，给市民提供更为便利的生活环境，保障城市夜间交通安全</w:t>
      </w:r>
      <w:r>
        <w:rPr>
          <w:rFonts w:hint="eastAsia" w:ascii="仿宋_GB2312" w:hAnsi="仿宋_GB2312" w:eastAsia="仿宋_GB2312" w:cs="仿宋_GB2312"/>
          <w:b w:val="0"/>
          <w:bCs w:val="0"/>
          <w:color w:val="auto"/>
          <w:sz w:val="32"/>
          <w:szCs w:val="32"/>
          <w:highlight w:val="none"/>
          <w:lang w:val="en-US" w:eastAsia="zh-CN"/>
        </w:rPr>
        <w:t>，为市民夜间出行提供了保障，</w:t>
      </w:r>
      <w:r>
        <w:rPr>
          <w:rFonts w:hint="eastAsia" w:ascii="仿宋_GB2312" w:hAnsi="仿宋_GB2312" w:eastAsia="仿宋_GB2312" w:cs="仿宋_GB2312"/>
          <w:b w:val="0"/>
          <w:bCs w:val="0"/>
          <w:i w:val="0"/>
          <w:caps w:val="0"/>
          <w:color w:val="auto"/>
          <w:spacing w:val="0"/>
          <w:sz w:val="32"/>
          <w:szCs w:val="32"/>
          <w:highlight w:val="none"/>
          <w:shd w:val="clear" w:fill="FFFFFF"/>
          <w:lang w:val="en-US" w:eastAsia="zh-CN"/>
        </w:rPr>
        <w:t>同时</w:t>
      </w:r>
      <w:r>
        <w:rPr>
          <w:rFonts w:hint="eastAsia" w:ascii="仿宋_GB2312" w:hAnsi="仿宋_GB2312" w:eastAsia="仿宋_GB2312" w:cs="仿宋_GB2312"/>
          <w:b w:val="0"/>
          <w:bCs w:val="0"/>
          <w:color w:val="auto"/>
          <w:sz w:val="32"/>
          <w:szCs w:val="32"/>
          <w:highlight w:val="none"/>
          <w:lang w:val="en-US" w:eastAsia="zh-CN"/>
        </w:rPr>
        <w:t>美化了城市夜景，更好的促进城市建设和发展，满足人民群众的需求，为社会稳定和长治久安做出积极贡献，推进和田的稳定发展。</w:t>
      </w:r>
    </w:p>
    <w:p>
      <w:pPr>
        <w:pStyle w:val="12"/>
        <w:spacing w:line="560" w:lineRule="exact"/>
        <w:ind w:firstLine="624"/>
        <w:rPr>
          <w:rFonts w:ascii="仿宋" w:hAnsi="仿宋" w:eastAsia="仿宋"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Fonts w:hint="eastAsia" w:ascii="仿宋_GB2312" w:hAnsi="仿宋" w:eastAsia="仿宋_GB2312"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19</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18</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94.7</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保障单位干部职工工资福利正常发放人数</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18人</w:t>
      </w:r>
      <w:r>
        <w:rPr>
          <w:rFonts w:hint="eastAsia" w:ascii="仿宋_GB2312" w:hAnsi="仿宋" w:eastAsia="仿宋_GB2312"/>
          <w:color w:val="auto"/>
          <w:sz w:val="32"/>
          <w:szCs w:val="32"/>
          <w:highlight w:val="none"/>
        </w:rPr>
        <w:t>，实际完成值</w:t>
      </w:r>
      <w:r>
        <w:rPr>
          <w:rFonts w:hint="eastAsia" w:ascii="仿宋_GB2312" w:hAnsi="仿宋" w:eastAsia="仿宋_GB2312"/>
          <w:color w:val="auto"/>
          <w:sz w:val="32"/>
          <w:szCs w:val="32"/>
          <w:highlight w:val="none"/>
          <w:lang w:val="en-US" w:eastAsia="zh-CN"/>
        </w:rPr>
        <w:t>18人</w:t>
      </w:r>
      <w:r>
        <w:rPr>
          <w:rFonts w:hint="eastAsia" w:ascii="仿宋_GB2312" w:hAnsi="仿宋" w:eastAsia="仿宋_GB2312"/>
          <w:color w:val="auto"/>
          <w:sz w:val="32"/>
          <w:szCs w:val="32"/>
          <w:highlight w:val="none"/>
        </w:rPr>
        <w:t>，指标完成率</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保障运转车辆数</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12辆</w:t>
      </w:r>
      <w:r>
        <w:rPr>
          <w:rFonts w:hint="eastAsia" w:ascii="仿宋_GB2312" w:hAnsi="仿宋" w:eastAsia="仿宋_GB2312"/>
          <w:color w:val="auto"/>
          <w:sz w:val="32"/>
          <w:szCs w:val="32"/>
          <w:highlight w:val="none"/>
        </w:rPr>
        <w:t>，实际完成值</w:t>
      </w:r>
      <w:r>
        <w:rPr>
          <w:rFonts w:hint="eastAsia" w:ascii="仿宋_GB2312" w:hAnsi="仿宋" w:eastAsia="仿宋_GB2312"/>
          <w:color w:val="auto"/>
          <w:sz w:val="32"/>
          <w:szCs w:val="32"/>
          <w:highlight w:val="none"/>
          <w:lang w:val="en-US" w:eastAsia="zh-CN"/>
        </w:rPr>
        <w:t>12辆</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保障部门预算项目数</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3个</w:t>
      </w:r>
      <w:r>
        <w:rPr>
          <w:rFonts w:hint="eastAsia" w:ascii="仿宋_GB2312" w:hAnsi="仿宋" w:eastAsia="仿宋_GB2312"/>
          <w:color w:val="auto"/>
          <w:sz w:val="32"/>
          <w:szCs w:val="32"/>
          <w:highlight w:val="none"/>
        </w:rPr>
        <w:t>，实际完成值</w:t>
      </w:r>
      <w:r>
        <w:rPr>
          <w:rFonts w:hint="eastAsia" w:ascii="仿宋_GB2312" w:hAnsi="仿宋" w:eastAsia="仿宋_GB2312"/>
          <w:color w:val="auto"/>
          <w:sz w:val="32"/>
          <w:szCs w:val="32"/>
          <w:highlight w:val="none"/>
          <w:lang w:val="en-US" w:eastAsia="zh-CN"/>
        </w:rPr>
        <w:t>3个</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供电路灯数量</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86000盏，</w:t>
      </w:r>
      <w:r>
        <w:rPr>
          <w:rFonts w:hint="eastAsia" w:ascii="仿宋_GB2312" w:hAnsi="仿宋" w:eastAsia="仿宋_GB2312"/>
          <w:color w:val="auto"/>
          <w:sz w:val="32"/>
          <w:szCs w:val="32"/>
          <w:highlight w:val="none"/>
        </w:rPr>
        <w:t>实际完成值</w:t>
      </w:r>
      <w:r>
        <w:rPr>
          <w:rFonts w:hint="eastAsia" w:ascii="仿宋_GB2312" w:hAnsi="仿宋" w:eastAsia="仿宋_GB2312"/>
          <w:color w:val="auto"/>
          <w:sz w:val="32"/>
          <w:szCs w:val="32"/>
          <w:highlight w:val="none"/>
          <w:lang w:val="en-US" w:eastAsia="zh-CN"/>
        </w:rPr>
        <w:t>86000盏</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数量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个，达到预期</w:t>
      </w:r>
      <w:r>
        <w:rPr>
          <w:rFonts w:hint="eastAsia" w:ascii="仿宋_GB2312" w:hAnsi="仿宋" w:eastAsia="仿宋_GB2312"/>
          <w:color w:val="auto"/>
          <w:sz w:val="32"/>
          <w:szCs w:val="32"/>
          <w:highlight w:val="none"/>
          <w:lang w:val="en-US" w:eastAsia="zh-CN"/>
        </w:rPr>
        <w:t>目标,数量指标完成。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工资及社保等各项缴费发放准确率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车辆正常运转率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大于等于98%</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98%</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工作任务完成率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大于等于98%</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98%</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w:t>
      </w:r>
      <w:r>
        <w:rPr>
          <w:rFonts w:hint="eastAsia" w:ascii="仿宋_GB2312" w:hAnsi="仿宋" w:eastAsia="仿宋_GB2312"/>
          <w:color w:val="auto"/>
          <w:sz w:val="32"/>
          <w:szCs w:val="32"/>
          <w:highlight w:val="none"/>
          <w:lang w:val="en-US" w:eastAsia="zh-CN"/>
        </w:rPr>
        <w:t>标，质量指标完成。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工资及社保等各项缴费发放及时率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项目完成时间，</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项目完成及时率，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大于等于98%</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98%</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，时效指标完成。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各项工资、福利、补助成本</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小于等于251.30万元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251.3万元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对个人和家庭补助成本</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小于等于9.54万元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9.54万元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正常运转支出成本</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小于等于15.2万元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7.96万元</w:t>
      </w:r>
      <w:r>
        <w:rPr>
          <w:rFonts w:hint="eastAsia" w:ascii="仿宋_GB2312" w:hAnsi="仿宋" w:eastAsia="仿宋_GB2312"/>
          <w:color w:val="auto"/>
          <w:sz w:val="32"/>
          <w:szCs w:val="32"/>
          <w:highlight w:val="none"/>
        </w:rPr>
        <w:t>，指标完成率</w:t>
      </w:r>
      <w:r>
        <w:rPr>
          <w:rFonts w:hint="eastAsia" w:ascii="仿宋_GB2312" w:hAnsi="仿宋" w:eastAsia="仿宋_GB2312"/>
          <w:color w:val="auto"/>
          <w:sz w:val="32"/>
          <w:szCs w:val="32"/>
          <w:highlight w:val="none"/>
          <w:lang w:val="en-US" w:eastAsia="zh-CN"/>
        </w:rPr>
        <w:t>是52.4</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。原因：预算不精准。措施：后期加强预算精准度。</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预算项目成本</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小于等于526.74万元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526.74万元</w:t>
      </w:r>
      <w:r>
        <w:rPr>
          <w:rFonts w:hint="eastAsia" w:ascii="仿宋_GB2312" w:hAnsi="仿宋" w:eastAsia="仿宋_GB2312"/>
          <w:color w:val="auto"/>
          <w:sz w:val="32"/>
          <w:szCs w:val="32"/>
          <w:highlight w:val="none"/>
        </w:rPr>
        <w:t>，指标完成率</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3个</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原因：预算不精准。措施：后期加强预算精准度。</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pageBreakBefore w:val="0"/>
        <w:kinsoku/>
        <w:wordWrap/>
        <w:overflowPunct/>
        <w:topLinePunct w:val="0"/>
        <w:autoSpaceDE/>
        <w:autoSpaceDN/>
        <w:bidi w:val="0"/>
        <w:adjustRightInd/>
        <w:spacing w:line="560" w:lineRule="exact"/>
        <w:ind w:firstLine="960" w:firstLineChars="3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保障单位正常运行</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有效保障</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有效保障</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保障人民群众出行安全</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有效保障</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有效保障</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社会效益指标</w:t>
      </w:r>
      <w:r>
        <w:rPr>
          <w:rFonts w:hint="eastAsia" w:ascii="仿宋_GB2312" w:hAnsi="仿宋" w:eastAsia="仿宋_GB2312"/>
          <w:color w:val="auto"/>
          <w:sz w:val="32"/>
          <w:szCs w:val="32"/>
          <w:highlight w:val="none"/>
          <w:lang w:eastAsia="zh-CN"/>
        </w:rPr>
        <w:t>完成。</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pageBreakBefore w:val="0"/>
        <w:kinsoku/>
        <w:wordWrap/>
        <w:overflowPunct/>
        <w:topLinePunct w:val="0"/>
        <w:autoSpaceDE/>
        <w:autoSpaceDN/>
        <w:bidi w:val="0"/>
        <w:adjustRightInd/>
        <w:spacing w:line="560" w:lineRule="exact"/>
        <w:ind w:firstLine="624" w:firstLineChars="200"/>
        <w:textAlignment w:val="auto"/>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lang w:val="en-US" w:eastAsia="zh-CN"/>
        </w:rPr>
        <w:t>持续为群众提供政府公共服务能力</w:t>
      </w:r>
      <w:r>
        <w:rPr>
          <w:rFonts w:hint="eastAsia" w:ascii="仿宋_GB2312" w:hAnsi="仿宋" w:eastAsia="仿宋_GB2312" w:cs="仿宋"/>
          <w:color w:val="auto"/>
          <w:spacing w:val="-4"/>
          <w:sz w:val="32"/>
          <w:szCs w:val="32"/>
          <w:highlight w:val="none"/>
        </w:rPr>
        <w:t>，预期指标是</w:t>
      </w:r>
      <w:r>
        <w:rPr>
          <w:rFonts w:hint="eastAsia" w:ascii="仿宋_GB2312" w:hAnsi="仿宋" w:eastAsia="仿宋_GB2312" w:cs="仿宋"/>
          <w:color w:val="auto"/>
          <w:spacing w:val="-4"/>
          <w:sz w:val="32"/>
          <w:szCs w:val="32"/>
          <w:highlight w:val="none"/>
          <w:lang w:val="en-US" w:eastAsia="zh-CN"/>
        </w:rPr>
        <w:t>长期</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长期，</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r>
        <w:rPr>
          <w:rFonts w:hint="eastAsia" w:ascii="仿宋_GB2312" w:hAnsi="仿宋" w:eastAsia="仿宋_GB2312" w:cs="仿宋"/>
          <w:color w:val="auto"/>
          <w:spacing w:val="-4"/>
          <w:sz w:val="32"/>
          <w:szCs w:val="32"/>
          <w:highlight w:val="none"/>
          <w:lang w:eastAsia="zh-CN"/>
        </w:rPr>
        <w:t>。</w:t>
      </w:r>
    </w:p>
    <w:p>
      <w:pPr>
        <w:pageBreakBefore w:val="0"/>
        <w:kinsoku/>
        <w:wordWrap/>
        <w:overflowPunct/>
        <w:topLinePunct w:val="0"/>
        <w:autoSpaceDE/>
        <w:autoSpaceDN/>
        <w:bidi w:val="0"/>
        <w:adjustRightInd/>
        <w:spacing w:line="560" w:lineRule="exact"/>
        <w:ind w:firstLine="624" w:firstLineChars="200"/>
        <w:textAlignment w:val="auto"/>
        <w:rPr>
          <w:rFonts w:hint="eastAsia" w:ascii="仿宋_GB2312" w:eastAsia="仿宋_GB2312"/>
          <w:color w:val="auto"/>
          <w:sz w:val="32"/>
          <w:szCs w:val="32"/>
          <w:highlight w:val="none"/>
          <w:lang w:val="en-US" w:eastAsia="zh-CN"/>
        </w:rPr>
      </w:pPr>
      <w:r>
        <w:rPr>
          <w:rFonts w:hint="eastAsia" w:ascii="仿宋_GB2312" w:hAnsi="楷体" w:eastAsia="仿宋_GB2312" w:cs="仿宋"/>
          <w:color w:val="auto"/>
          <w:spacing w:val="-4"/>
          <w:sz w:val="32"/>
          <w:szCs w:val="32"/>
          <w:highlight w:val="none"/>
        </w:rPr>
        <w:t>可持续影响</w:t>
      </w:r>
      <w:r>
        <w:rPr>
          <w:rFonts w:hint="eastAsia" w:ascii="仿宋_GB2312" w:hAnsi="仿宋" w:eastAsia="仿宋_GB2312" w:cs="仿宋"/>
          <w:color w:val="auto"/>
          <w:spacing w:val="-4"/>
          <w:sz w:val="32"/>
          <w:szCs w:val="32"/>
          <w:highlight w:val="none"/>
        </w:rPr>
        <w:t>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w:t>
      </w:r>
      <w:r>
        <w:rPr>
          <w:rFonts w:hint="eastAsia" w:ascii="仿宋_GB2312" w:hAnsi="仿宋" w:eastAsia="仿宋_GB2312" w:cs="仿宋"/>
          <w:color w:val="auto"/>
          <w:spacing w:val="-4"/>
          <w:sz w:val="32"/>
          <w:szCs w:val="32"/>
          <w:highlight w:val="none"/>
          <w:lang w:val="en-US" w:eastAsia="zh-CN"/>
        </w:rPr>
        <w:t>标，</w:t>
      </w:r>
      <w:r>
        <w:rPr>
          <w:rFonts w:hint="eastAsia" w:ascii="仿宋_GB2312" w:hAnsi="楷体" w:eastAsia="仿宋_GB2312" w:cs="仿宋"/>
          <w:color w:val="auto"/>
          <w:spacing w:val="-4"/>
          <w:sz w:val="32"/>
          <w:szCs w:val="32"/>
          <w:highlight w:val="none"/>
        </w:rPr>
        <w:t>可持续影响</w:t>
      </w:r>
      <w:r>
        <w:rPr>
          <w:rFonts w:hint="eastAsia" w:ascii="仿宋_GB2312" w:hAnsi="仿宋" w:eastAsia="仿宋_GB2312" w:cs="仿宋"/>
          <w:color w:val="auto"/>
          <w:spacing w:val="-4"/>
          <w:sz w:val="32"/>
          <w:szCs w:val="32"/>
          <w:highlight w:val="none"/>
        </w:rPr>
        <w:t>指标</w:t>
      </w:r>
      <w:r>
        <w:rPr>
          <w:rFonts w:hint="eastAsia" w:ascii="仿宋_GB2312" w:hAnsi="仿宋" w:eastAsia="仿宋_GB2312" w:cs="仿宋"/>
          <w:color w:val="auto"/>
          <w:spacing w:val="-4"/>
          <w:sz w:val="32"/>
          <w:szCs w:val="32"/>
          <w:highlight w:val="none"/>
          <w:lang w:eastAsia="zh-CN"/>
        </w:rPr>
        <w:t>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pageBreakBefore w:val="0"/>
        <w:kinsoku/>
        <w:wordWrap/>
        <w:overflowPunct/>
        <w:topLinePunct w:val="0"/>
        <w:autoSpaceDE/>
        <w:autoSpaceDN/>
        <w:bidi w:val="0"/>
        <w:adjustRightInd/>
        <w:spacing w:line="560" w:lineRule="exact"/>
        <w:ind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lang w:val="en-US" w:eastAsia="zh-CN"/>
        </w:rPr>
        <w:t>受益群众满意度</w:t>
      </w:r>
      <w:r>
        <w:rPr>
          <w:rFonts w:hint="eastAsia" w:ascii="仿宋_GB2312" w:hAnsi="仿宋" w:eastAsia="仿宋_GB2312" w:cs="仿宋"/>
          <w:color w:val="auto"/>
          <w:spacing w:val="-4"/>
          <w:sz w:val="32"/>
          <w:szCs w:val="32"/>
          <w:highlight w:val="none"/>
        </w:rPr>
        <w:t>，预期指标是</w:t>
      </w:r>
      <w:r>
        <w:rPr>
          <w:rFonts w:hint="eastAsia" w:ascii="仿宋_GB2312" w:hAnsi="仿宋" w:eastAsia="仿宋_GB2312" w:cs="仿宋"/>
          <w:color w:val="auto"/>
          <w:spacing w:val="-4"/>
          <w:sz w:val="32"/>
          <w:szCs w:val="32"/>
          <w:highlight w:val="none"/>
          <w:lang w:val="en-US" w:eastAsia="zh-CN"/>
        </w:rPr>
        <w:t>大于等于96%</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96%</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pageBreakBefore w:val="0"/>
        <w:kinsoku/>
        <w:wordWrap/>
        <w:overflowPunct/>
        <w:topLinePunct w:val="0"/>
        <w:autoSpaceDE/>
        <w:autoSpaceDN/>
        <w:bidi w:val="0"/>
        <w:adjustRightInd/>
        <w:spacing w:line="560" w:lineRule="exact"/>
        <w:ind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lang w:val="en-US" w:eastAsia="zh-CN"/>
        </w:rPr>
        <w:t>干部职工满意度</w:t>
      </w:r>
      <w:r>
        <w:rPr>
          <w:rFonts w:hint="eastAsia" w:ascii="仿宋_GB2312" w:hAnsi="仿宋" w:eastAsia="仿宋_GB2312" w:cs="仿宋"/>
          <w:color w:val="auto"/>
          <w:spacing w:val="-4"/>
          <w:sz w:val="32"/>
          <w:szCs w:val="32"/>
          <w:highlight w:val="none"/>
        </w:rPr>
        <w:t>，预期指标是</w:t>
      </w:r>
      <w:r>
        <w:rPr>
          <w:rFonts w:hint="eastAsia" w:ascii="仿宋_GB2312" w:hAnsi="仿宋" w:eastAsia="仿宋_GB2312" w:cs="仿宋"/>
          <w:color w:val="auto"/>
          <w:spacing w:val="-4"/>
          <w:sz w:val="32"/>
          <w:szCs w:val="32"/>
          <w:highlight w:val="none"/>
          <w:lang w:val="en-US" w:eastAsia="zh-CN"/>
        </w:rPr>
        <w:t>大于等于96%</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96%</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pageBreakBefore w:val="0"/>
        <w:kinsoku/>
        <w:wordWrap/>
        <w:overflowPunct/>
        <w:topLinePunct w:val="0"/>
        <w:autoSpaceDE/>
        <w:autoSpaceDN/>
        <w:bidi w:val="0"/>
        <w:adjustRightInd/>
        <w:spacing w:line="560" w:lineRule="exact"/>
        <w:ind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pageBreakBefore w:val="0"/>
        <w:kinsoku/>
        <w:wordWrap/>
        <w:overflowPunct/>
        <w:topLinePunct w:val="0"/>
        <w:autoSpaceDE/>
        <w:autoSpaceDN/>
        <w:bidi w:val="0"/>
        <w:adjustRightInd/>
        <w:spacing w:line="560" w:lineRule="exact"/>
        <w:ind w:firstLine="624" w:firstLineChars="200"/>
        <w:textAlignment w:val="auto"/>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经济性评价：</w:t>
      </w:r>
      <w:r>
        <w:rPr>
          <w:rFonts w:hint="eastAsia" w:ascii="仿宋_GB2312" w:hAnsi="仿宋_GB2312" w:eastAsia="仿宋_GB2312" w:cs="仿宋_GB2312"/>
          <w:color w:val="auto"/>
          <w:spacing w:val="-4"/>
          <w:sz w:val="32"/>
          <w:szCs w:val="32"/>
          <w:highlight w:val="none"/>
          <w:lang w:eastAsia="zh-CN"/>
        </w:rPr>
        <w:t>单位</w:t>
      </w:r>
      <w:r>
        <w:rPr>
          <w:rFonts w:hint="eastAsia" w:ascii="仿宋_GB2312" w:hAnsi="仿宋_GB2312" w:eastAsia="仿宋_GB2312" w:cs="仿宋_GB2312"/>
          <w:color w:val="auto"/>
          <w:spacing w:val="-4"/>
          <w:sz w:val="32"/>
          <w:szCs w:val="32"/>
          <w:highlight w:val="none"/>
        </w:rPr>
        <w:t>年度任务在预算资金额度内完成，并通过规范的招投标及严格的资金管理及项目管理及其他创新的管理措施实现了资金的节约。三公经费在预算范围内开支，开支范围较上年的变化，</w:t>
      </w:r>
      <w:r>
        <w:rPr>
          <w:rFonts w:hint="eastAsia" w:ascii="仿宋_GB2312" w:hAnsi="仿宋_GB2312" w:eastAsia="仿宋_GB2312" w:cs="仿宋_GB2312"/>
          <w:color w:val="auto"/>
          <w:spacing w:val="-4"/>
          <w:sz w:val="32"/>
          <w:szCs w:val="32"/>
          <w:highlight w:val="none"/>
          <w:lang w:val="en-US" w:eastAsia="zh-CN"/>
        </w:rPr>
        <w:t>无</w:t>
      </w:r>
      <w:r>
        <w:rPr>
          <w:rFonts w:hint="eastAsia" w:ascii="仿宋_GB2312" w:hAnsi="仿宋_GB2312" w:eastAsia="仿宋_GB2312" w:cs="仿宋_GB2312"/>
          <w:color w:val="auto"/>
          <w:spacing w:val="-4"/>
          <w:sz w:val="32"/>
          <w:szCs w:val="32"/>
          <w:highlight w:val="none"/>
        </w:rPr>
        <w:t>节约。</w:t>
      </w:r>
    </w:p>
    <w:p>
      <w:pPr>
        <w:pageBreakBefore w:val="0"/>
        <w:kinsoku/>
        <w:wordWrap/>
        <w:overflowPunct/>
        <w:topLinePunct w:val="0"/>
        <w:autoSpaceDE/>
        <w:autoSpaceDN/>
        <w:bidi w:val="0"/>
        <w:adjustRightInd/>
        <w:spacing w:line="560" w:lineRule="exact"/>
        <w:ind w:firstLine="624" w:firstLineChars="200"/>
        <w:textAlignment w:val="auto"/>
        <w:rPr>
          <w:rFonts w:hint="eastAsia"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效率性评价：各项工作计划按预期计划按时完成，效益按预期时间产生。</w:t>
      </w:r>
    </w:p>
    <w:p>
      <w:pPr>
        <w:pageBreakBefore w:val="0"/>
        <w:kinsoku/>
        <w:wordWrap/>
        <w:overflowPunct/>
        <w:topLinePunct w:val="0"/>
        <w:autoSpaceDE/>
        <w:autoSpaceDN/>
        <w:bidi w:val="0"/>
        <w:adjustRightInd/>
        <w:spacing w:line="560" w:lineRule="exact"/>
        <w:ind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效益性评价：预期的经济效益、社会效益、可持续的影响产生</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lang w:val="en-US" w:eastAsia="zh-CN"/>
        </w:rPr>
        <w:t>受益群众单位干部职工均达到96%的满意率。</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lang w:eastAsia="zh-CN"/>
        </w:rPr>
        <w:t>无。</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9CFE73DF"/>
    <w:multiLevelType w:val="singleLevel"/>
    <w:tmpl w:val="9CFE73DF"/>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E2D1421"/>
    <w:rsid w:val="0F484CBE"/>
    <w:rsid w:val="10DC3C1E"/>
    <w:rsid w:val="11970B0A"/>
    <w:rsid w:val="12A4017D"/>
    <w:rsid w:val="141C6243"/>
    <w:rsid w:val="1A7D2E72"/>
    <w:rsid w:val="1ACC0302"/>
    <w:rsid w:val="1CEF2574"/>
    <w:rsid w:val="227375DB"/>
    <w:rsid w:val="22DD3A98"/>
    <w:rsid w:val="29F9207F"/>
    <w:rsid w:val="2AFC061A"/>
    <w:rsid w:val="2EE75CD4"/>
    <w:rsid w:val="2F187AB3"/>
    <w:rsid w:val="2F2E1EC8"/>
    <w:rsid w:val="30E07F90"/>
    <w:rsid w:val="3455214F"/>
    <w:rsid w:val="353C0AD7"/>
    <w:rsid w:val="39F86F0C"/>
    <w:rsid w:val="3B2B6289"/>
    <w:rsid w:val="3CCA3DC7"/>
    <w:rsid w:val="45117C0B"/>
    <w:rsid w:val="4D457C38"/>
    <w:rsid w:val="4E31105E"/>
    <w:rsid w:val="4E746EF8"/>
    <w:rsid w:val="4ECD6109"/>
    <w:rsid w:val="517E1B32"/>
    <w:rsid w:val="555C287A"/>
    <w:rsid w:val="55D03A95"/>
    <w:rsid w:val="56A45760"/>
    <w:rsid w:val="599F2F96"/>
    <w:rsid w:val="5D6176A7"/>
    <w:rsid w:val="607844F0"/>
    <w:rsid w:val="616E0F8F"/>
    <w:rsid w:val="66540FAC"/>
    <w:rsid w:val="6FE15325"/>
    <w:rsid w:val="74765D00"/>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6807</Words>
  <Characters>7175</Characters>
  <Lines>58</Lines>
  <Paragraphs>16</Paragraphs>
  <TotalTime>4</TotalTime>
  <ScaleCrop>false</ScaleCrop>
  <LinksUpToDate>false</LinksUpToDate>
  <CharactersWithSpaces>7198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2022-08-31T08:47:06Z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D56BF00A5A1F47F5A0201D8B57299BF7</vt:lpwstr>
  </property>
</Properties>
</file>