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auto"/>
          <w:highlight w:val="none"/>
        </w:rPr>
      </w:pPr>
    </w:p>
    <w:p>
      <w:pPr>
        <w:rPr>
          <w:color w:val="auto"/>
          <w:highlight w:val="none"/>
        </w:rPr>
      </w:pPr>
    </w:p>
    <w:p>
      <w:pPr>
        <w:rPr>
          <w:color w:val="auto"/>
          <w:highlight w:val="none"/>
        </w:rPr>
      </w:pPr>
    </w:p>
    <w:p>
      <w:pPr>
        <w:spacing w:line="540" w:lineRule="exact"/>
        <w:jc w:val="center"/>
        <w:rPr>
          <w:rFonts w:ascii="方正小标宋_GBK" w:hAnsi="华文中宋" w:eastAsia="方正小标宋_GBK" w:cs="宋体"/>
          <w:b/>
          <w:color w:val="auto"/>
          <w:kern w:val="0"/>
          <w:sz w:val="48"/>
          <w:szCs w:val="48"/>
          <w:highlight w:val="none"/>
        </w:rPr>
      </w:pPr>
    </w:p>
    <w:p>
      <w:pPr>
        <w:spacing w:line="600" w:lineRule="exact"/>
        <w:jc w:val="center"/>
        <w:rPr>
          <w:rFonts w:ascii="方正小标宋_GBK" w:hAnsi="华文中宋" w:eastAsia="方正小标宋_GBK" w:cs="宋体"/>
          <w:b/>
          <w:color w:val="auto"/>
          <w:kern w:val="0"/>
          <w:sz w:val="44"/>
          <w:szCs w:val="44"/>
          <w:highlight w:val="none"/>
        </w:rPr>
      </w:pPr>
      <w:r>
        <w:rPr>
          <w:rFonts w:hint="eastAsia" w:ascii="方正小标宋_GBK" w:hAnsi="华文中宋" w:eastAsia="方正小标宋_GBK" w:cs="宋体"/>
          <w:b/>
          <w:color w:val="auto"/>
          <w:kern w:val="0"/>
          <w:sz w:val="44"/>
          <w:szCs w:val="44"/>
          <w:highlight w:val="none"/>
          <w:lang w:val="en-US" w:eastAsia="zh-CN"/>
        </w:rPr>
        <w:t>和田市市场监督管理局</w:t>
      </w:r>
      <w:r>
        <w:rPr>
          <w:rFonts w:hint="eastAsia" w:ascii="方正小标宋_GBK" w:hAnsi="华文中宋" w:eastAsia="方正小标宋_GBK" w:cs="宋体"/>
          <w:b/>
          <w:color w:val="auto"/>
          <w:kern w:val="0"/>
          <w:sz w:val="44"/>
          <w:szCs w:val="44"/>
          <w:highlight w:val="none"/>
        </w:rPr>
        <w:t>整体支出</w:t>
      </w:r>
    </w:p>
    <w:p>
      <w:pPr>
        <w:spacing w:line="600" w:lineRule="exact"/>
        <w:jc w:val="center"/>
        <w:rPr>
          <w:rFonts w:ascii="方正小标宋_GBK" w:hAnsi="华文中宋" w:eastAsia="方正小标宋_GBK" w:cs="宋体"/>
          <w:b/>
          <w:color w:val="auto"/>
          <w:kern w:val="0"/>
          <w:sz w:val="44"/>
          <w:szCs w:val="44"/>
          <w:highlight w:val="none"/>
        </w:rPr>
      </w:pPr>
      <w:r>
        <w:rPr>
          <w:rFonts w:hint="eastAsia" w:ascii="方正小标宋_GBK" w:hAnsi="华文中宋" w:eastAsia="方正小标宋_GBK" w:cs="宋体"/>
          <w:b/>
          <w:color w:val="auto"/>
          <w:kern w:val="0"/>
          <w:sz w:val="44"/>
          <w:szCs w:val="44"/>
          <w:highlight w:val="none"/>
        </w:rPr>
        <w:t>绩效自评报告</w:t>
      </w:r>
    </w:p>
    <w:p>
      <w:pPr>
        <w:spacing w:line="540" w:lineRule="exact"/>
        <w:jc w:val="center"/>
        <w:rPr>
          <w:rFonts w:ascii="Times New Roman" w:hAnsi="宋体" w:eastAsia="仿宋_GB2312" w:cs="宋体"/>
          <w:color w:val="auto"/>
          <w:kern w:val="0"/>
          <w:sz w:val="36"/>
          <w:szCs w:val="36"/>
          <w:highlight w:val="none"/>
        </w:rPr>
      </w:pPr>
    </w:p>
    <w:p>
      <w:pPr>
        <w:jc w:val="center"/>
        <w:rPr>
          <w:rFonts w:hint="eastAsia" w:ascii="仿宋_GB2312" w:hAnsi="宋体" w:eastAsia="仿宋_GB2312" w:cs="宋体"/>
          <w:color w:val="auto"/>
          <w:kern w:val="0"/>
          <w:sz w:val="36"/>
          <w:szCs w:val="36"/>
          <w:highlight w:val="none"/>
        </w:rPr>
      </w:pPr>
      <w:r>
        <w:rPr>
          <w:rFonts w:hint="eastAsia" w:ascii="仿宋_GB2312" w:hAnsi="宋体" w:eastAsia="仿宋_GB2312" w:cs="宋体"/>
          <w:color w:val="auto"/>
          <w:kern w:val="0"/>
          <w:sz w:val="36"/>
          <w:szCs w:val="36"/>
          <w:highlight w:val="none"/>
        </w:rPr>
        <w:t>（</w:t>
      </w:r>
      <w:r>
        <w:rPr>
          <w:rFonts w:hint="eastAsia" w:ascii="仿宋_GB2312" w:hAnsi="宋体" w:eastAsia="仿宋_GB2312" w:cs="宋体"/>
          <w:color w:val="auto"/>
          <w:kern w:val="0"/>
          <w:sz w:val="36"/>
          <w:szCs w:val="36"/>
          <w:highlight w:val="none"/>
          <w:lang w:eastAsia="zh-CN"/>
        </w:rPr>
        <w:t>2021</w:t>
      </w:r>
      <w:r>
        <w:rPr>
          <w:rFonts w:hint="eastAsia" w:ascii="仿宋_GB2312" w:hAnsi="宋体" w:eastAsia="仿宋_GB2312" w:cs="宋体"/>
          <w:color w:val="auto"/>
          <w:kern w:val="0"/>
          <w:sz w:val="36"/>
          <w:szCs w:val="36"/>
          <w:highlight w:val="none"/>
        </w:rPr>
        <w:t>年度）</w:t>
      </w: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rFonts w:hint="eastAsia" w:ascii="Times New Roman" w:hAnsi="宋体" w:eastAsia="仿宋_GB2312" w:cs="宋体"/>
          <w:color w:val="auto"/>
          <w:kern w:val="0"/>
          <w:sz w:val="36"/>
          <w:szCs w:val="36"/>
          <w:highlight w:val="none"/>
          <w:lang w:eastAsia="zh-CN"/>
        </w:rPr>
      </w:pPr>
      <w:r>
        <w:rPr>
          <w:rFonts w:hint="eastAsia" w:ascii="Times New Roman" w:hAnsi="宋体" w:eastAsia="仿宋_GB2312" w:cs="宋体"/>
          <w:color w:val="auto"/>
          <w:kern w:val="0"/>
          <w:sz w:val="36"/>
          <w:szCs w:val="36"/>
          <w:highlight w:val="none"/>
        </w:rPr>
        <w:t>单位名称（公章）：</w:t>
      </w:r>
      <w:r>
        <w:rPr>
          <w:rFonts w:hint="eastAsia" w:ascii="Times New Roman" w:hAnsi="宋体" w:eastAsia="仿宋_GB2312" w:cs="宋体"/>
          <w:color w:val="auto"/>
          <w:kern w:val="0"/>
          <w:sz w:val="36"/>
          <w:szCs w:val="36"/>
          <w:highlight w:val="none"/>
          <w:lang w:eastAsia="zh-CN"/>
        </w:rPr>
        <w:t>和田市市场监督管理局</w:t>
      </w:r>
    </w:p>
    <w:p>
      <w:pPr>
        <w:rPr>
          <w:rFonts w:ascii="Times New Roman" w:hAnsi="宋体" w:eastAsia="仿宋_GB2312" w:cs="宋体"/>
          <w:color w:val="auto"/>
          <w:kern w:val="0"/>
          <w:sz w:val="36"/>
          <w:szCs w:val="36"/>
          <w:highlight w:val="none"/>
        </w:rPr>
      </w:pPr>
      <w:r>
        <w:rPr>
          <w:rFonts w:hint="eastAsia" w:ascii="Times New Roman" w:hAnsi="宋体" w:eastAsia="仿宋_GB2312" w:cs="宋体"/>
          <w:color w:val="auto"/>
          <w:kern w:val="0"/>
          <w:sz w:val="36"/>
          <w:szCs w:val="36"/>
          <w:highlight w:val="none"/>
        </w:rPr>
        <w:t xml:space="preserve">填报时间： </w:t>
      </w:r>
      <w:r>
        <w:rPr>
          <w:rFonts w:hint="eastAsia" w:ascii="Times New Roman" w:hAnsi="宋体" w:eastAsia="仿宋_GB2312" w:cs="宋体"/>
          <w:color w:val="auto"/>
          <w:kern w:val="0"/>
          <w:sz w:val="36"/>
          <w:szCs w:val="36"/>
          <w:highlight w:val="none"/>
          <w:lang w:val="en-US" w:eastAsia="zh-CN"/>
        </w:rPr>
        <w:t>2022</w:t>
      </w:r>
      <w:r>
        <w:rPr>
          <w:rFonts w:hint="eastAsia" w:ascii="Times New Roman" w:hAnsi="宋体" w:eastAsia="仿宋_GB2312" w:cs="宋体"/>
          <w:color w:val="auto"/>
          <w:kern w:val="0"/>
          <w:sz w:val="36"/>
          <w:szCs w:val="36"/>
          <w:highlight w:val="none"/>
        </w:rPr>
        <w:t xml:space="preserve"> 年</w:t>
      </w:r>
      <w:r>
        <w:rPr>
          <w:rFonts w:hint="eastAsia" w:ascii="Times New Roman" w:hAnsi="宋体" w:eastAsia="仿宋_GB2312" w:cs="宋体"/>
          <w:color w:val="auto"/>
          <w:kern w:val="0"/>
          <w:sz w:val="36"/>
          <w:szCs w:val="36"/>
          <w:highlight w:val="none"/>
          <w:lang w:val="en-US" w:eastAsia="zh-CN"/>
        </w:rPr>
        <w:t xml:space="preserve"> </w:t>
      </w:r>
      <w:r>
        <w:rPr>
          <w:rFonts w:hint="eastAsia" w:ascii="Times New Roman" w:hAnsi="宋体" w:eastAsia="仿宋_GB2312" w:cs="宋体"/>
          <w:color w:val="auto"/>
          <w:kern w:val="0"/>
          <w:sz w:val="36"/>
          <w:szCs w:val="36"/>
          <w:highlight w:val="none"/>
        </w:rPr>
        <w:t xml:space="preserve"> </w:t>
      </w:r>
      <w:r>
        <w:rPr>
          <w:rFonts w:hint="eastAsia" w:ascii="Times New Roman" w:hAnsi="宋体" w:eastAsia="仿宋_GB2312" w:cs="宋体"/>
          <w:color w:val="auto"/>
          <w:kern w:val="0"/>
          <w:sz w:val="36"/>
          <w:szCs w:val="36"/>
          <w:highlight w:val="none"/>
          <w:lang w:val="en-US" w:eastAsia="zh-CN"/>
        </w:rPr>
        <w:t>2</w:t>
      </w:r>
      <w:r>
        <w:rPr>
          <w:rFonts w:hint="eastAsia" w:ascii="Times New Roman" w:hAnsi="宋体" w:eastAsia="仿宋_GB2312" w:cs="宋体"/>
          <w:color w:val="auto"/>
          <w:kern w:val="0"/>
          <w:sz w:val="36"/>
          <w:szCs w:val="36"/>
          <w:highlight w:val="none"/>
        </w:rPr>
        <w:t xml:space="preserve">  月   </w:t>
      </w:r>
      <w:r>
        <w:rPr>
          <w:rFonts w:hint="eastAsia" w:ascii="Times New Roman" w:hAnsi="宋体" w:eastAsia="仿宋_GB2312" w:cs="宋体"/>
          <w:color w:val="auto"/>
          <w:kern w:val="0"/>
          <w:sz w:val="36"/>
          <w:szCs w:val="36"/>
          <w:highlight w:val="none"/>
          <w:lang w:val="en-US" w:eastAsia="zh-CN"/>
        </w:rPr>
        <w:t>16</w:t>
      </w:r>
      <w:r>
        <w:rPr>
          <w:rFonts w:hint="eastAsia" w:ascii="Times New Roman" w:hAnsi="宋体" w:eastAsia="仿宋_GB2312" w:cs="宋体"/>
          <w:color w:val="auto"/>
          <w:kern w:val="0"/>
          <w:sz w:val="36"/>
          <w:szCs w:val="36"/>
          <w:highlight w:val="none"/>
        </w:rPr>
        <w:t xml:space="preserve">  日</w:t>
      </w:r>
    </w:p>
    <w:p>
      <w:pPr>
        <w:rPr>
          <w:rFonts w:ascii="Times New Roman" w:hAnsi="宋体" w:eastAsia="仿宋_GB2312" w:cs="宋体"/>
          <w:color w:val="auto"/>
          <w:kern w:val="0"/>
          <w:sz w:val="36"/>
          <w:szCs w:val="36"/>
          <w:highlight w:val="none"/>
        </w:rPr>
      </w:pPr>
    </w:p>
    <w:p>
      <w:pPr>
        <w:rPr>
          <w:rFonts w:ascii="方正小标宋简体" w:hAnsi="宋体" w:eastAsia="方正小标宋简体" w:cs="宋体"/>
          <w:color w:val="auto"/>
          <w:kern w:val="0"/>
          <w:sz w:val="36"/>
          <w:szCs w:val="36"/>
          <w:highlight w:val="none"/>
        </w:rPr>
      </w:pPr>
    </w:p>
    <w:p>
      <w:pPr>
        <w:pStyle w:val="2"/>
        <w:rPr>
          <w:color w:val="auto"/>
          <w:highlight w:val="none"/>
        </w:rPr>
      </w:pPr>
    </w:p>
    <w:p>
      <w:pPr>
        <w:rPr>
          <w:color w:val="auto"/>
          <w:highlight w:val="none"/>
        </w:rPr>
      </w:pPr>
    </w:p>
    <w:p>
      <w:pPr>
        <w:rPr>
          <w:color w:val="auto"/>
          <w:highlight w:val="none"/>
        </w:rPr>
      </w:pPr>
    </w:p>
    <w:p>
      <w:pPr>
        <w:pStyle w:val="14"/>
        <w:spacing w:line="560" w:lineRule="exact"/>
        <w:ind w:firstLine="624"/>
        <w:rPr>
          <w:rStyle w:val="12"/>
          <w:rFonts w:ascii="黑体" w:hAnsi="黑体" w:eastAsia="黑体" w:cs="Times New Roman"/>
          <w:b w:val="0"/>
          <w:color w:val="auto"/>
          <w:spacing w:val="-4"/>
          <w:sz w:val="32"/>
          <w:szCs w:val="32"/>
          <w:highlight w:val="none"/>
        </w:rPr>
      </w:pPr>
      <w:r>
        <w:rPr>
          <w:rStyle w:val="12"/>
          <w:rFonts w:hint="eastAsia" w:ascii="黑体" w:hAnsi="黑体" w:eastAsia="黑体" w:cs="Times New Roman"/>
          <w:b w:val="0"/>
          <w:color w:val="auto"/>
          <w:spacing w:val="-4"/>
          <w:sz w:val="32"/>
          <w:szCs w:val="32"/>
          <w:highlight w:val="none"/>
        </w:rPr>
        <w:t>一、基本概况</w:t>
      </w:r>
    </w:p>
    <w:p>
      <w:pPr>
        <w:spacing w:line="560" w:lineRule="exact"/>
        <w:ind w:firstLine="624" w:firstLineChars="200"/>
        <w:rPr>
          <w:rStyle w:val="12"/>
          <w:rFonts w:ascii="楷体" w:hAnsi="楷体" w:eastAsia="楷体" w:cs="Times New Roman"/>
          <w:b w:val="0"/>
          <w:bCs w:val="0"/>
          <w:color w:val="auto"/>
          <w:spacing w:val="-4"/>
          <w:sz w:val="32"/>
          <w:szCs w:val="32"/>
          <w:highlight w:val="none"/>
        </w:rPr>
      </w:pPr>
      <w:r>
        <w:rPr>
          <w:rStyle w:val="12"/>
          <w:rFonts w:hint="eastAsia" w:ascii="楷体" w:hAnsi="楷体" w:eastAsia="楷体" w:cs="Times New Roman"/>
          <w:b w:val="0"/>
          <w:bCs w:val="0"/>
          <w:color w:val="auto"/>
          <w:spacing w:val="-4"/>
          <w:sz w:val="32"/>
          <w:szCs w:val="32"/>
          <w:highlight w:val="none"/>
        </w:rPr>
        <w:t>（一）单位基本情况</w:t>
      </w:r>
    </w:p>
    <w:p>
      <w:pPr>
        <w:pStyle w:val="7"/>
        <w:widowControl/>
        <w:numPr>
          <w:ilvl w:val="0"/>
          <w:numId w:val="0"/>
        </w:numPr>
        <w:spacing w:beforeAutospacing="0" w:afterAutospacing="0" w:line="560" w:lineRule="exact"/>
        <w:ind w:firstLine="640" w:firstLineChars="200"/>
        <w:jc w:val="both"/>
        <w:textAlignment w:val="baseline"/>
        <w:rPr>
          <w:rFonts w:hint="eastAsia"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rPr>
        <w:t>1．</w:t>
      </w:r>
      <w:r>
        <w:rPr>
          <w:rFonts w:hint="eastAsia" w:ascii="仿宋_GB2312" w:hAnsi="仿宋" w:eastAsia="仿宋_GB2312" w:cs="Times New Roman"/>
          <w:bCs/>
          <w:color w:val="auto"/>
          <w:sz w:val="32"/>
          <w:szCs w:val="32"/>
          <w:highlight w:val="none"/>
          <w:lang w:val="en-US" w:eastAsia="zh-CN"/>
        </w:rPr>
        <w:t>单位</w:t>
      </w:r>
      <w:r>
        <w:rPr>
          <w:rFonts w:hint="eastAsia" w:ascii="仿宋_GB2312" w:hAnsi="仿宋" w:eastAsia="仿宋_GB2312" w:cs="Times New Roman"/>
          <w:bCs/>
          <w:color w:val="auto"/>
          <w:sz w:val="32"/>
          <w:szCs w:val="32"/>
          <w:highlight w:val="none"/>
        </w:rPr>
        <w:t>主要职能</w:t>
      </w:r>
    </w:p>
    <w:p>
      <w:pPr>
        <w:pStyle w:val="7"/>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baseline"/>
        <w:rPr>
          <w:rFonts w:hint="eastAsia" w:ascii="仿宋_GB2312" w:hAnsi="仿宋_GB2312" w:eastAsia="仿宋_GB2312" w:cs="仿宋_GB2312"/>
          <w:b w:val="0"/>
          <w:bCs/>
          <w:color w:val="auto"/>
          <w:kern w:val="2"/>
          <w:sz w:val="32"/>
          <w:szCs w:val="32"/>
          <w:highlight w:val="none"/>
          <w:lang w:val="en-US" w:eastAsia="zh-CN" w:bidi="ar-SA"/>
        </w:rPr>
      </w:pPr>
      <w:r>
        <w:rPr>
          <w:rFonts w:hint="eastAsia" w:ascii="仿宋_GB2312" w:hAnsi="仿宋_GB2312" w:eastAsia="仿宋_GB2312" w:cs="仿宋_GB2312"/>
          <w:b w:val="0"/>
          <w:bCs/>
          <w:color w:val="auto"/>
          <w:kern w:val="2"/>
          <w:sz w:val="32"/>
          <w:szCs w:val="32"/>
          <w:highlight w:val="none"/>
          <w:lang w:val="en-US" w:eastAsia="zh-CN" w:bidi="ar-SA"/>
        </w:rPr>
        <w:t>（1）负责市场综合监督管理和知识产权管理。</w:t>
      </w:r>
    </w:p>
    <w:p>
      <w:pPr>
        <w:pStyle w:val="7"/>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baseline"/>
        <w:rPr>
          <w:rFonts w:hint="eastAsia" w:ascii="仿宋_GB2312" w:hAnsi="仿宋_GB2312" w:eastAsia="仿宋_GB2312" w:cs="仿宋_GB2312"/>
          <w:b w:val="0"/>
          <w:bCs/>
          <w:color w:val="auto"/>
          <w:kern w:val="2"/>
          <w:sz w:val="32"/>
          <w:szCs w:val="32"/>
          <w:highlight w:val="none"/>
          <w:lang w:val="en-US" w:eastAsia="zh-CN" w:bidi="ar-SA"/>
        </w:rPr>
      </w:pPr>
      <w:r>
        <w:rPr>
          <w:rFonts w:hint="eastAsia" w:ascii="仿宋_GB2312" w:hAnsi="仿宋_GB2312" w:eastAsia="仿宋_GB2312" w:cs="仿宋_GB2312"/>
          <w:b w:val="0"/>
          <w:bCs/>
          <w:color w:val="auto"/>
          <w:kern w:val="2"/>
          <w:sz w:val="32"/>
          <w:szCs w:val="32"/>
          <w:highlight w:val="none"/>
          <w:lang w:val="en-US" w:eastAsia="zh-CN" w:bidi="ar-SA"/>
        </w:rPr>
        <w:t>（2）负责市场主体统一登记注册。</w:t>
      </w:r>
    </w:p>
    <w:p>
      <w:pPr>
        <w:pStyle w:val="7"/>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60" w:lineRule="exact"/>
        <w:ind w:left="0" w:leftChars="0" w:firstLine="640" w:firstLineChars="200"/>
        <w:jc w:val="both"/>
        <w:textAlignment w:val="baseline"/>
        <w:rPr>
          <w:rFonts w:hint="eastAsia" w:ascii="仿宋_GB2312" w:hAnsi="仿宋_GB2312" w:eastAsia="仿宋_GB2312" w:cs="仿宋_GB2312"/>
          <w:b w:val="0"/>
          <w:bCs/>
          <w:color w:val="auto"/>
          <w:kern w:val="2"/>
          <w:sz w:val="32"/>
          <w:szCs w:val="32"/>
          <w:highlight w:val="none"/>
          <w:lang w:val="en-US" w:eastAsia="zh-CN" w:bidi="ar-SA"/>
        </w:rPr>
      </w:pPr>
      <w:r>
        <w:rPr>
          <w:rFonts w:hint="eastAsia" w:ascii="仿宋_GB2312" w:hAnsi="仿宋_GB2312" w:eastAsia="仿宋_GB2312" w:cs="仿宋_GB2312"/>
          <w:b w:val="0"/>
          <w:bCs/>
          <w:color w:val="auto"/>
          <w:kern w:val="2"/>
          <w:sz w:val="32"/>
          <w:szCs w:val="32"/>
          <w:highlight w:val="none"/>
          <w:lang w:val="en-US" w:eastAsia="zh-CN" w:bidi="ar-SA"/>
        </w:rPr>
        <w:t>（3）负责组织和指导市场监督管理职责范围内综合执法工作。</w:t>
      </w:r>
    </w:p>
    <w:p>
      <w:pPr>
        <w:pStyle w:val="7"/>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60" w:lineRule="exact"/>
        <w:ind w:left="0" w:leftChars="0" w:firstLine="640" w:firstLineChars="200"/>
        <w:jc w:val="both"/>
        <w:textAlignment w:val="baseline"/>
        <w:rPr>
          <w:rFonts w:hint="eastAsia" w:ascii="仿宋_GB2312" w:hAnsi="仿宋_GB2312" w:eastAsia="仿宋_GB2312" w:cs="仿宋_GB2312"/>
          <w:b w:val="0"/>
          <w:bCs/>
          <w:color w:val="auto"/>
          <w:kern w:val="2"/>
          <w:sz w:val="32"/>
          <w:szCs w:val="32"/>
          <w:highlight w:val="none"/>
          <w:lang w:val="en-US" w:eastAsia="zh-CN" w:bidi="ar-SA"/>
        </w:rPr>
      </w:pPr>
      <w:r>
        <w:rPr>
          <w:rFonts w:hint="eastAsia" w:ascii="仿宋_GB2312" w:hAnsi="仿宋_GB2312" w:eastAsia="仿宋_GB2312" w:cs="仿宋_GB2312"/>
          <w:b w:val="0"/>
          <w:bCs/>
          <w:color w:val="auto"/>
          <w:kern w:val="2"/>
          <w:sz w:val="32"/>
          <w:szCs w:val="32"/>
          <w:highlight w:val="none"/>
          <w:lang w:val="en-US" w:eastAsia="zh-CN" w:bidi="ar-SA"/>
        </w:rPr>
        <w:t>（4）负责反垄断统一执法。</w:t>
      </w:r>
    </w:p>
    <w:p>
      <w:pPr>
        <w:pStyle w:val="7"/>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60" w:lineRule="exact"/>
        <w:ind w:left="0" w:leftChars="0" w:firstLine="640" w:firstLineChars="200"/>
        <w:jc w:val="both"/>
        <w:textAlignment w:val="baseline"/>
        <w:rPr>
          <w:rFonts w:hint="eastAsia" w:ascii="仿宋_GB2312" w:hAnsi="仿宋_GB2312" w:eastAsia="仿宋_GB2312" w:cs="仿宋_GB2312"/>
          <w:b w:val="0"/>
          <w:bCs/>
          <w:color w:val="auto"/>
          <w:kern w:val="2"/>
          <w:sz w:val="32"/>
          <w:szCs w:val="32"/>
          <w:highlight w:val="none"/>
          <w:lang w:val="en-US" w:eastAsia="zh-CN" w:bidi="ar-SA"/>
        </w:rPr>
      </w:pPr>
      <w:r>
        <w:rPr>
          <w:rFonts w:hint="eastAsia" w:ascii="仿宋_GB2312" w:hAnsi="仿宋_GB2312" w:eastAsia="仿宋_GB2312" w:cs="仿宋_GB2312"/>
          <w:b w:val="0"/>
          <w:bCs/>
          <w:color w:val="auto"/>
          <w:kern w:val="2"/>
          <w:sz w:val="32"/>
          <w:szCs w:val="32"/>
          <w:highlight w:val="none"/>
          <w:lang w:val="en-US" w:eastAsia="zh-CN" w:bidi="ar-SA"/>
        </w:rPr>
        <w:t>（5）负责监督管理市场秩序。</w:t>
      </w:r>
    </w:p>
    <w:p>
      <w:pPr>
        <w:pStyle w:val="7"/>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60" w:lineRule="exact"/>
        <w:ind w:left="0" w:leftChars="0" w:firstLine="640" w:firstLineChars="200"/>
        <w:jc w:val="both"/>
        <w:textAlignment w:val="baseline"/>
        <w:rPr>
          <w:rFonts w:hint="eastAsia" w:ascii="仿宋_GB2312" w:hAnsi="仿宋_GB2312" w:eastAsia="仿宋_GB2312" w:cs="仿宋_GB2312"/>
          <w:b w:val="0"/>
          <w:bCs/>
          <w:color w:val="auto"/>
          <w:kern w:val="2"/>
          <w:sz w:val="32"/>
          <w:szCs w:val="32"/>
          <w:highlight w:val="none"/>
          <w:lang w:val="en-US" w:eastAsia="zh-CN" w:bidi="ar-SA"/>
        </w:rPr>
      </w:pPr>
      <w:r>
        <w:rPr>
          <w:rFonts w:hint="eastAsia" w:ascii="仿宋_GB2312" w:hAnsi="仿宋_GB2312" w:eastAsia="仿宋_GB2312" w:cs="仿宋_GB2312"/>
          <w:b w:val="0"/>
          <w:bCs/>
          <w:color w:val="auto"/>
          <w:kern w:val="2"/>
          <w:sz w:val="32"/>
          <w:szCs w:val="32"/>
          <w:highlight w:val="none"/>
          <w:lang w:val="en-US" w:eastAsia="zh-CN" w:bidi="ar-SA"/>
        </w:rPr>
        <w:t>（6）负责宏观质量管理。</w:t>
      </w:r>
    </w:p>
    <w:p>
      <w:pPr>
        <w:pStyle w:val="7"/>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60" w:lineRule="exact"/>
        <w:ind w:left="0" w:leftChars="0" w:firstLine="640" w:firstLineChars="200"/>
        <w:jc w:val="both"/>
        <w:textAlignment w:val="baseline"/>
        <w:rPr>
          <w:rFonts w:hint="eastAsia" w:ascii="仿宋_GB2312" w:hAnsi="仿宋_GB2312" w:eastAsia="仿宋_GB2312" w:cs="仿宋_GB2312"/>
          <w:b w:val="0"/>
          <w:bCs/>
          <w:color w:val="auto"/>
          <w:kern w:val="2"/>
          <w:sz w:val="32"/>
          <w:szCs w:val="32"/>
          <w:highlight w:val="none"/>
          <w:lang w:val="en-US" w:eastAsia="zh-CN" w:bidi="ar-SA"/>
        </w:rPr>
      </w:pPr>
      <w:r>
        <w:rPr>
          <w:rFonts w:hint="eastAsia" w:ascii="仿宋_GB2312" w:hAnsi="仿宋_GB2312" w:eastAsia="仿宋_GB2312" w:cs="仿宋_GB2312"/>
          <w:b w:val="0"/>
          <w:bCs/>
          <w:color w:val="auto"/>
          <w:kern w:val="2"/>
          <w:sz w:val="32"/>
          <w:szCs w:val="32"/>
          <w:highlight w:val="none"/>
          <w:lang w:val="en-US" w:eastAsia="zh-CN" w:bidi="ar-SA"/>
        </w:rPr>
        <w:t>（7）负责产品质量安全监督管理。</w:t>
      </w:r>
    </w:p>
    <w:p>
      <w:pPr>
        <w:pStyle w:val="7"/>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60" w:lineRule="exact"/>
        <w:ind w:left="0" w:leftChars="0" w:firstLine="640" w:firstLineChars="200"/>
        <w:jc w:val="both"/>
        <w:textAlignment w:val="baseline"/>
        <w:rPr>
          <w:rFonts w:hint="eastAsia" w:ascii="仿宋_GB2312" w:hAnsi="仿宋_GB2312" w:eastAsia="仿宋_GB2312" w:cs="仿宋_GB2312"/>
          <w:b w:val="0"/>
          <w:bCs/>
          <w:color w:val="auto"/>
          <w:kern w:val="2"/>
          <w:sz w:val="32"/>
          <w:szCs w:val="32"/>
          <w:highlight w:val="none"/>
          <w:lang w:val="en-US" w:eastAsia="zh-CN" w:bidi="ar-SA"/>
        </w:rPr>
      </w:pPr>
      <w:r>
        <w:rPr>
          <w:rFonts w:hint="eastAsia" w:ascii="仿宋_GB2312" w:hAnsi="仿宋_GB2312" w:eastAsia="仿宋_GB2312" w:cs="仿宋_GB2312"/>
          <w:b w:val="0"/>
          <w:bCs/>
          <w:color w:val="auto"/>
          <w:kern w:val="2"/>
          <w:sz w:val="32"/>
          <w:szCs w:val="32"/>
          <w:highlight w:val="none"/>
          <w:lang w:val="en-US" w:eastAsia="zh-CN" w:bidi="ar-SA"/>
        </w:rPr>
        <w:t>（8）负责特种设备安全监督管理。</w:t>
      </w:r>
    </w:p>
    <w:p>
      <w:pPr>
        <w:pStyle w:val="7"/>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60" w:lineRule="exact"/>
        <w:ind w:left="0" w:leftChars="0" w:firstLine="640" w:firstLineChars="200"/>
        <w:jc w:val="both"/>
        <w:textAlignment w:val="baseline"/>
        <w:rPr>
          <w:rFonts w:hint="eastAsia" w:ascii="仿宋_GB2312" w:hAnsi="仿宋_GB2312" w:eastAsia="仿宋_GB2312" w:cs="仿宋_GB2312"/>
          <w:b w:val="0"/>
          <w:bCs/>
          <w:color w:val="auto"/>
          <w:kern w:val="2"/>
          <w:sz w:val="32"/>
          <w:szCs w:val="32"/>
          <w:highlight w:val="none"/>
          <w:lang w:val="en-US" w:eastAsia="zh-CN" w:bidi="ar-SA"/>
        </w:rPr>
      </w:pPr>
      <w:r>
        <w:rPr>
          <w:rFonts w:hint="eastAsia" w:ascii="仿宋_GB2312" w:hAnsi="仿宋_GB2312" w:eastAsia="仿宋_GB2312" w:cs="仿宋_GB2312"/>
          <w:b w:val="0"/>
          <w:bCs/>
          <w:color w:val="auto"/>
          <w:kern w:val="2"/>
          <w:sz w:val="32"/>
          <w:szCs w:val="32"/>
          <w:highlight w:val="none"/>
          <w:lang w:val="en-US" w:eastAsia="zh-CN" w:bidi="ar-SA"/>
        </w:rPr>
        <w:t>（9）负责食品安全监督管理综合协调。</w:t>
      </w:r>
    </w:p>
    <w:p>
      <w:pPr>
        <w:pStyle w:val="7"/>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60" w:lineRule="exact"/>
        <w:ind w:left="0" w:leftChars="0" w:firstLine="640" w:firstLineChars="200"/>
        <w:jc w:val="both"/>
        <w:textAlignment w:val="baseline"/>
        <w:rPr>
          <w:rFonts w:hint="eastAsia" w:ascii="仿宋_GB2312" w:hAnsi="仿宋_GB2312" w:eastAsia="仿宋_GB2312" w:cs="仿宋_GB2312"/>
          <w:b w:val="0"/>
          <w:bCs/>
          <w:color w:val="auto"/>
          <w:kern w:val="2"/>
          <w:sz w:val="32"/>
          <w:szCs w:val="32"/>
          <w:highlight w:val="none"/>
          <w:lang w:val="en-US" w:eastAsia="zh-CN" w:bidi="ar-SA"/>
        </w:rPr>
      </w:pPr>
      <w:r>
        <w:rPr>
          <w:rFonts w:hint="eastAsia" w:ascii="仿宋_GB2312" w:hAnsi="仿宋_GB2312" w:eastAsia="仿宋_GB2312" w:cs="仿宋_GB2312"/>
          <w:b w:val="0"/>
          <w:bCs/>
          <w:color w:val="auto"/>
          <w:kern w:val="2"/>
          <w:sz w:val="32"/>
          <w:szCs w:val="32"/>
          <w:highlight w:val="none"/>
          <w:lang w:val="en-US" w:eastAsia="zh-CN" w:bidi="ar-SA"/>
        </w:rPr>
        <w:t>（10）负责食品安全监督管理。</w:t>
      </w:r>
    </w:p>
    <w:p>
      <w:pPr>
        <w:pStyle w:val="14"/>
        <w:numPr>
          <w:ilvl w:val="0"/>
          <w:numId w:val="1"/>
        </w:numPr>
        <w:spacing w:line="560" w:lineRule="exact"/>
        <w:ind w:firstLine="640"/>
        <w:rPr>
          <w:rFonts w:hint="eastAsia"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lang w:eastAsia="zh-CN"/>
        </w:rPr>
        <w:t>单位</w:t>
      </w:r>
      <w:r>
        <w:rPr>
          <w:rFonts w:hint="eastAsia" w:ascii="仿宋_GB2312" w:hAnsi="仿宋" w:eastAsia="仿宋_GB2312" w:cs="Times New Roman"/>
          <w:bCs/>
          <w:color w:val="auto"/>
          <w:sz w:val="32"/>
          <w:szCs w:val="32"/>
          <w:highlight w:val="none"/>
        </w:rPr>
        <w:t>机构设置及人员构成</w:t>
      </w:r>
    </w:p>
    <w:p>
      <w:pPr>
        <w:widowControl/>
        <w:spacing w:line="560" w:lineRule="exact"/>
        <w:ind w:firstLine="640" w:firstLineChars="0"/>
        <w:jc w:val="left"/>
        <w:rPr>
          <w:rFonts w:hint="eastAsia" w:ascii="仿宋_GB2312" w:hAnsi="仿宋_GB2312" w:eastAsia="仿宋_GB2312" w:cs="仿宋_GB2312"/>
          <w:b w:val="0"/>
          <w:bCs/>
          <w:color w:val="auto"/>
          <w:kern w:val="2"/>
          <w:sz w:val="32"/>
          <w:szCs w:val="32"/>
          <w:highlight w:val="none"/>
          <w:lang w:val="en-US" w:eastAsia="zh-CN" w:bidi="ar-SA"/>
        </w:rPr>
      </w:pPr>
      <w:r>
        <w:rPr>
          <w:rFonts w:hint="eastAsia" w:ascii="仿宋_GB2312" w:hAnsi="仿宋_GB2312" w:eastAsia="仿宋_GB2312" w:cs="仿宋_GB2312"/>
          <w:b w:val="0"/>
          <w:bCs/>
          <w:color w:val="auto"/>
          <w:kern w:val="2"/>
          <w:sz w:val="32"/>
          <w:szCs w:val="32"/>
          <w:highlight w:val="none"/>
          <w:lang w:val="en-US" w:eastAsia="zh-CN" w:bidi="ar-SA"/>
        </w:rPr>
        <w:t>和田市市场监督管理局下设 14个科室，分别是：办公室；财务科；法规科；注册科；综合科；信用监督管理科；食品科；药品科；质检科；奴尔巴格市场监管所；古江巴格市场监管所；纳尔巴格市场监管所；园区市场监管所。</w:t>
      </w:r>
    </w:p>
    <w:p>
      <w:pPr>
        <w:widowControl/>
        <w:spacing w:line="560" w:lineRule="exact"/>
        <w:ind w:firstLine="640" w:firstLineChars="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val="0"/>
          <w:bCs/>
          <w:color w:val="auto"/>
          <w:kern w:val="2"/>
          <w:sz w:val="32"/>
          <w:szCs w:val="32"/>
          <w:highlight w:val="none"/>
          <w:lang w:val="en-US" w:eastAsia="zh-CN" w:bidi="ar-SA"/>
        </w:rPr>
        <w:t>和田市市场监督管理局编制数**人，实有人数***人，其中：在职**人，退休**人。</w:t>
      </w:r>
    </w:p>
    <w:p>
      <w:pPr>
        <w:pStyle w:val="14"/>
        <w:spacing w:line="560" w:lineRule="exact"/>
        <w:ind w:firstLine="640"/>
        <w:rPr>
          <w:rFonts w:hint="eastAsia"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rPr>
        <w:t>3．202</w:t>
      </w:r>
      <w:r>
        <w:rPr>
          <w:rFonts w:hint="eastAsia" w:ascii="仿宋_GB2312" w:hAnsi="仿宋" w:eastAsia="仿宋_GB2312" w:cs="Times New Roman"/>
          <w:bCs/>
          <w:color w:val="auto"/>
          <w:sz w:val="32"/>
          <w:szCs w:val="32"/>
          <w:highlight w:val="none"/>
          <w:lang w:val="en-US" w:eastAsia="zh-CN"/>
        </w:rPr>
        <w:t>1</w:t>
      </w:r>
      <w:r>
        <w:rPr>
          <w:rFonts w:hint="eastAsia" w:ascii="仿宋_GB2312" w:hAnsi="仿宋" w:eastAsia="仿宋_GB2312" w:cs="Times New Roman"/>
          <w:bCs/>
          <w:color w:val="auto"/>
          <w:sz w:val="32"/>
          <w:szCs w:val="32"/>
          <w:highlight w:val="none"/>
        </w:rPr>
        <w:t>年度</w:t>
      </w:r>
      <w:r>
        <w:rPr>
          <w:rFonts w:hint="eastAsia" w:ascii="仿宋_GB2312" w:hAnsi="仿宋" w:eastAsia="仿宋_GB2312" w:cs="Times New Roman"/>
          <w:bCs/>
          <w:color w:val="auto"/>
          <w:sz w:val="32"/>
          <w:szCs w:val="32"/>
          <w:highlight w:val="none"/>
          <w:lang w:eastAsia="zh-CN"/>
        </w:rPr>
        <w:t>单位</w:t>
      </w:r>
      <w:r>
        <w:rPr>
          <w:rFonts w:hint="eastAsia" w:ascii="仿宋_GB2312" w:hAnsi="仿宋" w:eastAsia="仿宋_GB2312" w:cs="Times New Roman"/>
          <w:bCs/>
          <w:color w:val="auto"/>
          <w:sz w:val="32"/>
          <w:szCs w:val="32"/>
          <w:highlight w:val="none"/>
        </w:rPr>
        <w:t>重点工作</w:t>
      </w:r>
      <w:bookmarkStart w:id="0" w:name="_GoBack"/>
      <w:bookmarkEnd w:id="0"/>
      <w:r>
        <w:rPr>
          <w:rFonts w:hint="eastAsia" w:ascii="仿宋_GB2312" w:hAnsi="仿宋" w:eastAsia="仿宋_GB2312" w:cs="Times New Roman"/>
          <w:bCs/>
          <w:color w:val="auto"/>
          <w:sz w:val="32"/>
          <w:szCs w:val="32"/>
          <w:highlight w:val="none"/>
        </w:rPr>
        <w:t xml:space="preserve">计划 </w:t>
      </w:r>
    </w:p>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color w:val="auto"/>
          <w:sz w:val="32"/>
          <w:szCs w:val="32"/>
          <w:highlight w:val="none"/>
          <w:shd w:val="clear" w:color="auto" w:fill="FFFFFF"/>
        </w:rPr>
      </w:pPr>
      <w:r>
        <w:rPr>
          <w:rFonts w:hint="eastAsia" w:ascii="仿宋_GB2312" w:hAnsi="仿宋_GB2312" w:eastAsia="仿宋_GB2312" w:cs="仿宋_GB2312"/>
          <w:color w:val="auto"/>
          <w:sz w:val="32"/>
          <w:szCs w:val="32"/>
          <w:highlight w:val="none"/>
          <w:shd w:val="clear" w:color="auto" w:fill="FFFFFF"/>
        </w:rPr>
        <w:t>20</w:t>
      </w:r>
      <w:r>
        <w:rPr>
          <w:rFonts w:hint="eastAsia" w:ascii="仿宋_GB2312" w:hAnsi="仿宋_GB2312" w:eastAsia="仿宋_GB2312" w:cs="仿宋_GB2312"/>
          <w:color w:val="auto"/>
          <w:sz w:val="32"/>
          <w:szCs w:val="32"/>
          <w:highlight w:val="none"/>
          <w:shd w:val="clear" w:color="auto" w:fill="FFFFFF"/>
          <w:lang w:val="en-US" w:eastAsia="zh-CN"/>
        </w:rPr>
        <w:t>21</w:t>
      </w:r>
      <w:r>
        <w:rPr>
          <w:rFonts w:hint="eastAsia" w:ascii="仿宋_GB2312" w:hAnsi="仿宋_GB2312" w:eastAsia="仿宋_GB2312" w:cs="仿宋_GB2312"/>
          <w:color w:val="auto"/>
          <w:sz w:val="32"/>
          <w:szCs w:val="32"/>
          <w:highlight w:val="none"/>
          <w:shd w:val="clear" w:color="auto" w:fill="FFFFFF"/>
        </w:rPr>
        <w:t>年，</w:t>
      </w:r>
      <w:r>
        <w:rPr>
          <w:rFonts w:hint="eastAsia" w:ascii="仿宋_GB2312" w:hAnsi="仿宋_GB2312" w:eastAsia="仿宋_GB2312" w:cs="仿宋_GB2312"/>
          <w:color w:val="auto"/>
          <w:sz w:val="32"/>
          <w:szCs w:val="32"/>
          <w:highlight w:val="none"/>
          <w:shd w:val="clear" w:color="auto" w:fill="FFFFFF"/>
          <w:lang w:eastAsia="zh-CN"/>
        </w:rPr>
        <w:t>和田市</w:t>
      </w:r>
      <w:r>
        <w:rPr>
          <w:rFonts w:hint="eastAsia" w:ascii="仿宋_GB2312" w:hAnsi="仿宋_GB2312" w:eastAsia="仿宋_GB2312" w:cs="仿宋_GB2312"/>
          <w:color w:val="auto"/>
          <w:sz w:val="32"/>
          <w:szCs w:val="32"/>
          <w:highlight w:val="none"/>
          <w:shd w:val="clear" w:color="auto" w:fill="FFFFFF"/>
        </w:rPr>
        <w:t>市场</w:t>
      </w:r>
      <w:r>
        <w:rPr>
          <w:rFonts w:hint="eastAsia" w:ascii="仿宋_GB2312" w:hAnsi="仿宋_GB2312" w:eastAsia="仿宋_GB2312" w:cs="仿宋_GB2312"/>
          <w:color w:val="auto"/>
          <w:sz w:val="32"/>
          <w:szCs w:val="32"/>
          <w:highlight w:val="none"/>
          <w:shd w:val="clear" w:color="auto" w:fill="FFFFFF"/>
          <w:lang w:eastAsia="zh-CN"/>
        </w:rPr>
        <w:t>监督管理局将</w:t>
      </w:r>
      <w:r>
        <w:rPr>
          <w:rFonts w:hint="eastAsia" w:ascii="仿宋_GB2312" w:hAnsi="仿宋_GB2312" w:eastAsia="仿宋_GB2312" w:cs="仿宋_GB2312"/>
          <w:color w:val="auto"/>
          <w:sz w:val="32"/>
          <w:szCs w:val="32"/>
          <w:highlight w:val="none"/>
          <w:shd w:val="clear" w:color="auto" w:fill="FFFFFF"/>
        </w:rPr>
        <w:t>认真按照</w:t>
      </w:r>
      <w:r>
        <w:rPr>
          <w:rFonts w:hint="eastAsia" w:ascii="仿宋_GB2312" w:hAnsi="仿宋_GB2312" w:eastAsia="仿宋_GB2312" w:cs="仿宋_GB2312"/>
          <w:color w:val="auto"/>
          <w:sz w:val="32"/>
          <w:szCs w:val="32"/>
          <w:highlight w:val="none"/>
          <w:shd w:val="clear" w:color="auto" w:fill="FFFFFF"/>
          <w:lang w:eastAsia="zh-CN"/>
        </w:rPr>
        <w:t>自治区</w:t>
      </w:r>
      <w:r>
        <w:rPr>
          <w:rFonts w:hint="eastAsia" w:ascii="仿宋_GB2312" w:hAnsi="仿宋_GB2312" w:eastAsia="仿宋_GB2312" w:cs="仿宋_GB2312"/>
          <w:color w:val="auto"/>
          <w:sz w:val="32"/>
          <w:szCs w:val="32"/>
          <w:highlight w:val="none"/>
          <w:shd w:val="clear" w:color="auto" w:fill="FFFFFF"/>
        </w:rPr>
        <w:t>、</w:t>
      </w:r>
      <w:r>
        <w:rPr>
          <w:rFonts w:hint="eastAsia" w:ascii="仿宋_GB2312" w:hAnsi="仿宋_GB2312" w:eastAsia="仿宋_GB2312" w:cs="仿宋_GB2312"/>
          <w:color w:val="auto"/>
          <w:sz w:val="32"/>
          <w:szCs w:val="32"/>
          <w:highlight w:val="none"/>
          <w:shd w:val="clear" w:color="auto" w:fill="FFFFFF"/>
          <w:lang w:eastAsia="zh-CN"/>
        </w:rPr>
        <w:t>地区市场监管部门及和田地委、市委、市政府</w:t>
      </w:r>
      <w:r>
        <w:rPr>
          <w:rFonts w:hint="eastAsia" w:ascii="仿宋_GB2312" w:hAnsi="仿宋_GB2312" w:eastAsia="仿宋_GB2312" w:cs="仿宋_GB2312"/>
          <w:color w:val="auto"/>
          <w:sz w:val="32"/>
          <w:szCs w:val="32"/>
          <w:highlight w:val="none"/>
          <w:shd w:val="clear" w:color="auto" w:fill="FFFFFF"/>
        </w:rPr>
        <w:t>工作部署，结合</w:t>
      </w:r>
      <w:r>
        <w:rPr>
          <w:rFonts w:hint="eastAsia" w:ascii="仿宋_GB2312" w:hAnsi="仿宋_GB2312" w:eastAsia="仿宋_GB2312" w:cs="仿宋_GB2312"/>
          <w:color w:val="auto"/>
          <w:sz w:val="32"/>
          <w:szCs w:val="32"/>
          <w:highlight w:val="none"/>
          <w:shd w:val="clear" w:color="auto" w:fill="FFFFFF"/>
          <w:lang w:eastAsia="zh-CN"/>
        </w:rPr>
        <w:t>机构改革后</w:t>
      </w:r>
      <w:r>
        <w:rPr>
          <w:rFonts w:hint="eastAsia" w:ascii="仿宋_GB2312" w:hAnsi="仿宋_GB2312" w:eastAsia="仿宋_GB2312" w:cs="仿宋_GB2312"/>
          <w:color w:val="auto"/>
          <w:sz w:val="32"/>
          <w:szCs w:val="32"/>
          <w:highlight w:val="none"/>
          <w:shd w:val="clear" w:color="auto" w:fill="FFFFFF"/>
        </w:rPr>
        <w:t>新市场监管</w:t>
      </w:r>
      <w:r>
        <w:rPr>
          <w:rFonts w:hint="eastAsia" w:ascii="仿宋_GB2312" w:hAnsi="仿宋_GB2312" w:eastAsia="仿宋_GB2312" w:cs="仿宋_GB2312"/>
          <w:color w:val="auto"/>
          <w:sz w:val="32"/>
          <w:szCs w:val="32"/>
          <w:highlight w:val="none"/>
          <w:shd w:val="clear" w:color="auto" w:fill="FFFFFF"/>
          <w:lang w:eastAsia="zh-CN"/>
        </w:rPr>
        <w:t>部门</w:t>
      </w:r>
      <w:r>
        <w:rPr>
          <w:rFonts w:hint="eastAsia" w:ascii="仿宋_GB2312" w:hAnsi="仿宋_GB2312" w:eastAsia="仿宋_GB2312" w:cs="仿宋_GB2312"/>
          <w:color w:val="auto"/>
          <w:sz w:val="32"/>
          <w:szCs w:val="32"/>
          <w:highlight w:val="none"/>
          <w:shd w:val="clear" w:color="auto" w:fill="FFFFFF"/>
        </w:rPr>
        <w:t>定位和方向，持续提高政治站</w:t>
      </w:r>
    </w:p>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eastAsia" w:ascii="仿宋_GB2312" w:hAnsi="仿宋_GB2312" w:eastAsia="仿宋_GB2312" w:cs="仿宋_GB2312"/>
          <w:color w:val="auto"/>
          <w:sz w:val="32"/>
          <w:szCs w:val="32"/>
          <w:highlight w:val="none"/>
          <w:shd w:val="clear" w:color="auto" w:fill="FFFFFF"/>
          <w:lang w:eastAsia="zh-CN"/>
        </w:rPr>
      </w:pPr>
      <w:r>
        <w:rPr>
          <w:rFonts w:hint="eastAsia" w:ascii="仿宋_GB2312" w:hAnsi="仿宋_GB2312" w:eastAsia="仿宋_GB2312" w:cs="仿宋_GB2312"/>
          <w:color w:val="auto"/>
          <w:sz w:val="32"/>
          <w:szCs w:val="32"/>
          <w:highlight w:val="none"/>
          <w:shd w:val="clear" w:color="auto" w:fill="FFFFFF"/>
        </w:rPr>
        <w:t>位，担当尽责、提质增效，</w:t>
      </w:r>
      <w:r>
        <w:rPr>
          <w:rFonts w:hint="eastAsia" w:ascii="仿宋_GB2312" w:hAnsi="仿宋_GB2312" w:eastAsia="仿宋_GB2312" w:cs="仿宋_GB2312"/>
          <w:color w:val="auto"/>
          <w:sz w:val="32"/>
          <w:szCs w:val="32"/>
          <w:highlight w:val="none"/>
          <w:shd w:val="clear" w:color="auto" w:fill="FFFFFF"/>
          <w:lang w:eastAsia="zh-CN"/>
        </w:rPr>
        <w:t>争当地区</w:t>
      </w:r>
      <w:r>
        <w:rPr>
          <w:rFonts w:hint="eastAsia" w:ascii="仿宋_GB2312" w:hAnsi="仿宋_GB2312" w:eastAsia="仿宋_GB2312" w:cs="仿宋_GB2312"/>
          <w:color w:val="auto"/>
          <w:sz w:val="32"/>
          <w:szCs w:val="32"/>
          <w:highlight w:val="none"/>
          <w:shd w:val="clear" w:color="auto" w:fill="FFFFFF"/>
        </w:rPr>
        <w:t>监管工作排头兵。</w:t>
      </w:r>
      <w:r>
        <w:rPr>
          <w:rFonts w:hint="eastAsia" w:ascii="仿宋_GB2312" w:hAnsi="仿宋_GB2312" w:eastAsia="仿宋_GB2312" w:cs="仿宋_GB2312"/>
          <w:color w:val="auto"/>
          <w:sz w:val="32"/>
          <w:szCs w:val="32"/>
          <w:highlight w:val="none"/>
          <w:shd w:val="clear" w:color="auto" w:fill="FFFFFF"/>
          <w:lang w:eastAsia="zh-CN"/>
        </w:rPr>
        <w:t>重点任务工作如下：</w:t>
      </w:r>
    </w:p>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shd w:val="clear" w:color="auto" w:fill="FFFFFF"/>
          <w:lang w:val="en-US" w:eastAsia="zh-CN"/>
        </w:rPr>
        <w:t>1</w:t>
      </w:r>
      <w:r>
        <w:rPr>
          <w:rFonts w:hint="eastAsia" w:ascii="仿宋_GB2312" w:hAnsi="仿宋_GB2312" w:eastAsia="仿宋_GB2312" w:cs="仿宋_GB2312"/>
          <w:color w:val="auto"/>
          <w:sz w:val="32"/>
          <w:szCs w:val="32"/>
          <w:highlight w:val="none"/>
          <w:shd w:val="clear" w:color="auto" w:fill="FFFFFF"/>
        </w:rPr>
        <w:t>.组织开展优秀地理标志商标注册人推广示范工作，</w:t>
      </w:r>
      <w:r>
        <w:rPr>
          <w:rFonts w:hint="eastAsia" w:ascii="仿宋_GB2312" w:hAnsi="仿宋_GB2312" w:eastAsia="仿宋_GB2312" w:cs="仿宋_GB2312"/>
          <w:color w:val="auto"/>
          <w:sz w:val="32"/>
          <w:szCs w:val="32"/>
          <w:highlight w:val="none"/>
          <w:shd w:val="clear" w:color="auto" w:fill="FFFFFF"/>
          <w:lang w:eastAsia="zh-CN"/>
        </w:rPr>
        <w:t>积极</w:t>
      </w:r>
      <w:r>
        <w:rPr>
          <w:rFonts w:hint="eastAsia" w:ascii="仿宋_GB2312" w:hAnsi="仿宋_GB2312" w:eastAsia="仿宋_GB2312" w:cs="仿宋_GB2312"/>
          <w:color w:val="auto"/>
          <w:sz w:val="32"/>
          <w:szCs w:val="32"/>
          <w:highlight w:val="none"/>
          <w:shd w:val="clear" w:color="auto" w:fill="FFFFFF"/>
        </w:rPr>
        <w:t>运用地理标志商标开展精准扶贫，培育更多农产品商标、地理标志商标。</w:t>
      </w:r>
    </w:p>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shd w:val="clear" w:color="auto" w:fill="FFFFFF"/>
          <w:lang w:val="en-US" w:eastAsia="zh-CN"/>
        </w:rPr>
        <w:t>2</w:t>
      </w:r>
      <w:r>
        <w:rPr>
          <w:rFonts w:hint="eastAsia" w:ascii="仿宋_GB2312" w:hAnsi="仿宋_GB2312" w:eastAsia="仿宋_GB2312" w:cs="仿宋_GB2312"/>
          <w:color w:val="auto"/>
          <w:sz w:val="32"/>
          <w:szCs w:val="32"/>
          <w:highlight w:val="none"/>
          <w:shd w:val="clear" w:color="auto" w:fill="FFFFFF"/>
        </w:rPr>
        <w:t>.以“</w:t>
      </w:r>
      <w:r>
        <w:rPr>
          <w:rFonts w:hint="eastAsia" w:ascii="仿宋_GB2312" w:hAnsi="仿宋_GB2312" w:eastAsia="仿宋_GB2312" w:cs="仿宋_GB2312"/>
          <w:color w:val="auto"/>
          <w:sz w:val="32"/>
          <w:szCs w:val="32"/>
          <w:highlight w:val="none"/>
          <w:shd w:val="clear" w:color="auto" w:fill="FFFFFF"/>
          <w:lang w:eastAsia="zh-CN"/>
        </w:rPr>
        <w:t>和田美食</w:t>
      </w:r>
      <w:r>
        <w:rPr>
          <w:rFonts w:hint="eastAsia" w:ascii="仿宋_GB2312" w:hAnsi="仿宋_GB2312" w:eastAsia="仿宋_GB2312" w:cs="仿宋_GB2312"/>
          <w:color w:val="auto"/>
          <w:sz w:val="32"/>
          <w:szCs w:val="32"/>
          <w:highlight w:val="none"/>
          <w:shd w:val="clear" w:color="auto" w:fill="FFFFFF"/>
        </w:rPr>
        <w:t>”</w:t>
      </w:r>
      <w:r>
        <w:rPr>
          <w:rFonts w:hint="eastAsia" w:ascii="仿宋_GB2312" w:hAnsi="仿宋_GB2312" w:eastAsia="仿宋_GB2312" w:cs="仿宋_GB2312"/>
          <w:color w:val="auto"/>
          <w:sz w:val="32"/>
          <w:szCs w:val="32"/>
          <w:highlight w:val="none"/>
          <w:shd w:val="clear" w:color="auto" w:fill="FFFFFF"/>
          <w:lang w:eastAsia="zh-CN"/>
        </w:rPr>
        <w:t>标准</w:t>
      </w:r>
      <w:r>
        <w:rPr>
          <w:rFonts w:hint="eastAsia" w:ascii="仿宋_GB2312" w:hAnsi="仿宋_GB2312" w:eastAsia="仿宋_GB2312" w:cs="仿宋_GB2312"/>
          <w:color w:val="auto"/>
          <w:sz w:val="32"/>
          <w:szCs w:val="32"/>
          <w:highlight w:val="none"/>
          <w:shd w:val="clear" w:color="auto" w:fill="FFFFFF"/>
        </w:rPr>
        <w:t>为</w:t>
      </w:r>
      <w:r>
        <w:rPr>
          <w:rFonts w:hint="eastAsia" w:ascii="仿宋_GB2312" w:hAnsi="仿宋_GB2312" w:eastAsia="仿宋_GB2312" w:cs="仿宋_GB2312"/>
          <w:color w:val="auto"/>
          <w:sz w:val="32"/>
          <w:szCs w:val="32"/>
          <w:highlight w:val="none"/>
          <w:shd w:val="clear" w:color="auto" w:fill="FFFFFF"/>
          <w:lang w:eastAsia="zh-CN"/>
        </w:rPr>
        <w:t>样板</w:t>
      </w:r>
      <w:r>
        <w:rPr>
          <w:rFonts w:hint="eastAsia" w:ascii="仿宋_GB2312" w:hAnsi="仿宋_GB2312" w:eastAsia="仿宋_GB2312" w:cs="仿宋_GB2312"/>
          <w:color w:val="auto"/>
          <w:sz w:val="32"/>
          <w:szCs w:val="32"/>
          <w:highlight w:val="none"/>
          <w:shd w:val="clear" w:color="auto" w:fill="FFFFFF"/>
        </w:rPr>
        <w:t>，在农业农村、制造业、现代服务业、基本公共服务、营商环境、生态文明建设等方面建设更加先进适用的标准体系。</w:t>
      </w:r>
    </w:p>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shd w:val="clear" w:color="auto" w:fill="FFFFFF"/>
          <w:lang w:val="en-US" w:eastAsia="zh-CN"/>
        </w:rPr>
        <w:t>3</w:t>
      </w:r>
      <w:r>
        <w:rPr>
          <w:rFonts w:hint="eastAsia" w:ascii="仿宋_GB2312" w:hAnsi="仿宋_GB2312" w:eastAsia="仿宋_GB2312" w:cs="仿宋_GB2312"/>
          <w:color w:val="auto"/>
          <w:sz w:val="32"/>
          <w:szCs w:val="32"/>
          <w:highlight w:val="none"/>
          <w:shd w:val="clear" w:color="auto" w:fill="FFFFFF"/>
        </w:rPr>
        <w:t>.充分激发市场自主制定标准的活力，完善企业标准“领跑者”和企业标准自我声明公开制度，做好企业标准监督检查。</w:t>
      </w:r>
    </w:p>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shd w:val="clear" w:color="auto" w:fill="FFFFFF"/>
          <w:lang w:val="en-US" w:eastAsia="zh-CN"/>
        </w:rPr>
        <w:t>4</w:t>
      </w:r>
      <w:r>
        <w:rPr>
          <w:rFonts w:hint="eastAsia" w:ascii="仿宋_GB2312" w:hAnsi="仿宋_GB2312" w:eastAsia="仿宋_GB2312" w:cs="仿宋_GB2312"/>
          <w:color w:val="auto"/>
          <w:sz w:val="32"/>
          <w:szCs w:val="32"/>
          <w:highlight w:val="none"/>
          <w:shd w:val="clear" w:color="auto" w:fill="FFFFFF"/>
        </w:rPr>
        <w:t>.培育发展团体标准，推动相关行业协会开展团体标准建设。</w:t>
      </w:r>
    </w:p>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shd w:val="clear" w:color="auto" w:fill="FFFFFF"/>
          <w:lang w:val="en-US" w:eastAsia="zh-CN"/>
        </w:rPr>
        <w:t>5</w:t>
      </w:r>
      <w:r>
        <w:rPr>
          <w:rFonts w:hint="eastAsia" w:ascii="仿宋_GB2312" w:hAnsi="仿宋_GB2312" w:eastAsia="仿宋_GB2312" w:cs="仿宋_GB2312"/>
          <w:color w:val="auto"/>
          <w:sz w:val="32"/>
          <w:szCs w:val="32"/>
          <w:highlight w:val="none"/>
          <w:shd w:val="clear" w:color="auto" w:fill="FFFFFF"/>
        </w:rPr>
        <w:t>.持续开展重点领域安全防护用计量器具检查，加强电子秤、加油机、出租车计价器等民生计量器具监管。</w:t>
      </w:r>
    </w:p>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shd w:val="clear" w:color="auto" w:fill="FFFFFF"/>
          <w:lang w:val="en-US" w:eastAsia="zh-CN"/>
        </w:rPr>
        <w:t>6</w:t>
      </w:r>
      <w:r>
        <w:rPr>
          <w:rFonts w:hint="eastAsia" w:ascii="仿宋_GB2312" w:hAnsi="仿宋_GB2312" w:eastAsia="仿宋_GB2312" w:cs="仿宋_GB2312"/>
          <w:color w:val="auto"/>
          <w:sz w:val="32"/>
          <w:szCs w:val="32"/>
          <w:highlight w:val="none"/>
          <w:shd w:val="clear" w:color="auto" w:fill="FFFFFF"/>
        </w:rPr>
        <w:t>.全面推广使用强检计量器具管理系统，提高强检覆盖率和合格率。</w:t>
      </w:r>
    </w:p>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shd w:val="clear" w:color="auto" w:fill="FFFFFF"/>
          <w:lang w:val="en-US" w:eastAsia="zh-CN"/>
        </w:rPr>
        <w:t>1</w:t>
      </w:r>
      <w:r>
        <w:rPr>
          <w:rFonts w:hint="eastAsia" w:ascii="仿宋_GB2312" w:hAnsi="仿宋_GB2312" w:eastAsia="仿宋_GB2312" w:cs="仿宋_GB2312"/>
          <w:color w:val="auto"/>
          <w:sz w:val="32"/>
          <w:szCs w:val="32"/>
          <w:highlight w:val="none"/>
          <w:shd w:val="clear" w:color="auto" w:fill="FFFFFF"/>
        </w:rPr>
        <w:t>.结合机构改革变化，对照</w:t>
      </w:r>
      <w:r>
        <w:rPr>
          <w:rFonts w:hint="eastAsia" w:ascii="仿宋_GB2312" w:hAnsi="仿宋_GB2312" w:eastAsia="仿宋_GB2312" w:cs="仿宋_GB2312"/>
          <w:color w:val="auto"/>
          <w:sz w:val="32"/>
          <w:szCs w:val="32"/>
          <w:highlight w:val="none"/>
          <w:shd w:val="clear" w:color="auto" w:fill="FFFFFF"/>
          <w:lang w:eastAsia="zh-CN"/>
        </w:rPr>
        <w:t>自治区</w:t>
      </w:r>
      <w:r>
        <w:rPr>
          <w:rFonts w:hint="eastAsia" w:ascii="仿宋_GB2312" w:hAnsi="仿宋_GB2312" w:eastAsia="仿宋_GB2312" w:cs="仿宋_GB2312"/>
          <w:color w:val="auto"/>
          <w:sz w:val="32"/>
          <w:szCs w:val="32"/>
          <w:highlight w:val="none"/>
          <w:shd w:val="clear" w:color="auto" w:fill="FFFFFF"/>
        </w:rPr>
        <w:t>食安委工作细则，全面修订市食安委工作规则及成员单位工作职责。</w:t>
      </w:r>
      <w:r>
        <w:rPr>
          <w:rFonts w:hint="eastAsia" w:ascii="仿宋_GB2312" w:hAnsi="仿宋_GB2312" w:eastAsia="仿宋_GB2312" w:cs="仿宋_GB2312"/>
          <w:color w:val="auto"/>
          <w:sz w:val="32"/>
          <w:szCs w:val="32"/>
          <w:highlight w:val="none"/>
          <w:shd w:val="clear" w:color="auto" w:fill="FFFFFF"/>
          <w:lang w:eastAsia="zh-CN"/>
        </w:rPr>
        <w:t>争取</w:t>
      </w:r>
      <w:r>
        <w:rPr>
          <w:rFonts w:hint="eastAsia" w:ascii="仿宋_GB2312" w:hAnsi="仿宋_GB2312" w:eastAsia="仿宋_GB2312" w:cs="仿宋_GB2312"/>
          <w:color w:val="auto"/>
          <w:sz w:val="32"/>
          <w:szCs w:val="32"/>
          <w:highlight w:val="none"/>
          <w:shd w:val="clear" w:color="auto" w:fill="FFFFFF"/>
          <w:lang w:val="en-US" w:eastAsia="zh-CN"/>
        </w:rPr>
        <w:t>2021年将和田市创建为食品安全</w:t>
      </w:r>
      <w:r>
        <w:rPr>
          <w:rFonts w:hint="eastAsia" w:ascii="仿宋_GB2312" w:hAnsi="仿宋_GB2312" w:eastAsia="仿宋_GB2312" w:cs="仿宋_GB2312"/>
          <w:color w:val="auto"/>
          <w:sz w:val="32"/>
          <w:szCs w:val="32"/>
          <w:highlight w:val="none"/>
          <w:shd w:val="clear" w:color="auto" w:fill="FFFFFF"/>
        </w:rPr>
        <w:t>示范城市</w:t>
      </w:r>
      <w:r>
        <w:rPr>
          <w:rFonts w:hint="eastAsia" w:ascii="仿宋_GB2312" w:hAnsi="仿宋_GB2312" w:eastAsia="仿宋_GB2312" w:cs="仿宋_GB2312"/>
          <w:color w:val="auto"/>
          <w:sz w:val="32"/>
          <w:szCs w:val="32"/>
          <w:highlight w:val="none"/>
          <w:shd w:val="clear" w:color="auto" w:fill="FFFFFF"/>
          <w:lang w:eastAsia="zh-CN"/>
        </w:rPr>
        <w:t>。</w:t>
      </w:r>
    </w:p>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shd w:val="clear" w:color="auto" w:fill="FFFFFF"/>
          <w:lang w:val="en-US" w:eastAsia="zh-CN"/>
        </w:rPr>
        <w:t>2</w:t>
      </w:r>
      <w:r>
        <w:rPr>
          <w:rFonts w:hint="eastAsia" w:ascii="仿宋_GB2312" w:hAnsi="仿宋_GB2312" w:eastAsia="仿宋_GB2312" w:cs="仿宋_GB2312"/>
          <w:color w:val="auto"/>
          <w:sz w:val="32"/>
          <w:szCs w:val="32"/>
          <w:highlight w:val="none"/>
          <w:shd w:val="clear" w:color="auto" w:fill="FFFFFF"/>
        </w:rPr>
        <w:t>.持续做好治理“餐桌污染”，建设“食品放心工程”为民办实事项目。</w:t>
      </w:r>
    </w:p>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shd w:val="clear" w:color="auto" w:fill="FFFFFF"/>
          <w:lang w:val="en-US" w:eastAsia="zh-CN"/>
        </w:rPr>
        <w:t>3</w:t>
      </w:r>
      <w:r>
        <w:rPr>
          <w:rFonts w:hint="eastAsia" w:ascii="仿宋_GB2312" w:hAnsi="仿宋_GB2312" w:eastAsia="仿宋_GB2312" w:cs="仿宋_GB2312"/>
          <w:color w:val="auto"/>
          <w:sz w:val="32"/>
          <w:szCs w:val="32"/>
          <w:highlight w:val="none"/>
          <w:shd w:val="clear" w:color="auto" w:fill="FFFFFF"/>
        </w:rPr>
        <w:t>.持续强化示范引领，将创建“放心肉菜”超市、食品安全示范店（街）、餐饮服务单位“明厨亮灶”、保健食品生产企业质量受权人示范企业等作为“名片工程”和民生工程抓紧抓实。</w:t>
      </w:r>
    </w:p>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shd w:val="clear" w:color="auto" w:fill="FFFFFF"/>
          <w:lang w:val="en-US" w:eastAsia="zh-CN"/>
        </w:rPr>
        <w:t>4</w:t>
      </w:r>
      <w:r>
        <w:rPr>
          <w:rFonts w:hint="eastAsia" w:ascii="仿宋_GB2312" w:hAnsi="仿宋_GB2312" w:eastAsia="仿宋_GB2312" w:cs="仿宋_GB2312"/>
          <w:color w:val="auto"/>
          <w:sz w:val="32"/>
          <w:szCs w:val="32"/>
          <w:highlight w:val="none"/>
          <w:shd w:val="clear" w:color="auto" w:fill="FFFFFF"/>
        </w:rPr>
        <w:t>.持续强化对各类食品生产经营主体的监督检查及宣传教育，提升食品安全主体责任意识。</w:t>
      </w:r>
    </w:p>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shd w:val="clear" w:color="auto" w:fill="FFFFFF"/>
          <w:lang w:val="en-US" w:eastAsia="zh-CN"/>
        </w:rPr>
        <w:t>5</w:t>
      </w:r>
      <w:r>
        <w:rPr>
          <w:rFonts w:hint="eastAsia" w:ascii="仿宋_GB2312" w:hAnsi="仿宋_GB2312" w:eastAsia="仿宋_GB2312" w:cs="仿宋_GB2312"/>
          <w:color w:val="auto"/>
          <w:sz w:val="32"/>
          <w:szCs w:val="32"/>
          <w:highlight w:val="none"/>
          <w:shd w:val="clear" w:color="auto" w:fill="FFFFFF"/>
        </w:rPr>
        <w:t>.继续按照5份/千人的创城标准完成食品抽检工作。</w:t>
      </w:r>
    </w:p>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shd w:val="clear" w:color="auto" w:fill="FFFFFF"/>
          <w:lang w:val="en-US" w:eastAsia="zh-CN"/>
        </w:rPr>
        <w:t>6</w:t>
      </w:r>
      <w:r>
        <w:rPr>
          <w:rFonts w:hint="eastAsia" w:ascii="仿宋_GB2312" w:hAnsi="仿宋_GB2312" w:eastAsia="仿宋_GB2312" w:cs="仿宋_GB2312"/>
          <w:color w:val="auto"/>
          <w:sz w:val="32"/>
          <w:szCs w:val="32"/>
          <w:highlight w:val="none"/>
          <w:shd w:val="clear" w:color="auto" w:fill="FFFFFF"/>
        </w:rPr>
        <w:t>.深入开展各类群众喜闻乐见的创城宣传活动，</w:t>
      </w:r>
      <w:r>
        <w:rPr>
          <w:rFonts w:hint="eastAsia" w:ascii="仿宋_GB2312" w:hAnsi="仿宋_GB2312" w:eastAsia="仿宋_GB2312" w:cs="仿宋_GB2312"/>
          <w:color w:val="auto"/>
          <w:sz w:val="32"/>
          <w:szCs w:val="32"/>
          <w:highlight w:val="none"/>
          <w:shd w:val="clear" w:color="auto" w:fill="FFFFFF"/>
          <w:lang w:eastAsia="zh-CN"/>
        </w:rPr>
        <w:t>营造</w:t>
      </w:r>
      <w:r>
        <w:rPr>
          <w:rFonts w:hint="eastAsia" w:ascii="仿宋_GB2312" w:hAnsi="仿宋_GB2312" w:eastAsia="仿宋_GB2312" w:cs="仿宋_GB2312"/>
          <w:color w:val="auto"/>
          <w:sz w:val="32"/>
          <w:szCs w:val="32"/>
          <w:highlight w:val="none"/>
          <w:shd w:val="clear" w:color="auto" w:fill="FFFFFF"/>
        </w:rPr>
        <w:t>食安创城氛围，提升群众对创建工作知晓率、支持率、满意率。</w:t>
      </w:r>
    </w:p>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shd w:val="clear" w:color="auto" w:fill="FFFFFF"/>
          <w:lang w:val="en-US" w:eastAsia="zh-CN"/>
        </w:rPr>
        <w:t>7</w:t>
      </w:r>
      <w:r>
        <w:rPr>
          <w:rFonts w:hint="eastAsia" w:ascii="仿宋_GB2312" w:hAnsi="仿宋_GB2312" w:eastAsia="仿宋_GB2312" w:cs="仿宋_GB2312"/>
          <w:color w:val="auto"/>
          <w:sz w:val="32"/>
          <w:szCs w:val="32"/>
          <w:highlight w:val="none"/>
          <w:shd w:val="clear" w:color="auto" w:fill="FFFFFF"/>
        </w:rPr>
        <w:t>.加强药品高风险企业、民营医疗机构等重点对象，冷冻冷藏药品、疫苗等重点品种，药品购进渠道、处方药销售等重点环节的监管。</w:t>
      </w:r>
    </w:p>
    <w:p>
      <w:pPr>
        <w:spacing w:line="560" w:lineRule="exact"/>
        <w:ind w:firstLine="624" w:firstLineChars="200"/>
        <w:rPr>
          <w:rStyle w:val="12"/>
          <w:rFonts w:ascii="楷体" w:hAnsi="楷体" w:eastAsia="楷体" w:cs="Times New Roman"/>
          <w:b w:val="0"/>
          <w:bCs w:val="0"/>
          <w:color w:val="auto"/>
          <w:spacing w:val="-4"/>
          <w:sz w:val="32"/>
          <w:szCs w:val="32"/>
          <w:highlight w:val="none"/>
        </w:rPr>
      </w:pPr>
      <w:r>
        <w:rPr>
          <w:rStyle w:val="12"/>
          <w:rFonts w:hint="eastAsia" w:ascii="楷体" w:hAnsi="楷体" w:eastAsia="楷体" w:cs="Times New Roman"/>
          <w:b w:val="0"/>
          <w:bCs w:val="0"/>
          <w:color w:val="auto"/>
          <w:spacing w:val="-4"/>
          <w:sz w:val="32"/>
          <w:szCs w:val="32"/>
          <w:highlight w:val="none"/>
        </w:rPr>
        <w:t>（二）决策过程</w:t>
      </w:r>
    </w:p>
    <w:p>
      <w:pPr>
        <w:pStyle w:val="14"/>
        <w:spacing w:line="560" w:lineRule="exact"/>
        <w:ind w:firstLine="64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w:t>
      </w:r>
      <w:r>
        <w:rPr>
          <w:rFonts w:hint="eastAsia" w:ascii="仿宋_GB2312" w:hAnsi="仿宋_GB2312" w:eastAsia="仿宋_GB2312" w:cs="仿宋_GB2312"/>
          <w:color w:val="auto"/>
          <w:sz w:val="32"/>
          <w:szCs w:val="32"/>
          <w:highlight w:val="none"/>
          <w:lang w:eastAsia="zh-CN"/>
        </w:rPr>
        <w:t>单位</w:t>
      </w:r>
      <w:r>
        <w:rPr>
          <w:rFonts w:hint="eastAsia" w:ascii="仿宋_GB2312" w:hAnsi="仿宋_GB2312" w:eastAsia="仿宋_GB2312" w:cs="仿宋_GB2312"/>
          <w:color w:val="auto"/>
          <w:sz w:val="32"/>
          <w:szCs w:val="32"/>
          <w:highlight w:val="none"/>
        </w:rPr>
        <w:t>的项目立项符合相关法规政策及</w:t>
      </w:r>
      <w:r>
        <w:rPr>
          <w:rFonts w:hint="eastAsia" w:ascii="仿宋_GB2312" w:hAnsi="仿宋_GB2312" w:eastAsia="仿宋_GB2312" w:cs="仿宋_GB2312"/>
          <w:color w:val="auto"/>
          <w:sz w:val="32"/>
          <w:szCs w:val="32"/>
          <w:highlight w:val="none"/>
          <w:lang w:eastAsia="zh-CN"/>
        </w:rPr>
        <w:t>单位</w:t>
      </w:r>
      <w:r>
        <w:rPr>
          <w:rFonts w:hint="eastAsia" w:ascii="仿宋_GB2312" w:hAnsi="仿宋_GB2312" w:eastAsia="仿宋_GB2312" w:cs="仿宋_GB2312"/>
          <w:color w:val="auto"/>
          <w:sz w:val="32"/>
          <w:szCs w:val="32"/>
          <w:highlight w:val="none"/>
        </w:rPr>
        <w:t>职责，依据充分；项目按照规定的程序申请设立；审批文件、材料符合相关要求；项目前期已经经过必要的绩效评估、集体决策。</w:t>
      </w:r>
    </w:p>
    <w:p>
      <w:pPr>
        <w:spacing w:line="560" w:lineRule="exact"/>
        <w:ind w:firstLine="624" w:firstLineChars="200"/>
        <w:rPr>
          <w:rStyle w:val="12"/>
          <w:rFonts w:ascii="楷体" w:hAnsi="楷体" w:eastAsia="楷体" w:cs="Times New Roman"/>
          <w:b w:val="0"/>
          <w:bCs w:val="0"/>
          <w:color w:val="auto"/>
          <w:spacing w:val="-4"/>
          <w:sz w:val="32"/>
          <w:szCs w:val="32"/>
          <w:highlight w:val="none"/>
        </w:rPr>
      </w:pPr>
      <w:r>
        <w:rPr>
          <w:rStyle w:val="12"/>
          <w:rFonts w:hint="eastAsia" w:ascii="楷体" w:hAnsi="楷体" w:eastAsia="楷体" w:cs="Times New Roman"/>
          <w:b w:val="0"/>
          <w:bCs w:val="0"/>
          <w:color w:val="auto"/>
          <w:spacing w:val="-4"/>
          <w:sz w:val="32"/>
          <w:szCs w:val="32"/>
          <w:highlight w:val="none"/>
        </w:rPr>
        <w:t>（三）资金分配</w:t>
      </w:r>
    </w:p>
    <w:p>
      <w:pPr>
        <w:pStyle w:val="14"/>
        <w:spacing w:line="560" w:lineRule="exact"/>
        <w:ind w:firstLine="64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在资金投入方面，预算编制经过科学论证、有明确标准，资金额度与年度目标一致，用以反映和考核项目预算编制的科学性、合理性情况。本年度合</w:t>
      </w:r>
      <w:r>
        <w:rPr>
          <w:rFonts w:hint="eastAsia" w:ascii="仿宋_GB2312" w:hAnsi="仿宋_GB2312" w:eastAsia="仿宋_GB2312" w:cs="仿宋_GB2312"/>
          <w:color w:val="auto"/>
          <w:sz w:val="32"/>
          <w:szCs w:val="32"/>
          <w:highlight w:val="none"/>
          <w:lang w:eastAsia="zh-CN"/>
        </w:rPr>
        <w:t>理</w:t>
      </w:r>
      <w:r>
        <w:rPr>
          <w:rFonts w:hint="eastAsia" w:ascii="仿宋_GB2312" w:hAnsi="仿宋_GB2312" w:eastAsia="仿宋_GB2312" w:cs="仿宋_GB2312"/>
          <w:color w:val="auto"/>
          <w:sz w:val="32"/>
          <w:szCs w:val="32"/>
          <w:highlight w:val="none"/>
        </w:rPr>
        <w:t>安排重点项目与</w:t>
      </w:r>
      <w:r>
        <w:rPr>
          <w:rFonts w:hint="eastAsia" w:ascii="仿宋_GB2312" w:hAnsi="仿宋_GB2312" w:eastAsia="仿宋_GB2312" w:cs="仿宋_GB2312"/>
          <w:color w:val="auto"/>
          <w:sz w:val="32"/>
          <w:szCs w:val="32"/>
          <w:highlight w:val="none"/>
          <w:lang w:eastAsia="zh-CN"/>
        </w:rPr>
        <w:t>单位</w:t>
      </w:r>
      <w:r>
        <w:rPr>
          <w:rFonts w:hint="eastAsia" w:ascii="仿宋_GB2312" w:hAnsi="仿宋_GB2312" w:eastAsia="仿宋_GB2312" w:cs="仿宋_GB2312"/>
          <w:color w:val="auto"/>
          <w:sz w:val="32"/>
          <w:szCs w:val="32"/>
          <w:highlight w:val="none"/>
        </w:rPr>
        <w:t>项目资金，根据相关文件要求设置了绩效目标，项目绩效目标基本合理，与实际工作内容相关；项目预期产出效益和效果符合正常的业绩水平；与预算确定的项目投资额或资金量相匹配；将项目绩效目标细化分解为具体的绩效指标；通过清晰、可衡量的指标值予以体现；与项目目标任务数或计划数相对应，有效提升了单位履行主要职能及完成重点任务的保障程度。</w:t>
      </w:r>
    </w:p>
    <w:p>
      <w:pPr>
        <w:spacing w:line="560" w:lineRule="exact"/>
        <w:ind w:firstLine="624" w:firstLineChars="200"/>
        <w:rPr>
          <w:rStyle w:val="12"/>
          <w:rFonts w:ascii="楷体" w:hAnsi="楷体" w:eastAsia="楷体" w:cs="Times New Roman"/>
          <w:b w:val="0"/>
          <w:bCs w:val="0"/>
          <w:color w:val="auto"/>
          <w:spacing w:val="-4"/>
          <w:sz w:val="32"/>
          <w:szCs w:val="32"/>
          <w:highlight w:val="none"/>
        </w:rPr>
      </w:pPr>
      <w:r>
        <w:rPr>
          <w:rStyle w:val="12"/>
          <w:rFonts w:hint="eastAsia" w:ascii="楷体" w:hAnsi="楷体" w:eastAsia="楷体" w:cs="Times New Roman"/>
          <w:b w:val="0"/>
          <w:bCs w:val="0"/>
          <w:color w:val="auto"/>
          <w:spacing w:val="-4"/>
          <w:sz w:val="32"/>
          <w:szCs w:val="32"/>
          <w:highlight w:val="none"/>
        </w:rPr>
        <w:t>（四）</w:t>
      </w:r>
      <w:r>
        <w:rPr>
          <w:rStyle w:val="12"/>
          <w:rFonts w:hint="eastAsia" w:ascii="楷体" w:hAnsi="楷体" w:eastAsia="楷体" w:cs="Times New Roman"/>
          <w:b w:val="0"/>
          <w:bCs w:val="0"/>
          <w:color w:val="auto"/>
          <w:spacing w:val="-4"/>
          <w:sz w:val="32"/>
          <w:szCs w:val="32"/>
          <w:highlight w:val="none"/>
          <w:lang w:eastAsia="zh-CN"/>
        </w:rPr>
        <w:t>单位</w:t>
      </w:r>
      <w:r>
        <w:rPr>
          <w:rStyle w:val="12"/>
          <w:rFonts w:hint="eastAsia" w:ascii="楷体" w:hAnsi="楷体" w:eastAsia="楷体" w:cs="Times New Roman"/>
          <w:b w:val="0"/>
          <w:bCs w:val="0"/>
          <w:color w:val="auto"/>
          <w:spacing w:val="-4"/>
          <w:sz w:val="32"/>
          <w:szCs w:val="32"/>
          <w:highlight w:val="none"/>
        </w:rPr>
        <w:t>整体支出规模、使用方法、主要内容及涉及范围</w:t>
      </w:r>
    </w:p>
    <w:p>
      <w:pPr>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1．</w:t>
      </w:r>
      <w:r>
        <w:rPr>
          <w:rFonts w:hint="eastAsia" w:ascii="仿宋_GB2312" w:hAnsi="方正楷体简体" w:eastAsia="仿宋_GB2312" w:cs="宋体"/>
          <w:b/>
          <w:bCs/>
          <w:color w:val="auto"/>
          <w:sz w:val="32"/>
          <w:szCs w:val="32"/>
          <w:highlight w:val="none"/>
          <w:lang w:eastAsia="zh-CN"/>
        </w:rPr>
        <w:t>单位</w:t>
      </w:r>
      <w:r>
        <w:rPr>
          <w:rFonts w:hint="eastAsia" w:ascii="仿宋_GB2312" w:hAnsi="方正楷体简体" w:eastAsia="仿宋_GB2312" w:cs="宋体"/>
          <w:b/>
          <w:bCs/>
          <w:color w:val="auto"/>
          <w:sz w:val="32"/>
          <w:szCs w:val="32"/>
          <w:highlight w:val="none"/>
        </w:rPr>
        <w:t>整体支出规模</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202</w:t>
      </w:r>
      <w:r>
        <w:rPr>
          <w:rFonts w:hint="eastAsia" w:ascii="仿宋_GB2312" w:hAnsi="方正楷体简体" w:eastAsia="仿宋_GB2312" w:cs="宋体"/>
          <w:color w:val="auto"/>
          <w:sz w:val="32"/>
          <w:szCs w:val="32"/>
          <w:highlight w:val="none"/>
          <w:lang w:val="en-US" w:eastAsia="zh-CN"/>
        </w:rPr>
        <w:t>1</w:t>
      </w:r>
      <w:r>
        <w:rPr>
          <w:rFonts w:hint="eastAsia" w:ascii="仿宋_GB2312" w:hAnsi="方正楷体简体" w:eastAsia="仿宋_GB2312" w:cs="宋体"/>
          <w:color w:val="auto"/>
          <w:sz w:val="32"/>
          <w:szCs w:val="32"/>
          <w:highlight w:val="none"/>
        </w:rPr>
        <w:t>年度</w:t>
      </w:r>
      <w:r>
        <w:rPr>
          <w:rFonts w:hint="eastAsia" w:ascii="仿宋_GB2312" w:hAnsi="方正楷体简体" w:eastAsia="仿宋_GB2312" w:cs="宋体"/>
          <w:color w:val="auto"/>
          <w:sz w:val="32"/>
          <w:szCs w:val="32"/>
          <w:highlight w:val="none"/>
          <w:lang w:eastAsia="zh-CN"/>
        </w:rPr>
        <w:t>和田市市场监督管理局</w:t>
      </w:r>
      <w:r>
        <w:rPr>
          <w:rFonts w:hint="eastAsia" w:ascii="仿宋_GB2312" w:hAnsi="方正楷体简体" w:eastAsia="仿宋_GB2312" w:cs="宋体"/>
          <w:color w:val="auto"/>
          <w:sz w:val="32"/>
          <w:szCs w:val="32"/>
          <w:highlight w:val="none"/>
        </w:rPr>
        <w:t>整体支出全年预算总额为</w:t>
      </w:r>
      <w:r>
        <w:rPr>
          <w:rFonts w:hint="eastAsia" w:ascii="仿宋_GB2312" w:hAnsi="方正楷体简体" w:eastAsia="仿宋_GB2312" w:cs="宋体"/>
          <w:color w:val="auto"/>
          <w:sz w:val="32"/>
          <w:szCs w:val="32"/>
          <w:highlight w:val="none"/>
          <w:lang w:val="en-US" w:eastAsia="zh-CN"/>
        </w:rPr>
        <w:t>3458.03</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3263.87</w:t>
      </w:r>
      <w:r>
        <w:rPr>
          <w:rFonts w:hint="eastAsia" w:ascii="仿宋_GB2312" w:hAnsi="方正楷体简体" w:eastAsia="仿宋_GB2312" w:cs="宋体"/>
          <w:color w:val="auto"/>
          <w:sz w:val="32"/>
          <w:szCs w:val="32"/>
          <w:highlight w:val="none"/>
        </w:rPr>
        <w:t>万元，执行率</w:t>
      </w:r>
      <w:r>
        <w:rPr>
          <w:rFonts w:hint="eastAsia" w:ascii="仿宋_GB2312" w:hAnsi="方正楷体简体" w:eastAsia="仿宋_GB2312" w:cs="宋体"/>
          <w:color w:val="auto"/>
          <w:sz w:val="32"/>
          <w:szCs w:val="32"/>
          <w:highlight w:val="none"/>
          <w:lang w:val="en-US" w:eastAsia="zh-CN"/>
        </w:rPr>
        <w:t>94.4</w:t>
      </w:r>
      <w:r>
        <w:rPr>
          <w:rFonts w:hint="eastAsia" w:ascii="仿宋_GB2312" w:hAnsi="方正楷体简体" w:eastAsia="仿宋_GB2312" w:cs="宋体"/>
          <w:color w:val="auto"/>
          <w:sz w:val="32"/>
          <w:szCs w:val="32"/>
          <w:highlight w:val="none"/>
        </w:rPr>
        <w:t>%；全年预算总额较上年</w:t>
      </w:r>
      <w:r>
        <w:rPr>
          <w:rFonts w:hint="eastAsia" w:ascii="仿宋_GB2312" w:hAnsi="方正楷体简体" w:eastAsia="仿宋_GB2312" w:cs="宋体"/>
          <w:color w:val="auto"/>
          <w:sz w:val="32"/>
          <w:szCs w:val="32"/>
          <w:highlight w:val="none"/>
          <w:lang w:val="en-US" w:eastAsia="zh-CN"/>
        </w:rPr>
        <w:t>2480.77</w:t>
      </w:r>
      <w:r>
        <w:rPr>
          <w:rFonts w:hint="eastAsia" w:ascii="仿宋_GB2312" w:hAnsi="方正楷体简体" w:eastAsia="仿宋_GB2312" w:cs="宋体"/>
          <w:color w:val="auto"/>
          <w:sz w:val="32"/>
          <w:szCs w:val="32"/>
          <w:highlight w:val="none"/>
        </w:rPr>
        <w:t>万元增加</w:t>
      </w:r>
      <w:r>
        <w:rPr>
          <w:rFonts w:hint="eastAsia" w:ascii="仿宋_GB2312" w:hAnsi="方正楷体简体" w:eastAsia="仿宋_GB2312" w:cs="宋体"/>
          <w:color w:val="auto"/>
          <w:sz w:val="32"/>
          <w:szCs w:val="32"/>
          <w:highlight w:val="none"/>
          <w:lang w:val="en-US" w:eastAsia="zh-CN"/>
        </w:rPr>
        <w:t>977.26</w:t>
      </w:r>
      <w:r>
        <w:rPr>
          <w:rFonts w:hint="eastAsia" w:ascii="仿宋_GB2312" w:hAnsi="方正楷体简体" w:eastAsia="仿宋_GB2312" w:cs="宋体"/>
          <w:color w:val="auto"/>
          <w:sz w:val="32"/>
          <w:szCs w:val="32"/>
          <w:highlight w:val="none"/>
        </w:rPr>
        <w:t>万元，增幅：</w:t>
      </w:r>
      <w:r>
        <w:rPr>
          <w:rFonts w:hint="eastAsia" w:ascii="仿宋_GB2312" w:hAnsi="方正楷体简体" w:eastAsia="仿宋_GB2312" w:cs="宋体"/>
          <w:color w:val="auto"/>
          <w:sz w:val="32"/>
          <w:szCs w:val="32"/>
          <w:highlight w:val="none"/>
          <w:lang w:val="en-US" w:eastAsia="zh-CN"/>
        </w:rPr>
        <w:t>39.4</w:t>
      </w:r>
      <w:r>
        <w:rPr>
          <w:rFonts w:hint="eastAsia" w:ascii="仿宋_GB2312" w:hAnsi="方正楷体简体" w:eastAsia="仿宋_GB2312" w:cs="宋体"/>
          <w:color w:val="auto"/>
          <w:sz w:val="32"/>
          <w:szCs w:val="32"/>
          <w:highlight w:val="none"/>
        </w:rPr>
        <w:t>%，变动主要原因是：</w:t>
      </w:r>
      <w:r>
        <w:rPr>
          <w:rFonts w:hint="eastAsia" w:ascii="仿宋_GB2312" w:hAnsi="方正楷体简体" w:eastAsia="仿宋_GB2312" w:cs="宋体"/>
          <w:color w:val="auto"/>
          <w:sz w:val="32"/>
          <w:szCs w:val="32"/>
          <w:highlight w:val="none"/>
          <w:lang w:val="en-US" w:eastAsia="zh-CN"/>
        </w:rPr>
        <w:t>2021年度支付疫情防控资金1077.91万元</w:t>
      </w:r>
      <w:r>
        <w:rPr>
          <w:rFonts w:hint="eastAsia" w:ascii="仿宋_GB2312" w:hAnsi="方正楷体简体" w:eastAsia="仿宋_GB2312" w:cs="宋体"/>
          <w:color w:val="auto"/>
          <w:sz w:val="32"/>
          <w:szCs w:val="32"/>
          <w:highlight w:val="none"/>
        </w:rPr>
        <w:t xml:space="preserve">。 </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（1）基本支出情况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截至12月31日，基本支出全年预算数</w:t>
      </w:r>
      <w:r>
        <w:rPr>
          <w:rFonts w:hint="eastAsia" w:ascii="仿宋_GB2312" w:hAnsi="方正楷体简体" w:eastAsia="仿宋_GB2312" w:cs="宋体"/>
          <w:color w:val="auto"/>
          <w:sz w:val="32"/>
          <w:szCs w:val="32"/>
          <w:highlight w:val="none"/>
          <w:lang w:val="en-US" w:eastAsia="zh-CN"/>
        </w:rPr>
        <w:t>1998.48</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1931.67</w:t>
      </w:r>
      <w:r>
        <w:rPr>
          <w:rFonts w:hint="eastAsia" w:ascii="仿宋_GB2312" w:hAnsi="方正楷体简体" w:eastAsia="仿宋_GB2312" w:cs="宋体"/>
          <w:color w:val="auto"/>
          <w:sz w:val="32"/>
          <w:szCs w:val="32"/>
          <w:highlight w:val="none"/>
        </w:rPr>
        <w:t>万元，执行率</w:t>
      </w:r>
      <w:r>
        <w:rPr>
          <w:rFonts w:hint="eastAsia" w:ascii="仿宋_GB2312" w:hAnsi="方正楷体简体" w:eastAsia="仿宋_GB2312" w:cs="宋体"/>
          <w:color w:val="auto"/>
          <w:sz w:val="32"/>
          <w:szCs w:val="32"/>
          <w:highlight w:val="none"/>
          <w:lang w:val="en-US" w:eastAsia="zh-CN"/>
        </w:rPr>
        <w:t>96.7</w:t>
      </w:r>
      <w:r>
        <w:rPr>
          <w:rFonts w:hint="eastAsia" w:ascii="仿宋_GB2312" w:hAnsi="方正楷体简体" w:eastAsia="仿宋_GB2312" w:cs="宋体"/>
          <w:color w:val="auto"/>
          <w:sz w:val="32"/>
          <w:szCs w:val="32"/>
          <w:highlight w:val="none"/>
        </w:rPr>
        <w:t>%；其中，年初</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预算批复的整体支出绩效目标表中，基本支出预算数</w:t>
      </w:r>
      <w:r>
        <w:rPr>
          <w:rFonts w:hint="eastAsia" w:ascii="仿宋_GB2312" w:hAnsi="方正楷体简体" w:eastAsia="仿宋_GB2312" w:cs="宋体"/>
          <w:color w:val="auto"/>
          <w:sz w:val="32"/>
          <w:szCs w:val="32"/>
          <w:highlight w:val="none"/>
          <w:lang w:val="en-US" w:eastAsia="zh-CN"/>
        </w:rPr>
        <w:t>1704.12</w:t>
      </w:r>
      <w:r>
        <w:rPr>
          <w:rFonts w:hint="eastAsia" w:ascii="仿宋_GB2312" w:hAnsi="方正楷体简体" w:eastAsia="仿宋_GB2312" w:cs="宋体"/>
          <w:color w:val="auto"/>
          <w:sz w:val="32"/>
          <w:szCs w:val="32"/>
          <w:highlight w:val="none"/>
        </w:rPr>
        <w:t>万元，年中追加基本支出预算数</w:t>
      </w:r>
      <w:r>
        <w:rPr>
          <w:rFonts w:hint="eastAsia" w:ascii="仿宋_GB2312" w:hAnsi="方正楷体简体" w:eastAsia="仿宋_GB2312" w:cs="宋体"/>
          <w:color w:val="auto"/>
          <w:sz w:val="32"/>
          <w:szCs w:val="32"/>
          <w:highlight w:val="none"/>
          <w:lang w:val="en-US" w:eastAsia="zh-CN"/>
        </w:rPr>
        <w:t>294.36</w:t>
      </w:r>
      <w:r>
        <w:rPr>
          <w:rFonts w:hint="eastAsia" w:ascii="仿宋_GB2312" w:hAnsi="方正楷体简体" w:eastAsia="仿宋_GB2312" w:cs="宋体"/>
          <w:color w:val="auto"/>
          <w:sz w:val="32"/>
          <w:szCs w:val="32"/>
          <w:highlight w:val="none"/>
        </w:rPr>
        <w:t>万元。</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（2）</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预算项目支出情况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截至12月31日，</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预算项目支出数共计</w:t>
      </w:r>
      <w:r>
        <w:rPr>
          <w:rFonts w:hint="eastAsia" w:ascii="仿宋_GB2312" w:hAnsi="方正楷体简体" w:eastAsia="仿宋_GB2312" w:cs="宋体"/>
          <w:color w:val="auto"/>
          <w:sz w:val="32"/>
          <w:szCs w:val="32"/>
          <w:highlight w:val="none"/>
          <w:lang w:val="en-US" w:eastAsia="zh-CN"/>
        </w:rPr>
        <w:t>4</w:t>
      </w:r>
      <w:r>
        <w:rPr>
          <w:rFonts w:hint="eastAsia" w:ascii="仿宋_GB2312" w:hAnsi="方正楷体简体" w:eastAsia="仿宋_GB2312" w:cs="宋体"/>
          <w:color w:val="auto"/>
          <w:sz w:val="32"/>
          <w:szCs w:val="32"/>
          <w:highlight w:val="none"/>
        </w:rPr>
        <w:t>个，全年预算数</w:t>
      </w:r>
      <w:r>
        <w:rPr>
          <w:rFonts w:hint="eastAsia" w:ascii="仿宋_GB2312" w:hAnsi="方正楷体简体" w:eastAsia="仿宋_GB2312" w:cs="宋体"/>
          <w:color w:val="auto"/>
          <w:sz w:val="32"/>
          <w:szCs w:val="32"/>
          <w:highlight w:val="none"/>
          <w:lang w:val="en-US" w:eastAsia="zh-CN"/>
        </w:rPr>
        <w:t>1389.55</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1275.05</w:t>
      </w:r>
      <w:r>
        <w:rPr>
          <w:rFonts w:hint="eastAsia" w:ascii="仿宋_GB2312" w:hAnsi="方正楷体简体" w:eastAsia="仿宋_GB2312" w:cs="宋体"/>
          <w:color w:val="auto"/>
          <w:sz w:val="32"/>
          <w:szCs w:val="32"/>
          <w:highlight w:val="none"/>
        </w:rPr>
        <w:t>万元，执行率</w:t>
      </w:r>
      <w:r>
        <w:rPr>
          <w:rFonts w:hint="eastAsia" w:ascii="仿宋_GB2312" w:hAnsi="方正楷体简体" w:eastAsia="仿宋_GB2312" w:cs="宋体"/>
          <w:color w:val="auto"/>
          <w:sz w:val="32"/>
          <w:szCs w:val="32"/>
          <w:highlight w:val="none"/>
          <w:lang w:val="en-US" w:eastAsia="zh-CN"/>
        </w:rPr>
        <w:t>91.8</w:t>
      </w:r>
      <w:r>
        <w:rPr>
          <w:rFonts w:hint="eastAsia" w:ascii="仿宋_GB2312" w:hAnsi="方正楷体简体" w:eastAsia="仿宋_GB2312" w:cs="宋体"/>
          <w:color w:val="auto"/>
          <w:sz w:val="32"/>
          <w:szCs w:val="32"/>
          <w:highlight w:val="none"/>
        </w:rPr>
        <w:t>%；其中，年初</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预算批复的整体支出绩效目标表中，项目支出预算数</w:t>
      </w:r>
      <w:r>
        <w:rPr>
          <w:rFonts w:hint="eastAsia" w:ascii="仿宋_GB2312" w:hAnsi="方正楷体简体" w:eastAsia="仿宋_GB2312" w:cs="宋体"/>
          <w:color w:val="auto"/>
          <w:sz w:val="32"/>
          <w:szCs w:val="32"/>
          <w:highlight w:val="none"/>
          <w:lang w:val="en-US" w:eastAsia="zh-CN"/>
        </w:rPr>
        <w:t>1356.74</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1255.68</w:t>
      </w:r>
      <w:r>
        <w:rPr>
          <w:rFonts w:hint="eastAsia" w:ascii="仿宋_GB2312" w:hAnsi="方正楷体简体" w:eastAsia="仿宋_GB2312" w:cs="宋体"/>
          <w:color w:val="auto"/>
          <w:sz w:val="32"/>
          <w:szCs w:val="32"/>
          <w:highlight w:val="none"/>
        </w:rPr>
        <w:t>万元，年中追加项目支出预算数</w:t>
      </w:r>
      <w:r>
        <w:rPr>
          <w:rFonts w:hint="eastAsia" w:ascii="仿宋_GB2312" w:hAnsi="方正楷体简体" w:eastAsia="仿宋_GB2312" w:cs="宋体"/>
          <w:color w:val="auto"/>
          <w:sz w:val="32"/>
          <w:szCs w:val="32"/>
          <w:highlight w:val="none"/>
          <w:lang w:val="en-US" w:eastAsia="zh-CN"/>
        </w:rPr>
        <w:t>32.81</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19.37</w:t>
      </w:r>
      <w:r>
        <w:rPr>
          <w:rFonts w:hint="eastAsia" w:ascii="仿宋_GB2312" w:hAnsi="方正楷体简体" w:eastAsia="仿宋_GB2312" w:cs="宋体"/>
          <w:color w:val="auto"/>
          <w:sz w:val="32"/>
          <w:szCs w:val="32"/>
          <w:highlight w:val="none"/>
        </w:rPr>
        <w:t>万元，绩效结果应用调整项目支出预算数</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（3）专项资金项目支出情况</w:t>
      </w:r>
      <w:r>
        <w:rPr>
          <w:rFonts w:hint="eastAsia" w:ascii="仿宋_GB2312" w:hAnsi="方正楷体简体" w:eastAsia="仿宋_GB2312" w:cs="宋体"/>
          <w:color w:val="auto"/>
          <w:sz w:val="32"/>
          <w:szCs w:val="32"/>
          <w:highlight w:val="none"/>
        </w:rPr>
        <w:tab/>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截至12月31日，上级专项资金项目共计</w:t>
      </w:r>
      <w:r>
        <w:rPr>
          <w:rFonts w:hint="eastAsia" w:ascii="仿宋_GB2312" w:hAnsi="方正楷体简体" w:eastAsia="仿宋_GB2312" w:cs="宋体"/>
          <w:color w:val="auto"/>
          <w:sz w:val="32"/>
          <w:szCs w:val="32"/>
          <w:highlight w:val="none"/>
          <w:lang w:val="en-US" w:eastAsia="zh-CN"/>
        </w:rPr>
        <w:t>1</w:t>
      </w:r>
      <w:r>
        <w:rPr>
          <w:rFonts w:hint="eastAsia" w:ascii="仿宋_GB2312" w:hAnsi="方正楷体简体" w:eastAsia="仿宋_GB2312" w:cs="宋体"/>
          <w:color w:val="auto"/>
          <w:sz w:val="32"/>
          <w:szCs w:val="32"/>
          <w:highlight w:val="none"/>
        </w:rPr>
        <w:t>个，全年预算数</w:t>
      </w:r>
      <w:r>
        <w:rPr>
          <w:rFonts w:hint="eastAsia" w:ascii="仿宋_GB2312" w:hAnsi="方正楷体简体" w:eastAsia="仿宋_GB2312" w:cs="宋体"/>
          <w:color w:val="auto"/>
          <w:sz w:val="32"/>
          <w:szCs w:val="32"/>
          <w:highlight w:val="none"/>
          <w:lang w:val="en-US" w:eastAsia="zh-CN"/>
        </w:rPr>
        <w:t>70</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57.15</w:t>
      </w:r>
      <w:r>
        <w:rPr>
          <w:rFonts w:hint="eastAsia" w:ascii="仿宋_GB2312" w:hAnsi="方正楷体简体" w:eastAsia="仿宋_GB2312" w:cs="宋体"/>
          <w:color w:val="auto"/>
          <w:sz w:val="32"/>
          <w:szCs w:val="32"/>
          <w:highlight w:val="none"/>
        </w:rPr>
        <w:t>万元，执行率</w:t>
      </w:r>
      <w:r>
        <w:rPr>
          <w:rFonts w:hint="eastAsia" w:ascii="仿宋_GB2312" w:hAnsi="方正楷体简体" w:eastAsia="仿宋_GB2312" w:cs="宋体"/>
          <w:color w:val="auto"/>
          <w:sz w:val="32"/>
          <w:szCs w:val="32"/>
          <w:highlight w:val="none"/>
          <w:lang w:val="en-US" w:eastAsia="zh-CN"/>
        </w:rPr>
        <w:t>81.6</w:t>
      </w:r>
      <w:r>
        <w:rPr>
          <w:rFonts w:hint="eastAsia" w:ascii="仿宋_GB2312" w:hAnsi="方正楷体简体" w:eastAsia="仿宋_GB2312" w:cs="宋体"/>
          <w:color w:val="auto"/>
          <w:sz w:val="32"/>
          <w:szCs w:val="32"/>
          <w:highlight w:val="none"/>
        </w:rPr>
        <w:t>%。</w:t>
      </w:r>
    </w:p>
    <w:p>
      <w:pPr>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2．使用方法</w:t>
      </w:r>
    </w:p>
    <w:p>
      <w:pPr>
        <w:spacing w:line="560" w:lineRule="exact"/>
        <w:ind w:firstLine="640"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color w:val="auto"/>
          <w:sz w:val="32"/>
          <w:szCs w:val="32"/>
          <w:highlight w:val="none"/>
        </w:rPr>
        <w:t>基本支出由财政</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按照进度每月分期拨付，人员支出按照工资计划发放工资；涉及资金出按照我单位《内控制度》中设定的流程申报审批进行；项目支出属于政府采购的，组织人员制定采购计划，委托公共资源交易中心或采购中心进行公开招标、邀请招标等方式进行；属于非政府采购的项目，按照“三重一大”制度规定，重大项目支出上党组会研究决定。</w:t>
      </w:r>
    </w:p>
    <w:p>
      <w:pPr>
        <w:tabs>
          <w:tab w:val="left" w:pos="312"/>
        </w:tabs>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3．主要内容及涉及范围</w:t>
      </w:r>
    </w:p>
    <w:p>
      <w:pPr>
        <w:pStyle w:val="17"/>
        <w:spacing w:line="560" w:lineRule="exact"/>
        <w:ind w:firstLineChars="200"/>
        <w:jc w:val="both"/>
        <w:rPr>
          <w:rFonts w:hAnsi="方正楷体简体"/>
          <w:color w:val="auto"/>
          <w:highlight w:val="none"/>
        </w:rPr>
      </w:pPr>
      <w:r>
        <w:rPr>
          <w:rFonts w:hint="eastAsia" w:hAnsi="方正楷体简体"/>
          <w:color w:val="auto"/>
          <w:highlight w:val="none"/>
        </w:rPr>
        <w:t>（1）基本支出包括人员经费和公用经费。公用经费主要包括：办公费、印刷费、咨询费、手续费、水费、电费、邮电费、取暖费、物业管理费、差旅费、维修（护）费、租赁费、会议费、培训费、公务接待费、专用材料费、专用燃料费、劳务费、工会经费、福利费、公务用车运行维护费、其他交通费用、税金及附加费用、其他商品和服务支出、办公设备购置、专用设备购置等。</w:t>
      </w:r>
    </w:p>
    <w:p>
      <w:pPr>
        <w:pStyle w:val="17"/>
        <w:spacing w:line="560" w:lineRule="exact"/>
        <w:ind w:firstLineChars="200"/>
        <w:jc w:val="both"/>
        <w:rPr>
          <w:rFonts w:hAnsi="方正楷体简体"/>
          <w:b/>
          <w:color w:val="auto"/>
          <w:highlight w:val="none"/>
        </w:rPr>
      </w:pPr>
      <w:r>
        <w:rPr>
          <w:rFonts w:hint="eastAsia" w:hAnsi="方正楷体简体"/>
          <w:color w:val="auto"/>
          <w:highlight w:val="none"/>
        </w:rPr>
        <w:t>（2）202</w:t>
      </w:r>
      <w:r>
        <w:rPr>
          <w:rFonts w:hint="eastAsia" w:hAnsi="方正楷体简体"/>
          <w:color w:val="auto"/>
          <w:highlight w:val="none"/>
          <w:lang w:val="en-US" w:eastAsia="zh-CN"/>
        </w:rPr>
        <w:t>1</w:t>
      </w:r>
      <w:r>
        <w:rPr>
          <w:rFonts w:hint="eastAsia" w:hAnsi="方正楷体简体"/>
          <w:color w:val="auto"/>
          <w:highlight w:val="none"/>
        </w:rPr>
        <w:t>年度</w:t>
      </w:r>
      <w:r>
        <w:rPr>
          <w:rFonts w:hint="eastAsia" w:hAnsi="方正楷体简体"/>
          <w:color w:val="auto"/>
          <w:highlight w:val="none"/>
          <w:lang w:eastAsia="zh-CN"/>
        </w:rPr>
        <w:t>和田市市场监督管理局</w:t>
      </w:r>
      <w:r>
        <w:rPr>
          <w:rFonts w:hint="eastAsia" w:hAnsi="方正楷体简体"/>
          <w:color w:val="auto"/>
          <w:highlight w:val="none"/>
        </w:rPr>
        <w:t>项目支出共涉及</w:t>
      </w:r>
      <w:r>
        <w:rPr>
          <w:rFonts w:hint="eastAsia" w:hAnsi="方正楷体简体"/>
          <w:color w:val="auto"/>
          <w:highlight w:val="none"/>
          <w:lang w:val="en-US" w:eastAsia="zh-CN"/>
        </w:rPr>
        <w:t>5</w:t>
      </w:r>
      <w:r>
        <w:rPr>
          <w:rFonts w:hint="eastAsia" w:hAnsi="方正楷体简体"/>
          <w:color w:val="auto"/>
          <w:highlight w:val="none"/>
        </w:rPr>
        <w:t>个项目，分别为：</w:t>
      </w: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1"/>
        <w:gridCol w:w="2841"/>
        <w:gridCol w:w="2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1" w:type="dxa"/>
            <w:vAlign w:val="center"/>
          </w:tcPr>
          <w:p>
            <w:pPr>
              <w:pStyle w:val="14"/>
              <w:spacing w:line="560" w:lineRule="exact"/>
              <w:ind w:firstLine="200" w:firstLineChars="0"/>
              <w:jc w:val="center"/>
              <w:rPr>
                <w:rStyle w:val="12"/>
                <w:rFonts w:hint="eastAsia" w:ascii="仿宋_GB2312" w:hAnsi="黑体" w:eastAsia="仿宋_GB2312" w:cs="Times New Roman"/>
                <w:b w:val="0"/>
                <w:color w:val="auto"/>
                <w:spacing w:val="-4"/>
                <w:sz w:val="32"/>
                <w:szCs w:val="32"/>
                <w:highlight w:val="none"/>
              </w:rPr>
            </w:pPr>
            <w:r>
              <w:rPr>
                <w:rStyle w:val="12"/>
                <w:rFonts w:hint="eastAsia" w:ascii="仿宋_GB2312" w:hAnsi="黑体" w:eastAsia="仿宋_GB2312" w:cs="Times New Roman"/>
                <w:b w:val="0"/>
                <w:color w:val="auto"/>
                <w:spacing w:val="-4"/>
                <w:sz w:val="32"/>
                <w:szCs w:val="32"/>
                <w:highlight w:val="none"/>
              </w:rPr>
              <w:t>项目名称</w:t>
            </w:r>
          </w:p>
        </w:tc>
        <w:tc>
          <w:tcPr>
            <w:tcW w:w="2841" w:type="dxa"/>
            <w:vAlign w:val="center"/>
          </w:tcPr>
          <w:p>
            <w:pPr>
              <w:pStyle w:val="14"/>
              <w:spacing w:line="560" w:lineRule="exact"/>
              <w:ind w:firstLine="200" w:firstLineChars="0"/>
              <w:jc w:val="center"/>
              <w:rPr>
                <w:rStyle w:val="12"/>
                <w:rFonts w:hint="eastAsia" w:ascii="仿宋_GB2312" w:hAnsi="黑体" w:eastAsia="仿宋_GB2312" w:cs="Times New Roman"/>
                <w:b w:val="0"/>
                <w:color w:val="auto"/>
                <w:spacing w:val="-4"/>
                <w:sz w:val="32"/>
                <w:szCs w:val="32"/>
                <w:highlight w:val="none"/>
              </w:rPr>
            </w:pPr>
            <w:r>
              <w:rPr>
                <w:rStyle w:val="12"/>
                <w:rFonts w:hint="eastAsia" w:ascii="仿宋_GB2312" w:hAnsi="黑体" w:eastAsia="仿宋_GB2312" w:cs="Times New Roman"/>
                <w:b w:val="0"/>
                <w:color w:val="auto"/>
                <w:spacing w:val="-4"/>
                <w:sz w:val="32"/>
                <w:szCs w:val="32"/>
                <w:highlight w:val="none"/>
              </w:rPr>
              <w:t>总预算</w:t>
            </w:r>
          </w:p>
        </w:tc>
        <w:tc>
          <w:tcPr>
            <w:tcW w:w="2840" w:type="dxa"/>
            <w:vAlign w:val="center"/>
          </w:tcPr>
          <w:p>
            <w:pPr>
              <w:pStyle w:val="14"/>
              <w:spacing w:line="560" w:lineRule="exact"/>
              <w:ind w:firstLine="200" w:firstLineChars="0"/>
              <w:rPr>
                <w:rStyle w:val="12"/>
                <w:rFonts w:hint="eastAsia" w:ascii="仿宋_GB2312" w:hAnsi="黑体" w:eastAsia="仿宋_GB2312" w:cs="Times New Roman"/>
                <w:b w:val="0"/>
                <w:color w:val="auto"/>
                <w:spacing w:val="-4"/>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1" w:type="dxa"/>
            <w:vAlign w:val="center"/>
          </w:tcPr>
          <w:p>
            <w:pPr>
              <w:pStyle w:val="14"/>
              <w:spacing w:line="560" w:lineRule="exact"/>
              <w:ind w:firstLine="200" w:firstLineChars="0"/>
              <w:jc w:val="center"/>
              <w:rPr>
                <w:rFonts w:hint="eastAsia" w:ascii="仿宋_GB2312" w:hAnsi="仿宋" w:eastAsia="仿宋_GB2312" w:cs="宋体"/>
                <w:color w:val="auto"/>
                <w:sz w:val="32"/>
                <w:szCs w:val="32"/>
                <w:highlight w:val="none"/>
              </w:rPr>
            </w:pPr>
            <w:r>
              <w:rPr>
                <w:rFonts w:hint="eastAsia" w:ascii="仿宋_GB2312" w:hAnsi="仿宋" w:eastAsia="仿宋_GB2312" w:cs="宋体"/>
                <w:color w:val="auto"/>
                <w:sz w:val="32"/>
                <w:szCs w:val="32"/>
                <w:highlight w:val="none"/>
              </w:rPr>
              <w:t>市场监督管理工作经费项目</w:t>
            </w:r>
          </w:p>
        </w:tc>
        <w:tc>
          <w:tcPr>
            <w:tcW w:w="2841" w:type="dxa"/>
            <w:vAlign w:val="center"/>
          </w:tcPr>
          <w:p>
            <w:pPr>
              <w:pStyle w:val="14"/>
              <w:spacing w:line="560" w:lineRule="exact"/>
              <w:ind w:firstLine="200" w:firstLineChars="0"/>
              <w:jc w:val="center"/>
              <w:rPr>
                <w:rFonts w:hint="eastAsia" w:ascii="仿宋_GB2312" w:hAnsi="仿宋" w:eastAsia="仿宋_GB2312" w:cs="宋体"/>
                <w:color w:val="auto"/>
                <w:sz w:val="32"/>
                <w:szCs w:val="32"/>
                <w:highlight w:val="none"/>
              </w:rPr>
            </w:pPr>
            <w:r>
              <w:rPr>
                <w:rFonts w:hint="eastAsia" w:ascii="仿宋_GB2312" w:hAnsi="仿宋" w:eastAsia="仿宋_GB2312" w:cs="宋体"/>
                <w:color w:val="auto"/>
                <w:sz w:val="32"/>
                <w:szCs w:val="32"/>
                <w:highlight w:val="none"/>
              </w:rPr>
              <w:t>255.2万元</w:t>
            </w:r>
          </w:p>
        </w:tc>
        <w:tc>
          <w:tcPr>
            <w:tcW w:w="2840" w:type="dxa"/>
            <w:vAlign w:val="center"/>
          </w:tcPr>
          <w:p>
            <w:pPr>
              <w:pStyle w:val="14"/>
              <w:spacing w:line="560" w:lineRule="exact"/>
              <w:ind w:firstLine="200" w:firstLineChars="0"/>
              <w:jc w:val="center"/>
              <w:rPr>
                <w:rFonts w:hint="eastAsia" w:ascii="仿宋_GB2312" w:hAnsi="仿宋" w:eastAsia="仿宋_GB2312" w:cs="宋体"/>
                <w:color w:val="auto"/>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1" w:type="dxa"/>
            <w:vAlign w:val="center"/>
          </w:tcPr>
          <w:p>
            <w:pPr>
              <w:pStyle w:val="14"/>
              <w:spacing w:line="560" w:lineRule="exact"/>
              <w:ind w:firstLine="200" w:firstLineChars="0"/>
              <w:jc w:val="center"/>
              <w:rPr>
                <w:rFonts w:hint="eastAsia" w:ascii="仿宋_GB2312" w:hAnsi="仿宋" w:eastAsia="仿宋_GB2312" w:cs="宋体"/>
                <w:color w:val="auto"/>
                <w:sz w:val="32"/>
                <w:szCs w:val="32"/>
                <w:highlight w:val="none"/>
              </w:rPr>
            </w:pPr>
            <w:r>
              <w:rPr>
                <w:rFonts w:hint="eastAsia" w:ascii="仿宋_GB2312" w:hAnsi="仿宋" w:eastAsia="仿宋_GB2312" w:cs="宋体"/>
                <w:color w:val="auto"/>
                <w:sz w:val="32"/>
                <w:szCs w:val="32"/>
                <w:highlight w:val="none"/>
              </w:rPr>
              <w:t>和田市夜市改造提升工程欠款项目</w:t>
            </w:r>
          </w:p>
        </w:tc>
        <w:tc>
          <w:tcPr>
            <w:tcW w:w="2841" w:type="dxa"/>
            <w:vAlign w:val="center"/>
          </w:tcPr>
          <w:p>
            <w:pPr>
              <w:pStyle w:val="14"/>
              <w:spacing w:line="560" w:lineRule="exact"/>
              <w:ind w:firstLine="200" w:firstLineChars="0"/>
              <w:jc w:val="center"/>
              <w:rPr>
                <w:rFonts w:hint="default" w:ascii="仿宋_GB2312" w:hAnsi="仿宋" w:eastAsia="仿宋_GB2312" w:cs="宋体"/>
                <w:color w:val="auto"/>
                <w:sz w:val="32"/>
                <w:szCs w:val="32"/>
                <w:highlight w:val="none"/>
                <w:lang w:val="en-US" w:eastAsia="zh-CN"/>
              </w:rPr>
            </w:pPr>
            <w:r>
              <w:rPr>
                <w:rFonts w:hint="eastAsia" w:ascii="仿宋_GB2312" w:hAnsi="仿宋" w:eastAsia="仿宋_GB2312" w:cs="宋体"/>
                <w:color w:val="auto"/>
                <w:sz w:val="32"/>
                <w:szCs w:val="32"/>
                <w:highlight w:val="none"/>
                <w:lang w:val="en-US" w:eastAsia="zh-CN"/>
              </w:rPr>
              <w:t>23.63万元</w:t>
            </w:r>
          </w:p>
        </w:tc>
        <w:tc>
          <w:tcPr>
            <w:tcW w:w="2840" w:type="dxa"/>
            <w:vAlign w:val="center"/>
          </w:tcPr>
          <w:p>
            <w:pPr>
              <w:pStyle w:val="14"/>
              <w:spacing w:line="560" w:lineRule="exact"/>
              <w:ind w:firstLine="200" w:firstLineChars="0"/>
              <w:jc w:val="center"/>
              <w:rPr>
                <w:rFonts w:hint="eastAsia" w:ascii="仿宋_GB2312" w:hAnsi="仿宋" w:eastAsia="仿宋_GB2312" w:cs="宋体"/>
                <w:color w:val="auto"/>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1" w:type="dxa"/>
            <w:vAlign w:val="center"/>
          </w:tcPr>
          <w:p>
            <w:pPr>
              <w:pStyle w:val="14"/>
              <w:spacing w:line="560" w:lineRule="exact"/>
              <w:ind w:firstLine="200" w:firstLineChars="0"/>
              <w:jc w:val="center"/>
              <w:rPr>
                <w:rFonts w:hint="eastAsia" w:ascii="仿宋_GB2312" w:hAnsi="仿宋" w:eastAsia="仿宋_GB2312" w:cs="宋体"/>
                <w:color w:val="auto"/>
                <w:sz w:val="32"/>
                <w:szCs w:val="32"/>
                <w:highlight w:val="none"/>
              </w:rPr>
            </w:pPr>
            <w:r>
              <w:rPr>
                <w:rFonts w:hint="eastAsia" w:ascii="仿宋_GB2312" w:hAnsi="仿宋" w:eastAsia="仿宋_GB2312" w:cs="宋体"/>
                <w:color w:val="auto"/>
                <w:sz w:val="32"/>
                <w:szCs w:val="32"/>
                <w:highlight w:val="none"/>
              </w:rPr>
              <w:t>GLD食宿费项目</w:t>
            </w:r>
          </w:p>
        </w:tc>
        <w:tc>
          <w:tcPr>
            <w:tcW w:w="2841" w:type="dxa"/>
            <w:vAlign w:val="center"/>
          </w:tcPr>
          <w:p>
            <w:pPr>
              <w:pStyle w:val="14"/>
              <w:spacing w:line="560" w:lineRule="exact"/>
              <w:ind w:firstLine="200" w:firstLineChars="0"/>
              <w:jc w:val="center"/>
              <w:rPr>
                <w:rFonts w:hint="eastAsia" w:ascii="仿宋_GB2312" w:hAnsi="仿宋" w:eastAsia="仿宋_GB2312" w:cs="宋体"/>
                <w:color w:val="auto"/>
                <w:sz w:val="32"/>
                <w:szCs w:val="32"/>
                <w:highlight w:val="none"/>
                <w:lang w:eastAsia="zh-CN"/>
              </w:rPr>
            </w:pPr>
            <w:r>
              <w:rPr>
                <w:rFonts w:hint="eastAsia" w:ascii="仿宋_GB2312" w:hAnsi="仿宋" w:eastAsia="仿宋_GB2312" w:cs="宋体"/>
                <w:color w:val="auto"/>
                <w:sz w:val="32"/>
                <w:szCs w:val="32"/>
                <w:highlight w:val="none"/>
              </w:rPr>
              <w:t>1077.91</w:t>
            </w:r>
            <w:r>
              <w:rPr>
                <w:rFonts w:hint="eastAsia" w:ascii="仿宋_GB2312" w:hAnsi="仿宋" w:eastAsia="仿宋_GB2312" w:cs="宋体"/>
                <w:color w:val="auto"/>
                <w:sz w:val="32"/>
                <w:szCs w:val="32"/>
                <w:highlight w:val="none"/>
                <w:lang w:eastAsia="zh-CN"/>
              </w:rPr>
              <w:t>万元</w:t>
            </w:r>
          </w:p>
        </w:tc>
        <w:tc>
          <w:tcPr>
            <w:tcW w:w="2840" w:type="dxa"/>
            <w:vAlign w:val="center"/>
          </w:tcPr>
          <w:p>
            <w:pPr>
              <w:pStyle w:val="14"/>
              <w:spacing w:line="560" w:lineRule="exact"/>
              <w:ind w:firstLine="200" w:firstLineChars="0"/>
              <w:jc w:val="center"/>
              <w:rPr>
                <w:rFonts w:hint="eastAsia" w:ascii="仿宋_GB2312" w:hAnsi="仿宋" w:eastAsia="仿宋_GB2312" w:cs="宋体"/>
                <w:color w:val="auto"/>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1" w:type="dxa"/>
            <w:vAlign w:val="center"/>
          </w:tcPr>
          <w:p>
            <w:pPr>
              <w:pStyle w:val="14"/>
              <w:spacing w:line="560" w:lineRule="exact"/>
              <w:ind w:firstLine="200" w:firstLineChars="0"/>
              <w:jc w:val="center"/>
              <w:rPr>
                <w:rFonts w:hint="eastAsia" w:ascii="仿宋_GB2312" w:hAnsi="仿宋" w:eastAsia="仿宋_GB2312" w:cs="宋体"/>
                <w:color w:val="auto"/>
                <w:sz w:val="32"/>
                <w:szCs w:val="32"/>
                <w:highlight w:val="none"/>
              </w:rPr>
            </w:pPr>
            <w:r>
              <w:rPr>
                <w:rFonts w:hint="eastAsia" w:ascii="仿宋_GB2312" w:hAnsi="仿宋" w:eastAsia="仿宋_GB2312" w:cs="宋体"/>
                <w:color w:val="auto"/>
                <w:sz w:val="32"/>
                <w:szCs w:val="32"/>
                <w:highlight w:val="none"/>
              </w:rPr>
              <w:t>“访惠聚”工作经费</w:t>
            </w:r>
          </w:p>
        </w:tc>
        <w:tc>
          <w:tcPr>
            <w:tcW w:w="2841" w:type="dxa"/>
            <w:vAlign w:val="center"/>
          </w:tcPr>
          <w:p>
            <w:pPr>
              <w:pStyle w:val="14"/>
              <w:spacing w:line="560" w:lineRule="exact"/>
              <w:ind w:firstLine="200" w:firstLineChars="0"/>
              <w:jc w:val="center"/>
              <w:rPr>
                <w:rFonts w:hint="default" w:ascii="仿宋_GB2312" w:hAnsi="仿宋" w:eastAsia="仿宋_GB2312" w:cs="宋体"/>
                <w:color w:val="auto"/>
                <w:sz w:val="32"/>
                <w:szCs w:val="32"/>
                <w:highlight w:val="none"/>
                <w:lang w:val="en-US" w:eastAsia="zh-CN"/>
              </w:rPr>
            </w:pPr>
            <w:r>
              <w:rPr>
                <w:rFonts w:hint="eastAsia" w:ascii="仿宋_GB2312" w:hAnsi="仿宋" w:eastAsia="仿宋_GB2312" w:cs="宋体"/>
                <w:color w:val="auto"/>
                <w:sz w:val="32"/>
                <w:szCs w:val="32"/>
                <w:highlight w:val="none"/>
                <w:lang w:val="en-US" w:eastAsia="zh-CN"/>
              </w:rPr>
              <w:t>70万元</w:t>
            </w:r>
          </w:p>
        </w:tc>
        <w:tc>
          <w:tcPr>
            <w:tcW w:w="2840" w:type="dxa"/>
            <w:vAlign w:val="center"/>
          </w:tcPr>
          <w:p>
            <w:pPr>
              <w:pStyle w:val="14"/>
              <w:spacing w:line="560" w:lineRule="exact"/>
              <w:ind w:firstLine="200" w:firstLineChars="0"/>
              <w:jc w:val="center"/>
              <w:rPr>
                <w:rFonts w:hint="eastAsia" w:ascii="仿宋_GB2312" w:hAnsi="仿宋" w:eastAsia="仿宋_GB2312" w:cs="宋体"/>
                <w:color w:val="auto"/>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1" w:type="dxa"/>
            <w:vAlign w:val="center"/>
          </w:tcPr>
          <w:p>
            <w:pPr>
              <w:pStyle w:val="14"/>
              <w:spacing w:line="560" w:lineRule="exact"/>
              <w:ind w:firstLine="200" w:firstLineChars="0"/>
              <w:jc w:val="center"/>
              <w:rPr>
                <w:rFonts w:hint="eastAsia" w:ascii="仿宋_GB2312" w:hAnsi="仿宋" w:eastAsia="仿宋_GB2312" w:cs="宋体"/>
                <w:color w:val="auto"/>
                <w:sz w:val="32"/>
                <w:szCs w:val="32"/>
                <w:highlight w:val="none"/>
              </w:rPr>
            </w:pPr>
            <w:r>
              <w:rPr>
                <w:rFonts w:hint="eastAsia" w:ascii="仿宋_GB2312" w:hAnsi="仿宋" w:eastAsia="仿宋_GB2312" w:cs="宋体"/>
                <w:color w:val="auto"/>
                <w:sz w:val="32"/>
                <w:szCs w:val="32"/>
                <w:highlight w:val="none"/>
              </w:rPr>
              <w:t>干果货物消杀分流中心基础建设及运行费项目</w:t>
            </w:r>
          </w:p>
        </w:tc>
        <w:tc>
          <w:tcPr>
            <w:tcW w:w="2841" w:type="dxa"/>
            <w:vAlign w:val="center"/>
          </w:tcPr>
          <w:p>
            <w:pPr>
              <w:pStyle w:val="14"/>
              <w:spacing w:line="560" w:lineRule="exact"/>
              <w:ind w:firstLine="200" w:firstLineChars="0"/>
              <w:jc w:val="center"/>
              <w:rPr>
                <w:rFonts w:hint="eastAsia" w:ascii="仿宋_GB2312" w:hAnsi="仿宋" w:eastAsia="仿宋_GB2312" w:cs="宋体"/>
                <w:color w:val="auto"/>
                <w:sz w:val="32"/>
                <w:szCs w:val="32"/>
                <w:highlight w:val="none"/>
              </w:rPr>
            </w:pPr>
            <w:r>
              <w:rPr>
                <w:rFonts w:hint="eastAsia" w:ascii="仿宋_GB2312" w:hAnsi="仿宋" w:eastAsia="仿宋_GB2312" w:cs="宋体"/>
                <w:color w:val="auto"/>
                <w:sz w:val="32"/>
                <w:szCs w:val="32"/>
                <w:highlight w:val="none"/>
                <w:lang w:val="en-US" w:eastAsia="zh-CN"/>
              </w:rPr>
              <w:t>32.81</w:t>
            </w:r>
            <w:r>
              <w:rPr>
                <w:rFonts w:hint="eastAsia" w:ascii="仿宋_GB2312" w:hAnsi="仿宋" w:eastAsia="仿宋_GB2312" w:cs="宋体"/>
                <w:color w:val="auto"/>
                <w:sz w:val="32"/>
                <w:szCs w:val="32"/>
                <w:highlight w:val="none"/>
              </w:rPr>
              <w:t>万元</w:t>
            </w:r>
          </w:p>
        </w:tc>
        <w:tc>
          <w:tcPr>
            <w:tcW w:w="2840" w:type="dxa"/>
            <w:vAlign w:val="center"/>
          </w:tcPr>
          <w:p>
            <w:pPr>
              <w:pStyle w:val="14"/>
              <w:spacing w:line="560" w:lineRule="exact"/>
              <w:ind w:firstLine="200" w:firstLineChars="0"/>
              <w:jc w:val="center"/>
              <w:rPr>
                <w:rFonts w:hint="eastAsia" w:ascii="仿宋_GB2312" w:hAnsi="仿宋" w:eastAsia="仿宋_GB2312" w:cs="宋体"/>
                <w:color w:val="auto"/>
                <w:sz w:val="32"/>
                <w:szCs w:val="32"/>
                <w:highlight w:val="none"/>
              </w:rPr>
            </w:pPr>
          </w:p>
        </w:tc>
      </w:tr>
    </w:tbl>
    <w:p>
      <w:pPr>
        <w:pStyle w:val="14"/>
        <w:spacing w:line="560" w:lineRule="exact"/>
        <w:ind w:firstLine="624"/>
        <w:rPr>
          <w:rStyle w:val="12"/>
          <w:rFonts w:ascii="黑体" w:hAnsi="黑体" w:eastAsia="黑体" w:cs="Times New Roman"/>
          <w:b w:val="0"/>
          <w:color w:val="auto"/>
          <w:spacing w:val="-4"/>
          <w:sz w:val="32"/>
          <w:szCs w:val="32"/>
          <w:highlight w:val="none"/>
        </w:rPr>
      </w:pPr>
      <w:r>
        <w:rPr>
          <w:rStyle w:val="12"/>
          <w:rFonts w:hint="eastAsia" w:ascii="黑体" w:hAnsi="黑体" w:eastAsia="黑体" w:cs="Times New Roman"/>
          <w:b w:val="0"/>
          <w:color w:val="auto"/>
          <w:spacing w:val="-4"/>
          <w:sz w:val="32"/>
          <w:szCs w:val="32"/>
          <w:highlight w:val="none"/>
        </w:rPr>
        <w:t>二、</w:t>
      </w:r>
      <w:r>
        <w:rPr>
          <w:rStyle w:val="12"/>
          <w:rFonts w:hint="eastAsia" w:ascii="黑体" w:hAnsi="黑体" w:eastAsia="黑体" w:cs="Times New Roman"/>
          <w:b w:val="0"/>
          <w:color w:val="auto"/>
          <w:spacing w:val="-4"/>
          <w:sz w:val="32"/>
          <w:szCs w:val="32"/>
          <w:highlight w:val="none"/>
          <w:lang w:eastAsia="zh-CN"/>
        </w:rPr>
        <w:t>单位</w:t>
      </w:r>
      <w:r>
        <w:rPr>
          <w:rStyle w:val="12"/>
          <w:rFonts w:hint="eastAsia" w:ascii="黑体" w:hAnsi="黑体" w:eastAsia="黑体" w:cs="Times New Roman"/>
          <w:b w:val="0"/>
          <w:color w:val="auto"/>
          <w:spacing w:val="-4"/>
          <w:sz w:val="32"/>
          <w:szCs w:val="32"/>
          <w:highlight w:val="none"/>
        </w:rPr>
        <w:t>整体支出管理及使用情况</w:t>
      </w:r>
    </w:p>
    <w:p>
      <w:pPr>
        <w:spacing w:line="560" w:lineRule="exact"/>
        <w:ind w:firstLine="624" w:firstLineChars="200"/>
        <w:rPr>
          <w:rStyle w:val="12"/>
          <w:rFonts w:ascii="楷体" w:hAnsi="楷体" w:eastAsia="楷体" w:cs="Times New Roman"/>
          <w:b w:val="0"/>
          <w:bCs w:val="0"/>
          <w:color w:val="auto"/>
          <w:spacing w:val="-4"/>
          <w:highlight w:val="none"/>
        </w:rPr>
      </w:pPr>
      <w:r>
        <w:rPr>
          <w:rStyle w:val="12"/>
          <w:rFonts w:hint="eastAsia" w:ascii="楷体" w:hAnsi="楷体" w:eastAsia="楷体" w:cs="Times New Roman"/>
          <w:b w:val="0"/>
          <w:bCs w:val="0"/>
          <w:color w:val="auto"/>
          <w:spacing w:val="-4"/>
          <w:sz w:val="32"/>
          <w:szCs w:val="32"/>
          <w:highlight w:val="none"/>
        </w:rPr>
        <w:t>（一）资金管理情况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我单位严格按照国家财经法规、预算资金管理办法、财务管理制度以及专项资金管理办法的规定，建立了</w:t>
      </w:r>
      <w:r>
        <w:rPr>
          <w:rFonts w:hint="eastAsia" w:ascii="仿宋_GB2312" w:hAnsi="方正楷体简体" w:eastAsia="仿宋_GB2312" w:cs="宋体"/>
          <w:color w:val="auto"/>
          <w:sz w:val="32"/>
          <w:szCs w:val="32"/>
          <w:highlight w:val="none"/>
          <w:lang w:eastAsia="zh-CN"/>
        </w:rPr>
        <w:t>《和田市市场监督管理局财务管理制度》</w:t>
      </w:r>
      <w:r>
        <w:rPr>
          <w:rFonts w:hint="eastAsia" w:ascii="仿宋_GB2312" w:hAnsi="方正楷体简体" w:eastAsia="仿宋_GB2312" w:cs="宋体"/>
          <w:color w:val="auto"/>
          <w:sz w:val="32"/>
          <w:szCs w:val="32"/>
          <w:highlight w:val="none"/>
        </w:rPr>
        <w:t>，严控经费支出，并严格按照公示制度要求进行公示，对项目资金，把资金的审批分配、监督检查与绩效评价结合起来，遵循先预算、再审批、后支出的原则，确保了财政资金分配和财政审批程序合法，保证了项目资金的合理使用。对中央及自治区转移支付专项资金，按照专项资金管理办法进行管理和使用，对本级资金安排项目按照单位内部制定的资金管理办法及其他相关管理办法进行管理并严格执行。按照政府信息公开有关规定及时向社会公众公开相关预决算信息，保障预决算管理的公开透明。</w:t>
      </w:r>
    </w:p>
    <w:p>
      <w:pPr>
        <w:spacing w:line="560" w:lineRule="exact"/>
        <w:ind w:firstLine="624" w:firstLineChars="200"/>
        <w:rPr>
          <w:rStyle w:val="12"/>
          <w:rFonts w:ascii="楷体" w:hAnsi="楷体" w:eastAsia="楷体" w:cs="Times New Roman"/>
          <w:b w:val="0"/>
          <w:bCs w:val="0"/>
          <w:color w:val="auto"/>
          <w:spacing w:val="-4"/>
          <w:sz w:val="32"/>
          <w:szCs w:val="32"/>
          <w:highlight w:val="none"/>
        </w:rPr>
      </w:pPr>
      <w:r>
        <w:rPr>
          <w:rStyle w:val="12"/>
          <w:rFonts w:hint="eastAsia" w:ascii="楷体" w:hAnsi="楷体" w:eastAsia="楷体" w:cs="Times New Roman"/>
          <w:b w:val="0"/>
          <w:bCs w:val="0"/>
          <w:color w:val="auto"/>
          <w:spacing w:val="-4"/>
          <w:sz w:val="32"/>
          <w:szCs w:val="32"/>
          <w:highlight w:val="none"/>
        </w:rPr>
        <w:t>（二）基本支出管理、支出情况、“三公”经费控制情况</w:t>
      </w:r>
    </w:p>
    <w:p>
      <w:pPr>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1．基本支出管理</w:t>
      </w:r>
    </w:p>
    <w:p>
      <w:pPr>
        <w:spacing w:line="560" w:lineRule="exact"/>
        <w:ind w:firstLine="640" w:firstLineChars="200"/>
        <w:rPr>
          <w:rFonts w:hint="eastAsia" w:ascii="仿宋_GB2312" w:hAnsi="方正楷体简体" w:eastAsia="仿宋_GB2312" w:cs="宋体"/>
          <w:color w:val="auto"/>
          <w:sz w:val="32"/>
          <w:szCs w:val="32"/>
          <w:highlight w:val="none"/>
          <w:lang w:eastAsia="zh-CN"/>
        </w:rPr>
      </w:pPr>
      <w:r>
        <w:rPr>
          <w:rFonts w:hint="eastAsia" w:ascii="仿宋_GB2312" w:hAnsi="方正楷体简体" w:eastAsia="仿宋_GB2312" w:cs="宋体"/>
          <w:color w:val="auto"/>
          <w:sz w:val="32"/>
          <w:szCs w:val="32"/>
          <w:highlight w:val="none"/>
        </w:rPr>
        <w:t>基本支出主要用于日常工作运转开支,包括人员的工资福利支出、一般商品和服务支出、对个人和家庭的补助支出、对企事业单位的补贴及其他资本性支出。人员经费的开支主要是按照市财政统发工资表及文件的相关规定执行,公用经费按照厉行节约的原则规范资金使用流程,</w:t>
      </w:r>
      <w:r>
        <w:rPr>
          <w:rFonts w:hint="eastAsia" w:ascii="仿宋_GB2312" w:hAnsi="方正楷体简体" w:eastAsia="仿宋_GB2312" w:cs="宋体"/>
          <w:color w:val="auto"/>
          <w:sz w:val="32"/>
          <w:szCs w:val="32"/>
          <w:highlight w:val="none"/>
          <w:lang w:eastAsia="zh-CN"/>
        </w:rPr>
        <w:t>。</w:t>
      </w:r>
    </w:p>
    <w:p>
      <w:pPr>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2．基本支出情况</w:t>
      </w:r>
    </w:p>
    <w:p>
      <w:pPr>
        <w:spacing w:line="560" w:lineRule="exact"/>
        <w:ind w:firstLine="640" w:firstLineChars="200"/>
        <w:rPr>
          <w:color w:val="auto"/>
          <w:highlight w:val="none"/>
        </w:rPr>
      </w:pPr>
      <w:r>
        <w:rPr>
          <w:rFonts w:hint="eastAsia" w:ascii="仿宋_GB2312" w:hAnsi="方正楷体简体" w:eastAsia="仿宋_GB2312" w:cs="宋体"/>
          <w:color w:val="auto"/>
          <w:sz w:val="32"/>
          <w:szCs w:val="32"/>
          <w:highlight w:val="none"/>
          <w:lang w:eastAsia="zh-CN"/>
        </w:rPr>
        <w:t>2021</w:t>
      </w:r>
      <w:r>
        <w:rPr>
          <w:rFonts w:hint="eastAsia" w:ascii="仿宋_GB2312" w:hAnsi="方正楷体简体" w:eastAsia="仿宋_GB2312" w:cs="宋体"/>
          <w:color w:val="auto"/>
          <w:sz w:val="32"/>
          <w:szCs w:val="32"/>
          <w:highlight w:val="none"/>
        </w:rPr>
        <w:t>年</w:t>
      </w:r>
      <w:r>
        <w:rPr>
          <w:rFonts w:hint="eastAsia" w:ascii="仿宋_GB2312" w:hAnsi="方正楷体简体" w:eastAsia="仿宋_GB2312" w:cs="宋体"/>
          <w:color w:val="auto"/>
          <w:sz w:val="32"/>
          <w:szCs w:val="32"/>
          <w:highlight w:val="none"/>
          <w:lang w:eastAsia="zh-CN"/>
        </w:rPr>
        <w:t>和田市市场监督管理局</w:t>
      </w:r>
      <w:r>
        <w:rPr>
          <w:rFonts w:hint="eastAsia" w:ascii="仿宋_GB2312" w:hAnsi="方正楷体简体" w:eastAsia="仿宋_GB2312" w:cs="宋体"/>
          <w:color w:val="auto"/>
          <w:sz w:val="32"/>
          <w:szCs w:val="32"/>
          <w:highlight w:val="none"/>
        </w:rPr>
        <w:t>单位基本支出预算总额</w:t>
      </w:r>
      <w:r>
        <w:rPr>
          <w:rFonts w:hint="eastAsia" w:ascii="仿宋_GB2312" w:hAnsi="方正楷体简体" w:eastAsia="仿宋_GB2312" w:cs="宋体"/>
          <w:color w:val="auto"/>
          <w:sz w:val="32"/>
          <w:szCs w:val="32"/>
          <w:highlight w:val="none"/>
          <w:lang w:val="en-US" w:eastAsia="zh-CN"/>
        </w:rPr>
        <w:t>1998.48</w:t>
      </w:r>
      <w:r>
        <w:rPr>
          <w:rFonts w:hint="eastAsia" w:ascii="仿宋_GB2312" w:hAnsi="方正楷体简体" w:eastAsia="仿宋_GB2312" w:cs="宋体"/>
          <w:color w:val="auto"/>
          <w:sz w:val="32"/>
          <w:szCs w:val="32"/>
          <w:highlight w:val="none"/>
        </w:rPr>
        <w:t>万元，其中人员经费</w:t>
      </w:r>
      <w:r>
        <w:rPr>
          <w:rFonts w:hint="eastAsia" w:ascii="仿宋_GB2312" w:hAnsi="方正楷体简体" w:eastAsia="仿宋_GB2312" w:cs="宋体"/>
          <w:color w:val="auto"/>
          <w:sz w:val="32"/>
          <w:szCs w:val="32"/>
          <w:highlight w:val="none"/>
          <w:lang w:val="en-US" w:eastAsia="zh-CN"/>
        </w:rPr>
        <w:t>1912.13</w:t>
      </w:r>
      <w:r>
        <w:rPr>
          <w:rFonts w:hint="eastAsia" w:ascii="仿宋_GB2312" w:hAnsi="方正楷体简体" w:eastAsia="仿宋_GB2312" w:cs="宋体"/>
          <w:color w:val="auto"/>
          <w:sz w:val="32"/>
          <w:szCs w:val="32"/>
          <w:highlight w:val="none"/>
        </w:rPr>
        <w:t>万元，公用经费</w:t>
      </w:r>
      <w:r>
        <w:rPr>
          <w:rFonts w:hint="eastAsia" w:ascii="仿宋_GB2312" w:hAnsi="方正楷体简体" w:eastAsia="仿宋_GB2312" w:cs="宋体"/>
          <w:color w:val="auto"/>
          <w:sz w:val="32"/>
          <w:szCs w:val="32"/>
          <w:highlight w:val="none"/>
          <w:lang w:val="en-US" w:eastAsia="zh-CN"/>
        </w:rPr>
        <w:t>86.35</w:t>
      </w:r>
      <w:r>
        <w:rPr>
          <w:rFonts w:hint="eastAsia" w:ascii="仿宋_GB2312" w:hAnsi="方正楷体简体" w:eastAsia="仿宋_GB2312" w:cs="宋体"/>
          <w:color w:val="auto"/>
          <w:sz w:val="32"/>
          <w:szCs w:val="32"/>
          <w:highlight w:val="none"/>
        </w:rPr>
        <w:t>万元。实际支出</w:t>
      </w:r>
      <w:r>
        <w:rPr>
          <w:rFonts w:hint="eastAsia" w:ascii="仿宋_GB2312" w:hAnsi="方正楷体简体" w:eastAsia="仿宋_GB2312" w:cs="宋体"/>
          <w:color w:val="auto"/>
          <w:sz w:val="32"/>
          <w:szCs w:val="32"/>
          <w:highlight w:val="none"/>
          <w:lang w:val="en-US" w:eastAsia="zh-CN"/>
        </w:rPr>
        <w:t>1931.67</w:t>
      </w:r>
      <w:r>
        <w:rPr>
          <w:rFonts w:hint="eastAsia" w:ascii="仿宋_GB2312" w:hAnsi="方正楷体简体" w:eastAsia="仿宋_GB2312" w:cs="宋体"/>
          <w:color w:val="auto"/>
          <w:sz w:val="32"/>
          <w:szCs w:val="32"/>
          <w:highlight w:val="none"/>
        </w:rPr>
        <w:t>万元，预算执行率</w:t>
      </w:r>
      <w:r>
        <w:rPr>
          <w:rFonts w:hint="eastAsia" w:ascii="仿宋_GB2312" w:hAnsi="方正楷体简体" w:eastAsia="仿宋_GB2312" w:cs="宋体"/>
          <w:color w:val="auto"/>
          <w:sz w:val="32"/>
          <w:szCs w:val="32"/>
          <w:highlight w:val="none"/>
          <w:lang w:val="en-US" w:eastAsia="zh-CN"/>
        </w:rPr>
        <w:t>96.7</w:t>
      </w:r>
      <w:r>
        <w:rPr>
          <w:rFonts w:hint="eastAsia" w:ascii="仿宋_GB2312" w:hAnsi="方正楷体简体" w:eastAsia="仿宋_GB2312" w:cs="宋体"/>
          <w:color w:val="auto"/>
          <w:sz w:val="32"/>
          <w:szCs w:val="32"/>
          <w:highlight w:val="none"/>
        </w:rPr>
        <w:t>%。</w:t>
      </w:r>
    </w:p>
    <w:p>
      <w:pPr>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3．“三公”经费控制情况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我单位认真贯彻落实中央关于厉行节约的有关规定，严格执行《党政机关厉行节约反对浪费条例》和《机关公务接待管理办法》，全年大幅度压缩了因公出国（境）及公务接待费用支出。全年“三公”经费支出为</w:t>
      </w:r>
      <w:r>
        <w:rPr>
          <w:rFonts w:hint="eastAsia" w:ascii="仿宋_GB2312" w:hAnsi="方正楷体简体" w:eastAsia="仿宋_GB2312" w:cs="宋体"/>
          <w:color w:val="auto"/>
          <w:sz w:val="32"/>
          <w:szCs w:val="32"/>
          <w:highlight w:val="none"/>
          <w:lang w:val="en-US" w:eastAsia="zh-CN"/>
        </w:rPr>
        <w:t>20.75</w:t>
      </w:r>
      <w:r>
        <w:rPr>
          <w:rFonts w:hint="eastAsia" w:ascii="仿宋_GB2312" w:hAnsi="方正楷体简体" w:eastAsia="仿宋_GB2312" w:cs="宋体"/>
          <w:color w:val="auto"/>
          <w:sz w:val="32"/>
          <w:szCs w:val="32"/>
          <w:highlight w:val="none"/>
        </w:rPr>
        <w:t xml:space="preserve">万元。 </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lang w:eastAsia="zh-CN"/>
        </w:rPr>
        <w:t>2021</w:t>
      </w:r>
      <w:r>
        <w:rPr>
          <w:rFonts w:hint="eastAsia" w:ascii="仿宋_GB2312" w:hAnsi="方正楷体简体" w:eastAsia="仿宋_GB2312" w:cs="宋体"/>
          <w:color w:val="auto"/>
          <w:sz w:val="32"/>
          <w:szCs w:val="32"/>
          <w:highlight w:val="none"/>
        </w:rPr>
        <w:t>年“三公”经费预算数为</w:t>
      </w:r>
      <w:r>
        <w:rPr>
          <w:rFonts w:hint="eastAsia" w:ascii="仿宋_GB2312" w:hAnsi="方正楷体简体" w:eastAsia="仿宋_GB2312" w:cs="宋体"/>
          <w:color w:val="auto"/>
          <w:sz w:val="32"/>
          <w:szCs w:val="32"/>
          <w:highlight w:val="none"/>
          <w:lang w:val="en-US" w:eastAsia="zh-CN"/>
        </w:rPr>
        <w:t>34.5</w:t>
      </w:r>
      <w:r>
        <w:rPr>
          <w:rFonts w:hint="eastAsia" w:ascii="仿宋_GB2312" w:hAnsi="方正楷体简体" w:eastAsia="仿宋_GB2312" w:cs="宋体"/>
          <w:color w:val="auto"/>
          <w:sz w:val="32"/>
          <w:szCs w:val="32"/>
          <w:highlight w:val="none"/>
        </w:rPr>
        <w:t>万元，其中，公务用车运行维护费</w:t>
      </w:r>
      <w:r>
        <w:rPr>
          <w:rFonts w:hint="eastAsia" w:ascii="仿宋_GB2312" w:hAnsi="方正楷体简体" w:eastAsia="仿宋_GB2312" w:cs="宋体"/>
          <w:color w:val="auto"/>
          <w:sz w:val="32"/>
          <w:szCs w:val="32"/>
          <w:highlight w:val="none"/>
          <w:lang w:val="en-US" w:eastAsia="zh-CN"/>
        </w:rPr>
        <w:t>34.5</w:t>
      </w:r>
      <w:r>
        <w:rPr>
          <w:rFonts w:hint="eastAsia" w:ascii="仿宋_GB2312" w:hAnsi="方正楷体简体" w:eastAsia="仿宋_GB2312" w:cs="宋体"/>
          <w:color w:val="auto"/>
          <w:sz w:val="32"/>
          <w:szCs w:val="32"/>
          <w:highlight w:val="none"/>
        </w:rPr>
        <w:t>万元。全年“三公”经费支出</w:t>
      </w:r>
      <w:r>
        <w:rPr>
          <w:rFonts w:hint="eastAsia" w:ascii="仿宋_GB2312" w:hAnsi="方正楷体简体" w:eastAsia="仿宋_GB2312" w:cs="宋体"/>
          <w:color w:val="auto"/>
          <w:sz w:val="32"/>
          <w:szCs w:val="32"/>
          <w:highlight w:val="none"/>
          <w:lang w:val="en-US" w:eastAsia="zh-CN"/>
        </w:rPr>
        <w:t>20.75</w:t>
      </w:r>
      <w:r>
        <w:rPr>
          <w:rFonts w:hint="eastAsia" w:ascii="仿宋_GB2312" w:hAnsi="方正楷体简体" w:eastAsia="仿宋_GB2312" w:cs="宋体"/>
          <w:color w:val="auto"/>
          <w:sz w:val="32"/>
          <w:szCs w:val="32"/>
          <w:highlight w:val="none"/>
        </w:rPr>
        <w:t>万元，其中公务用车运行维护费</w:t>
      </w:r>
      <w:r>
        <w:rPr>
          <w:rFonts w:hint="eastAsia" w:ascii="仿宋_GB2312" w:hAnsi="方正楷体简体" w:eastAsia="仿宋_GB2312" w:cs="宋体"/>
          <w:color w:val="auto"/>
          <w:sz w:val="32"/>
          <w:szCs w:val="32"/>
          <w:highlight w:val="none"/>
          <w:lang w:val="en-US" w:eastAsia="zh-CN"/>
        </w:rPr>
        <w:t>20.75</w:t>
      </w:r>
      <w:r>
        <w:rPr>
          <w:rFonts w:hint="eastAsia" w:ascii="仿宋_GB2312" w:hAnsi="方正楷体简体" w:eastAsia="仿宋_GB2312" w:cs="宋体"/>
          <w:color w:val="auto"/>
          <w:sz w:val="32"/>
          <w:szCs w:val="32"/>
          <w:highlight w:val="none"/>
        </w:rPr>
        <w:t>万元，较20</w:t>
      </w:r>
      <w:r>
        <w:rPr>
          <w:rFonts w:hint="eastAsia" w:ascii="仿宋_GB2312" w:hAnsi="方正楷体简体" w:eastAsia="仿宋_GB2312" w:cs="宋体"/>
          <w:color w:val="auto"/>
          <w:sz w:val="32"/>
          <w:szCs w:val="32"/>
          <w:highlight w:val="none"/>
          <w:lang w:val="en-US" w:eastAsia="zh-CN"/>
        </w:rPr>
        <w:t>20</w:t>
      </w:r>
      <w:r>
        <w:rPr>
          <w:rFonts w:hint="eastAsia" w:ascii="仿宋_GB2312" w:hAnsi="方正楷体简体" w:eastAsia="仿宋_GB2312" w:cs="宋体"/>
          <w:color w:val="auto"/>
          <w:sz w:val="32"/>
          <w:szCs w:val="32"/>
          <w:highlight w:val="none"/>
        </w:rPr>
        <w:t>年“三公”经费决算</w:t>
      </w:r>
      <w:r>
        <w:rPr>
          <w:rFonts w:hint="eastAsia" w:ascii="仿宋_GB2312" w:hAnsi="方正楷体简体" w:eastAsia="仿宋_GB2312" w:cs="宋体"/>
          <w:color w:val="auto"/>
          <w:sz w:val="32"/>
          <w:szCs w:val="32"/>
          <w:highlight w:val="none"/>
          <w:lang w:val="en-US" w:eastAsia="zh-CN"/>
        </w:rPr>
        <w:t>34.44</w:t>
      </w:r>
      <w:r>
        <w:rPr>
          <w:rFonts w:hint="eastAsia" w:ascii="仿宋_GB2312" w:hAnsi="方正楷体简体" w:eastAsia="仿宋_GB2312" w:cs="宋体"/>
          <w:color w:val="auto"/>
          <w:sz w:val="32"/>
          <w:szCs w:val="32"/>
          <w:highlight w:val="none"/>
        </w:rPr>
        <w:t>万元，下降</w:t>
      </w:r>
      <w:r>
        <w:rPr>
          <w:rFonts w:hint="eastAsia" w:ascii="仿宋_GB2312" w:hAnsi="方正楷体简体" w:eastAsia="仿宋_GB2312" w:cs="宋体"/>
          <w:color w:val="auto"/>
          <w:sz w:val="32"/>
          <w:szCs w:val="32"/>
          <w:highlight w:val="none"/>
          <w:lang w:val="en-US" w:eastAsia="zh-CN"/>
        </w:rPr>
        <w:t>39.8</w:t>
      </w:r>
      <w:r>
        <w:rPr>
          <w:rFonts w:hint="eastAsia" w:ascii="仿宋_GB2312" w:hAnsi="方正楷体简体" w:eastAsia="仿宋_GB2312" w:cs="宋体"/>
          <w:color w:val="auto"/>
          <w:sz w:val="32"/>
          <w:szCs w:val="32"/>
          <w:highlight w:val="none"/>
        </w:rPr>
        <w:t>%。</w:t>
      </w:r>
    </w:p>
    <w:p>
      <w:pPr>
        <w:spacing w:line="560" w:lineRule="exact"/>
        <w:ind w:firstLine="624" w:firstLineChars="200"/>
        <w:rPr>
          <w:rStyle w:val="12"/>
          <w:rFonts w:ascii="楷体" w:hAnsi="楷体" w:eastAsia="楷体" w:cs="Times New Roman"/>
          <w:b w:val="0"/>
          <w:bCs w:val="0"/>
          <w:color w:val="auto"/>
          <w:spacing w:val="-4"/>
          <w:sz w:val="32"/>
          <w:szCs w:val="32"/>
          <w:highlight w:val="none"/>
        </w:rPr>
      </w:pPr>
      <w:r>
        <w:rPr>
          <w:rStyle w:val="12"/>
          <w:rFonts w:hint="eastAsia" w:ascii="楷体" w:hAnsi="楷体" w:eastAsia="楷体" w:cs="Times New Roman"/>
          <w:b w:val="0"/>
          <w:bCs w:val="0"/>
          <w:color w:val="auto"/>
          <w:spacing w:val="-4"/>
          <w:sz w:val="32"/>
          <w:szCs w:val="32"/>
          <w:highlight w:val="none"/>
        </w:rPr>
        <w:t>（三）专项资金支出预算安排及支出情况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lang w:eastAsia="zh-CN"/>
        </w:rPr>
        <w:t>2021</w:t>
      </w:r>
      <w:r>
        <w:rPr>
          <w:rFonts w:hint="eastAsia" w:ascii="仿宋_GB2312" w:hAnsi="方正楷体简体" w:eastAsia="仿宋_GB2312" w:cs="宋体"/>
          <w:color w:val="auto"/>
          <w:sz w:val="32"/>
          <w:szCs w:val="32"/>
          <w:highlight w:val="none"/>
        </w:rPr>
        <w:t>年专项支出预算总额</w:t>
      </w:r>
      <w:r>
        <w:rPr>
          <w:rFonts w:hint="eastAsia" w:ascii="仿宋_GB2312" w:hAnsi="方正楷体简体" w:eastAsia="仿宋_GB2312" w:cs="宋体"/>
          <w:color w:val="auto"/>
          <w:sz w:val="32"/>
          <w:szCs w:val="32"/>
          <w:highlight w:val="none"/>
          <w:lang w:val="en-US" w:eastAsia="zh-CN"/>
        </w:rPr>
        <w:t>70</w:t>
      </w:r>
      <w:r>
        <w:rPr>
          <w:rFonts w:hint="eastAsia" w:ascii="仿宋_GB2312" w:hAnsi="方正楷体简体" w:eastAsia="仿宋_GB2312" w:cs="宋体"/>
          <w:color w:val="auto"/>
          <w:sz w:val="32"/>
          <w:szCs w:val="32"/>
          <w:highlight w:val="none"/>
        </w:rPr>
        <w:t>万元，实际支出</w:t>
      </w:r>
      <w:r>
        <w:rPr>
          <w:rFonts w:hint="eastAsia" w:ascii="仿宋_GB2312" w:hAnsi="方正楷体简体" w:eastAsia="仿宋_GB2312" w:cs="宋体"/>
          <w:color w:val="auto"/>
          <w:sz w:val="32"/>
          <w:szCs w:val="32"/>
          <w:highlight w:val="none"/>
          <w:lang w:val="en-US" w:eastAsia="zh-CN"/>
        </w:rPr>
        <w:t>57.15</w:t>
      </w:r>
      <w:r>
        <w:rPr>
          <w:rFonts w:hint="eastAsia" w:ascii="仿宋_GB2312" w:hAnsi="方正楷体简体" w:eastAsia="仿宋_GB2312" w:cs="宋体"/>
          <w:color w:val="auto"/>
          <w:sz w:val="32"/>
          <w:szCs w:val="32"/>
          <w:highlight w:val="none"/>
        </w:rPr>
        <w:t>万元，预算执行率</w:t>
      </w:r>
      <w:r>
        <w:rPr>
          <w:rFonts w:hint="eastAsia" w:ascii="仿宋_GB2312" w:hAnsi="方正楷体简体" w:eastAsia="仿宋_GB2312" w:cs="宋体"/>
          <w:color w:val="auto"/>
          <w:sz w:val="32"/>
          <w:szCs w:val="32"/>
          <w:highlight w:val="none"/>
          <w:lang w:val="en-US" w:eastAsia="zh-CN"/>
        </w:rPr>
        <w:t>81.6</w:t>
      </w:r>
      <w:r>
        <w:rPr>
          <w:rFonts w:hint="eastAsia" w:ascii="仿宋_GB2312" w:hAnsi="方正楷体简体" w:eastAsia="仿宋_GB2312" w:cs="宋体"/>
          <w:color w:val="auto"/>
          <w:sz w:val="32"/>
          <w:szCs w:val="32"/>
          <w:highlight w:val="none"/>
        </w:rPr>
        <w:t>%。</w:t>
      </w:r>
    </w:p>
    <w:p>
      <w:pPr>
        <w:spacing w:line="560" w:lineRule="exact"/>
        <w:ind w:firstLine="640" w:firstLineChars="200"/>
        <w:rPr>
          <w:rFonts w:ascii="仿宋" w:hAnsi="仿宋" w:eastAsia="仿宋" w:cs="Times New Roman"/>
          <w:bCs/>
          <w:color w:val="auto"/>
          <w:sz w:val="32"/>
          <w:szCs w:val="32"/>
          <w:highlight w:val="none"/>
        </w:rPr>
      </w:pPr>
      <w:r>
        <w:rPr>
          <w:rFonts w:hint="eastAsia" w:ascii="仿宋_GB2312" w:hAnsi="方正楷体简体" w:eastAsia="仿宋_GB2312" w:cs="宋体"/>
          <w:color w:val="auto"/>
          <w:sz w:val="32"/>
          <w:szCs w:val="32"/>
          <w:highlight w:val="none"/>
          <w:lang w:eastAsia="zh-CN"/>
        </w:rPr>
        <w:t>2021</w:t>
      </w:r>
      <w:r>
        <w:rPr>
          <w:rFonts w:hint="eastAsia" w:ascii="仿宋_GB2312" w:hAnsi="方正楷体简体" w:eastAsia="仿宋_GB2312" w:cs="宋体"/>
          <w:color w:val="auto"/>
          <w:sz w:val="32"/>
          <w:szCs w:val="32"/>
          <w:highlight w:val="none"/>
        </w:rPr>
        <w:t>年共有</w:t>
      </w:r>
      <w:r>
        <w:rPr>
          <w:rFonts w:hint="eastAsia" w:ascii="仿宋_GB2312" w:hAnsi="方正楷体简体" w:eastAsia="仿宋_GB2312" w:cs="宋体"/>
          <w:color w:val="auto"/>
          <w:sz w:val="32"/>
          <w:szCs w:val="32"/>
          <w:highlight w:val="none"/>
          <w:lang w:val="en-US" w:eastAsia="zh-CN"/>
        </w:rPr>
        <w:t>1</w:t>
      </w:r>
      <w:r>
        <w:rPr>
          <w:rFonts w:hint="eastAsia" w:ascii="仿宋_GB2312" w:hAnsi="方正楷体简体" w:eastAsia="仿宋_GB2312" w:cs="宋体"/>
          <w:color w:val="auto"/>
          <w:sz w:val="32"/>
          <w:szCs w:val="32"/>
          <w:highlight w:val="none"/>
        </w:rPr>
        <w:t>个专项资金项目，其中已完成项目</w:t>
      </w:r>
      <w:r>
        <w:rPr>
          <w:rFonts w:hint="eastAsia" w:ascii="仿宋_GB2312" w:hAnsi="方正楷体简体" w:eastAsia="仿宋_GB2312" w:cs="宋体"/>
          <w:color w:val="auto"/>
          <w:sz w:val="32"/>
          <w:szCs w:val="32"/>
          <w:highlight w:val="none"/>
          <w:lang w:val="en-US" w:eastAsia="zh-CN"/>
        </w:rPr>
        <w:t>1</w:t>
      </w:r>
      <w:r>
        <w:rPr>
          <w:rFonts w:hint="eastAsia" w:ascii="仿宋_GB2312" w:hAnsi="方正楷体简体" w:eastAsia="仿宋_GB2312" w:cs="宋体"/>
          <w:color w:val="auto"/>
          <w:sz w:val="32"/>
          <w:szCs w:val="32"/>
          <w:highlight w:val="none"/>
        </w:rPr>
        <w:t>个、未完成项目</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个、结转项目</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个。</w:t>
      </w:r>
      <w:r>
        <w:rPr>
          <w:rFonts w:hint="eastAsia" w:ascii="仿宋_GB2312" w:hAnsi="方正楷体简体" w:eastAsia="仿宋_GB2312" w:cs="宋体"/>
          <w:color w:val="auto"/>
          <w:sz w:val="32"/>
          <w:szCs w:val="32"/>
          <w:highlight w:val="none"/>
          <w:lang w:eastAsia="zh-CN"/>
        </w:rPr>
        <w:t>2021</w:t>
      </w:r>
      <w:r>
        <w:rPr>
          <w:rFonts w:hint="eastAsia" w:ascii="仿宋_GB2312" w:hAnsi="方正楷体简体" w:eastAsia="仿宋_GB2312" w:cs="宋体"/>
          <w:color w:val="auto"/>
          <w:sz w:val="32"/>
          <w:szCs w:val="32"/>
          <w:highlight w:val="none"/>
        </w:rPr>
        <w:t>年度项目预算及执行情况见下表：</w:t>
      </w:r>
    </w:p>
    <w:tbl>
      <w:tblPr>
        <w:tblStyle w:val="9"/>
        <w:tblW w:w="8522" w:type="dxa"/>
        <w:tblInd w:w="0" w:type="dxa"/>
        <w:tblLayout w:type="fixed"/>
        <w:tblCellMar>
          <w:top w:w="0" w:type="dxa"/>
          <w:left w:w="108" w:type="dxa"/>
          <w:bottom w:w="0" w:type="dxa"/>
          <w:right w:w="108" w:type="dxa"/>
        </w:tblCellMar>
      </w:tblPr>
      <w:tblGrid>
        <w:gridCol w:w="1581"/>
        <w:gridCol w:w="1581"/>
        <w:gridCol w:w="1377"/>
        <w:gridCol w:w="1155"/>
        <w:gridCol w:w="1050"/>
        <w:gridCol w:w="1778"/>
      </w:tblGrid>
      <w:tr>
        <w:tblPrEx>
          <w:tblCellMar>
            <w:top w:w="0" w:type="dxa"/>
            <w:left w:w="108" w:type="dxa"/>
            <w:bottom w:w="0" w:type="dxa"/>
            <w:right w:w="108" w:type="dxa"/>
          </w:tblCellMar>
        </w:tblPrEx>
        <w:trPr>
          <w:trHeight w:val="283" w:hRule="atLeast"/>
          <w:tblHeader/>
        </w:trPr>
        <w:tc>
          <w:tcPr>
            <w:tcW w:w="1581" w:type="dxa"/>
            <w:tcBorders>
              <w:top w:val="single" w:color="auto" w:sz="8" w:space="0"/>
              <w:left w:val="single" w:color="auto" w:sz="8" w:space="0"/>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bCs/>
                <w:color w:val="auto"/>
                <w:kern w:val="0"/>
                <w:sz w:val="24"/>
                <w:highlight w:val="none"/>
              </w:rPr>
            </w:pPr>
            <w:r>
              <w:rPr>
                <w:rFonts w:hint="eastAsia" w:ascii="仿宋_GB2312" w:hAnsi="仿宋" w:eastAsia="仿宋_GB2312" w:cs="宋体"/>
                <w:b/>
                <w:bCs/>
                <w:color w:val="auto"/>
                <w:kern w:val="0"/>
                <w:sz w:val="24"/>
                <w:highlight w:val="none"/>
              </w:rPr>
              <w:t>项目名称</w:t>
            </w:r>
          </w:p>
        </w:tc>
        <w:tc>
          <w:tcPr>
            <w:tcW w:w="1581" w:type="dxa"/>
            <w:tcBorders>
              <w:top w:val="single" w:color="auto" w:sz="8" w:space="0"/>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bCs/>
                <w:color w:val="auto"/>
                <w:kern w:val="0"/>
                <w:sz w:val="24"/>
                <w:highlight w:val="none"/>
              </w:rPr>
            </w:pPr>
            <w:r>
              <w:rPr>
                <w:rFonts w:hint="eastAsia" w:ascii="仿宋_GB2312" w:hAnsi="仿宋" w:eastAsia="仿宋_GB2312" w:cs="宋体"/>
                <w:b/>
                <w:bCs/>
                <w:color w:val="auto"/>
                <w:kern w:val="0"/>
                <w:sz w:val="24"/>
                <w:highlight w:val="none"/>
              </w:rPr>
              <w:t>预算金额（调整后）</w:t>
            </w:r>
          </w:p>
        </w:tc>
        <w:tc>
          <w:tcPr>
            <w:tcW w:w="1377" w:type="dxa"/>
            <w:tcBorders>
              <w:top w:val="single" w:color="auto" w:sz="8" w:space="0"/>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bCs/>
                <w:color w:val="auto"/>
                <w:kern w:val="0"/>
                <w:sz w:val="24"/>
                <w:highlight w:val="none"/>
              </w:rPr>
            </w:pPr>
            <w:r>
              <w:rPr>
                <w:rFonts w:hint="eastAsia" w:ascii="仿宋_GB2312" w:hAnsi="仿宋" w:eastAsia="仿宋_GB2312" w:cs="宋体"/>
                <w:b/>
                <w:bCs/>
                <w:color w:val="auto"/>
                <w:kern w:val="0"/>
                <w:sz w:val="24"/>
                <w:highlight w:val="none"/>
              </w:rPr>
              <w:t>执行金额</w:t>
            </w:r>
          </w:p>
        </w:tc>
        <w:tc>
          <w:tcPr>
            <w:tcW w:w="1155" w:type="dxa"/>
            <w:tcBorders>
              <w:top w:val="single" w:color="auto" w:sz="8" w:space="0"/>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bCs/>
                <w:color w:val="auto"/>
                <w:kern w:val="0"/>
                <w:sz w:val="24"/>
                <w:highlight w:val="none"/>
              </w:rPr>
            </w:pPr>
            <w:r>
              <w:rPr>
                <w:rFonts w:hint="eastAsia" w:ascii="仿宋_GB2312" w:hAnsi="仿宋" w:eastAsia="仿宋_GB2312" w:cs="宋体"/>
                <w:b/>
                <w:bCs/>
                <w:color w:val="auto"/>
                <w:kern w:val="0"/>
                <w:sz w:val="24"/>
                <w:highlight w:val="none"/>
              </w:rPr>
              <w:t>执行率</w:t>
            </w:r>
          </w:p>
        </w:tc>
        <w:tc>
          <w:tcPr>
            <w:tcW w:w="1050" w:type="dxa"/>
            <w:tcBorders>
              <w:top w:val="single" w:color="auto" w:sz="8" w:space="0"/>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bCs/>
                <w:color w:val="auto"/>
                <w:kern w:val="0"/>
                <w:sz w:val="24"/>
                <w:highlight w:val="none"/>
              </w:rPr>
            </w:pPr>
            <w:r>
              <w:rPr>
                <w:rFonts w:hint="eastAsia" w:ascii="仿宋_GB2312" w:hAnsi="仿宋" w:eastAsia="仿宋_GB2312" w:cs="宋体"/>
                <w:b/>
                <w:bCs/>
                <w:color w:val="auto"/>
                <w:kern w:val="0"/>
                <w:sz w:val="24"/>
                <w:highlight w:val="none"/>
              </w:rPr>
              <w:t>项目类型</w:t>
            </w:r>
          </w:p>
        </w:tc>
        <w:tc>
          <w:tcPr>
            <w:tcW w:w="1778" w:type="dxa"/>
            <w:tcBorders>
              <w:top w:val="single" w:color="auto" w:sz="8" w:space="0"/>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bCs/>
                <w:color w:val="auto"/>
                <w:kern w:val="0"/>
                <w:sz w:val="24"/>
                <w:highlight w:val="none"/>
              </w:rPr>
            </w:pPr>
            <w:r>
              <w:rPr>
                <w:rFonts w:hint="eastAsia" w:ascii="仿宋_GB2312" w:hAnsi="仿宋" w:eastAsia="仿宋_GB2312" w:cs="宋体"/>
                <w:b/>
                <w:bCs/>
                <w:color w:val="auto"/>
                <w:kern w:val="0"/>
                <w:sz w:val="24"/>
                <w:highlight w:val="none"/>
              </w:rPr>
              <w:t>备注（对预算调整情况进行说明）</w:t>
            </w:r>
          </w:p>
        </w:tc>
      </w:tr>
      <w:tr>
        <w:tblPrEx>
          <w:tblCellMar>
            <w:top w:w="0" w:type="dxa"/>
            <w:left w:w="108" w:type="dxa"/>
            <w:bottom w:w="0" w:type="dxa"/>
            <w:right w:w="108" w:type="dxa"/>
          </w:tblCellMar>
        </w:tblPrEx>
        <w:trPr>
          <w:trHeight w:val="283"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tabs>
                <w:tab w:val="center" w:pos="2022"/>
              </w:tabs>
              <w:jc w:val="left"/>
              <w:textAlignment w:val="center"/>
              <w:rPr>
                <w:rFonts w:hint="eastAsia" w:ascii="仿宋_GB2312" w:hAnsi="仿宋" w:eastAsia="仿宋_GB2312" w:cs="宋体"/>
                <w:color w:val="auto"/>
                <w:kern w:val="0"/>
                <w:sz w:val="28"/>
                <w:szCs w:val="28"/>
                <w:highlight w:val="none"/>
              </w:rPr>
            </w:pPr>
            <w:r>
              <w:rPr>
                <w:rFonts w:hint="eastAsia" w:ascii="仿宋_GB2312" w:hAnsi="仿宋_GB2312" w:eastAsia="仿宋_GB2312" w:cs="仿宋_GB2312"/>
                <w:b w:val="0"/>
                <w:bCs/>
                <w:i w:val="0"/>
                <w:color w:val="auto"/>
                <w:kern w:val="0"/>
                <w:sz w:val="28"/>
                <w:szCs w:val="28"/>
                <w:highlight w:val="none"/>
                <w:u w:val="none"/>
                <w:lang w:val="en-US" w:eastAsia="zh-CN" w:bidi="ar"/>
              </w:rPr>
              <w:t>“访惠聚”工作经费</w:t>
            </w:r>
            <w:r>
              <w:rPr>
                <w:rFonts w:hint="eastAsia" w:ascii="仿宋_GB2312" w:hAnsi="仿宋_GB2312" w:eastAsia="仿宋_GB2312" w:cs="仿宋_GB2312"/>
                <w:b w:val="0"/>
                <w:bCs/>
                <w:i w:val="0"/>
                <w:color w:val="auto"/>
                <w:kern w:val="0"/>
                <w:sz w:val="28"/>
                <w:szCs w:val="28"/>
                <w:highlight w:val="none"/>
                <w:u w:val="none"/>
                <w:lang w:val="en-US" w:eastAsia="zh-CN" w:bidi="ar"/>
              </w:rPr>
              <w:tab/>
            </w:r>
            <w:r>
              <w:rPr>
                <w:rFonts w:hint="eastAsia" w:ascii="仿宋_GB2312" w:hAnsi="仿宋_GB2312" w:eastAsia="仿宋_GB2312" w:cs="仿宋_GB2312"/>
                <w:b w:val="0"/>
                <w:bCs/>
                <w:i w:val="0"/>
                <w:color w:val="auto"/>
                <w:kern w:val="0"/>
                <w:sz w:val="28"/>
                <w:szCs w:val="28"/>
                <w:highlight w:val="none"/>
                <w:u w:val="none"/>
                <w:lang w:val="en-US" w:eastAsia="zh-CN" w:bidi="ar"/>
              </w:rPr>
              <w:t>项目</w:t>
            </w:r>
          </w:p>
        </w:tc>
        <w:tc>
          <w:tcPr>
            <w:tcW w:w="1581" w:type="dxa"/>
            <w:tcBorders>
              <w:top w:val="nil"/>
              <w:left w:val="nil"/>
              <w:bottom w:val="single" w:color="auto" w:sz="8" w:space="0"/>
              <w:right w:val="single" w:color="auto" w:sz="8" w:space="0"/>
            </w:tcBorders>
            <w:shd w:val="clear" w:color="auto" w:fill="auto"/>
            <w:vAlign w:val="center"/>
          </w:tcPr>
          <w:p>
            <w:pPr>
              <w:keepNext w:val="0"/>
              <w:keepLines w:val="0"/>
              <w:widowControl/>
              <w:suppressLineNumbers w:val="0"/>
              <w:jc w:val="both"/>
              <w:textAlignment w:val="center"/>
              <w:rPr>
                <w:rFonts w:hint="eastAsia" w:ascii="仿宋_GB2312" w:hAnsi="仿宋" w:eastAsia="仿宋_GB2312" w:cs="宋体"/>
                <w:color w:val="auto"/>
                <w:kern w:val="0"/>
                <w:sz w:val="28"/>
                <w:szCs w:val="28"/>
                <w:highlight w:val="none"/>
              </w:rPr>
            </w:pPr>
            <w:r>
              <w:rPr>
                <w:rFonts w:hint="eastAsia" w:ascii="仿宋_GB2312" w:hAnsi="仿宋_GB2312" w:eastAsia="仿宋_GB2312" w:cs="仿宋_GB2312"/>
                <w:i w:val="0"/>
                <w:color w:val="auto"/>
                <w:kern w:val="0"/>
                <w:sz w:val="28"/>
                <w:szCs w:val="28"/>
                <w:highlight w:val="none"/>
                <w:u w:val="none"/>
                <w:lang w:val="en-US" w:eastAsia="zh-CN" w:bidi="ar"/>
              </w:rPr>
              <w:t>70.00万元</w:t>
            </w:r>
          </w:p>
        </w:tc>
        <w:tc>
          <w:tcPr>
            <w:tcW w:w="1377" w:type="dxa"/>
            <w:tcBorders>
              <w:top w:val="nil"/>
              <w:left w:val="nil"/>
              <w:bottom w:val="single" w:color="auto" w:sz="8" w:space="0"/>
              <w:right w:val="single" w:color="auto" w:sz="8" w:space="0"/>
            </w:tcBorders>
            <w:shd w:val="clear" w:color="auto" w:fill="auto"/>
            <w:vAlign w:val="center"/>
          </w:tcPr>
          <w:p>
            <w:pPr>
              <w:keepNext w:val="0"/>
              <w:keepLines w:val="0"/>
              <w:widowControl/>
              <w:suppressLineNumbers w:val="0"/>
              <w:jc w:val="both"/>
              <w:textAlignment w:val="center"/>
              <w:rPr>
                <w:rFonts w:hint="eastAsia" w:ascii="仿宋_GB2312" w:hAnsi="仿宋" w:eastAsia="仿宋_GB2312" w:cs="宋体"/>
                <w:color w:val="auto"/>
                <w:kern w:val="0"/>
                <w:sz w:val="28"/>
                <w:szCs w:val="28"/>
                <w:highlight w:val="none"/>
              </w:rPr>
            </w:pPr>
            <w:r>
              <w:rPr>
                <w:rFonts w:hint="eastAsia" w:ascii="仿宋_GB2312" w:hAnsi="仿宋_GB2312" w:eastAsia="仿宋_GB2312" w:cs="仿宋_GB2312"/>
                <w:i w:val="0"/>
                <w:color w:val="auto"/>
                <w:kern w:val="0"/>
                <w:sz w:val="28"/>
                <w:szCs w:val="28"/>
                <w:highlight w:val="none"/>
                <w:u w:val="none"/>
                <w:lang w:val="en-US" w:eastAsia="zh-CN" w:bidi="ar"/>
              </w:rPr>
              <w:t>57.15.00万元</w:t>
            </w:r>
          </w:p>
        </w:tc>
        <w:tc>
          <w:tcPr>
            <w:tcW w:w="1155" w:type="dxa"/>
            <w:tcBorders>
              <w:top w:val="nil"/>
              <w:left w:val="nil"/>
              <w:bottom w:val="single" w:color="auto" w:sz="8" w:space="0"/>
              <w:right w:val="single" w:color="auto" w:sz="8" w:space="0"/>
            </w:tcBorders>
            <w:shd w:val="clear" w:color="auto" w:fill="auto"/>
            <w:vAlign w:val="center"/>
          </w:tcPr>
          <w:p>
            <w:pPr>
              <w:spacing w:line="560" w:lineRule="exact"/>
              <w:rPr>
                <w:rFonts w:hint="eastAsia" w:ascii="仿宋_GB2312" w:hAnsi="仿宋" w:eastAsia="仿宋_GB2312" w:cs="宋体"/>
                <w:color w:val="auto"/>
                <w:kern w:val="0"/>
                <w:sz w:val="28"/>
                <w:szCs w:val="28"/>
                <w:highlight w:val="none"/>
              </w:rPr>
            </w:pPr>
            <w:r>
              <w:rPr>
                <w:rFonts w:hint="eastAsia" w:ascii="仿宋_GB2312" w:hAnsi="仿宋" w:eastAsia="仿宋_GB2312" w:cs="宋体"/>
                <w:color w:val="auto"/>
                <w:kern w:val="0"/>
                <w:sz w:val="28"/>
                <w:szCs w:val="28"/>
                <w:highlight w:val="none"/>
                <w:lang w:val="en-US" w:eastAsia="zh-CN"/>
              </w:rPr>
              <w:t>81.6%</w:t>
            </w:r>
          </w:p>
        </w:tc>
        <w:tc>
          <w:tcPr>
            <w:tcW w:w="1050" w:type="dxa"/>
            <w:tcBorders>
              <w:top w:val="nil"/>
              <w:left w:val="nil"/>
              <w:bottom w:val="single" w:color="auto" w:sz="8" w:space="0"/>
              <w:right w:val="single" w:color="auto" w:sz="8" w:space="0"/>
            </w:tcBorders>
            <w:shd w:val="clear" w:color="auto" w:fill="auto"/>
            <w:vAlign w:val="center"/>
          </w:tcPr>
          <w:p>
            <w:pPr>
              <w:spacing w:line="560" w:lineRule="exact"/>
              <w:rPr>
                <w:rFonts w:hint="eastAsia" w:ascii="仿宋_GB2312" w:hAnsi="仿宋" w:eastAsia="仿宋_GB2312" w:cs="宋体"/>
                <w:color w:val="auto"/>
                <w:kern w:val="0"/>
                <w:sz w:val="28"/>
                <w:szCs w:val="28"/>
                <w:highlight w:val="none"/>
              </w:rPr>
            </w:pPr>
            <w:r>
              <w:rPr>
                <w:rFonts w:hint="eastAsia" w:ascii="仿宋_GB2312" w:hAnsi="仿宋_GB2312" w:eastAsia="仿宋_GB2312" w:cs="仿宋_GB2312"/>
                <w:bCs/>
                <w:color w:val="auto"/>
                <w:sz w:val="28"/>
                <w:szCs w:val="28"/>
                <w:highlight w:val="none"/>
              </w:rPr>
              <w:t>补助类</w:t>
            </w:r>
          </w:p>
        </w:tc>
        <w:tc>
          <w:tcPr>
            <w:tcW w:w="1778"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color w:val="auto"/>
                <w:kern w:val="0"/>
                <w:sz w:val="28"/>
                <w:szCs w:val="28"/>
                <w:highlight w:val="none"/>
              </w:rPr>
            </w:pPr>
          </w:p>
        </w:tc>
      </w:tr>
      <w:tr>
        <w:tblPrEx>
          <w:tblCellMar>
            <w:top w:w="0" w:type="dxa"/>
            <w:left w:w="108" w:type="dxa"/>
            <w:bottom w:w="0" w:type="dxa"/>
            <w:right w:w="108" w:type="dxa"/>
          </w:tblCellMar>
        </w:tblPrEx>
        <w:trPr>
          <w:trHeight w:val="283"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bCs/>
                <w:color w:val="auto"/>
                <w:kern w:val="0"/>
                <w:sz w:val="28"/>
                <w:szCs w:val="28"/>
                <w:highlight w:val="none"/>
              </w:rPr>
            </w:pPr>
            <w:r>
              <w:rPr>
                <w:rFonts w:hint="eastAsia" w:ascii="仿宋_GB2312" w:hAnsi="仿宋" w:eastAsia="仿宋_GB2312" w:cs="宋体"/>
                <w:b/>
                <w:bCs/>
                <w:color w:val="auto"/>
                <w:kern w:val="0"/>
                <w:sz w:val="28"/>
                <w:szCs w:val="28"/>
                <w:highlight w:val="none"/>
              </w:rPr>
              <w:t>合计</w:t>
            </w:r>
          </w:p>
        </w:tc>
        <w:tc>
          <w:tcPr>
            <w:tcW w:w="1581" w:type="dxa"/>
            <w:tcBorders>
              <w:top w:val="nil"/>
              <w:left w:val="nil"/>
              <w:bottom w:val="single" w:color="auto" w:sz="8" w:space="0"/>
              <w:right w:val="single" w:color="auto" w:sz="8" w:space="0"/>
            </w:tcBorders>
            <w:shd w:val="clear" w:color="auto" w:fill="auto"/>
            <w:vAlign w:val="center"/>
          </w:tcPr>
          <w:p>
            <w:pPr>
              <w:keepNext w:val="0"/>
              <w:keepLines w:val="0"/>
              <w:widowControl/>
              <w:suppressLineNumbers w:val="0"/>
              <w:jc w:val="both"/>
              <w:textAlignment w:val="center"/>
              <w:rPr>
                <w:rFonts w:hint="eastAsia" w:ascii="仿宋_GB2312" w:hAnsi="仿宋" w:eastAsia="仿宋_GB2312" w:cs="宋体"/>
                <w:color w:val="auto"/>
                <w:kern w:val="0"/>
                <w:sz w:val="28"/>
                <w:szCs w:val="28"/>
                <w:highlight w:val="none"/>
              </w:rPr>
            </w:pPr>
            <w:r>
              <w:rPr>
                <w:rFonts w:hint="eastAsia" w:ascii="仿宋_GB2312" w:hAnsi="仿宋_GB2312" w:eastAsia="仿宋_GB2312" w:cs="仿宋_GB2312"/>
                <w:i w:val="0"/>
                <w:color w:val="auto"/>
                <w:kern w:val="0"/>
                <w:sz w:val="28"/>
                <w:szCs w:val="28"/>
                <w:highlight w:val="none"/>
                <w:u w:val="none"/>
                <w:lang w:val="en-US" w:eastAsia="zh-CN" w:bidi="ar"/>
              </w:rPr>
              <w:t>70.00万元</w:t>
            </w:r>
          </w:p>
        </w:tc>
        <w:tc>
          <w:tcPr>
            <w:tcW w:w="1377" w:type="dxa"/>
            <w:tcBorders>
              <w:top w:val="nil"/>
              <w:left w:val="nil"/>
              <w:bottom w:val="single" w:color="auto" w:sz="8" w:space="0"/>
              <w:right w:val="single" w:color="auto" w:sz="8" w:space="0"/>
            </w:tcBorders>
            <w:shd w:val="clear" w:color="auto" w:fill="auto"/>
            <w:vAlign w:val="center"/>
          </w:tcPr>
          <w:p>
            <w:pPr>
              <w:keepNext w:val="0"/>
              <w:keepLines w:val="0"/>
              <w:widowControl/>
              <w:suppressLineNumbers w:val="0"/>
              <w:jc w:val="both"/>
              <w:textAlignment w:val="center"/>
              <w:rPr>
                <w:rFonts w:hint="eastAsia" w:ascii="仿宋_GB2312" w:hAnsi="仿宋" w:eastAsia="仿宋_GB2312" w:cs="宋体"/>
                <w:color w:val="auto"/>
                <w:kern w:val="0"/>
                <w:sz w:val="28"/>
                <w:szCs w:val="28"/>
                <w:highlight w:val="none"/>
              </w:rPr>
            </w:pPr>
            <w:r>
              <w:rPr>
                <w:rFonts w:hint="eastAsia" w:ascii="仿宋_GB2312" w:hAnsi="仿宋_GB2312" w:eastAsia="仿宋_GB2312" w:cs="仿宋_GB2312"/>
                <w:i w:val="0"/>
                <w:color w:val="auto"/>
                <w:kern w:val="0"/>
                <w:sz w:val="28"/>
                <w:szCs w:val="28"/>
                <w:highlight w:val="none"/>
                <w:u w:val="none"/>
                <w:lang w:val="en-US" w:eastAsia="zh-CN" w:bidi="ar"/>
              </w:rPr>
              <w:t>57.15.00万元</w:t>
            </w:r>
          </w:p>
        </w:tc>
        <w:tc>
          <w:tcPr>
            <w:tcW w:w="1155" w:type="dxa"/>
            <w:tcBorders>
              <w:top w:val="nil"/>
              <w:left w:val="nil"/>
              <w:bottom w:val="single" w:color="auto" w:sz="8" w:space="0"/>
              <w:right w:val="single" w:color="auto" w:sz="8" w:space="0"/>
            </w:tcBorders>
            <w:shd w:val="clear" w:color="auto" w:fill="auto"/>
            <w:vAlign w:val="center"/>
          </w:tcPr>
          <w:p>
            <w:pPr>
              <w:spacing w:line="560" w:lineRule="exact"/>
              <w:rPr>
                <w:rFonts w:hint="eastAsia" w:ascii="仿宋_GB2312" w:hAnsi="仿宋" w:eastAsia="仿宋_GB2312" w:cs="宋体"/>
                <w:color w:val="auto"/>
                <w:kern w:val="0"/>
                <w:sz w:val="28"/>
                <w:szCs w:val="28"/>
                <w:highlight w:val="none"/>
              </w:rPr>
            </w:pPr>
            <w:r>
              <w:rPr>
                <w:rFonts w:hint="eastAsia" w:ascii="仿宋_GB2312" w:hAnsi="仿宋" w:eastAsia="仿宋_GB2312" w:cs="宋体"/>
                <w:color w:val="auto"/>
                <w:kern w:val="0"/>
                <w:sz w:val="28"/>
                <w:szCs w:val="28"/>
                <w:highlight w:val="none"/>
                <w:lang w:val="en-US" w:eastAsia="zh-CN"/>
              </w:rPr>
              <w:t>81.6%</w:t>
            </w:r>
          </w:p>
        </w:tc>
        <w:tc>
          <w:tcPr>
            <w:tcW w:w="1050"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color w:val="auto"/>
                <w:kern w:val="0"/>
                <w:sz w:val="28"/>
                <w:szCs w:val="28"/>
                <w:highlight w:val="none"/>
              </w:rPr>
            </w:pPr>
            <w:r>
              <w:rPr>
                <w:rFonts w:hint="eastAsia" w:ascii="仿宋_GB2312" w:hAnsi="仿宋" w:eastAsia="仿宋_GB2312" w:cs="宋体"/>
                <w:color w:val="auto"/>
                <w:kern w:val="0"/>
                <w:sz w:val="28"/>
                <w:szCs w:val="28"/>
                <w:highlight w:val="none"/>
              </w:rPr>
              <w:t>　</w:t>
            </w:r>
          </w:p>
        </w:tc>
        <w:tc>
          <w:tcPr>
            <w:tcW w:w="1778"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color w:val="auto"/>
                <w:kern w:val="0"/>
                <w:sz w:val="28"/>
                <w:szCs w:val="28"/>
                <w:highlight w:val="none"/>
              </w:rPr>
            </w:pPr>
            <w:r>
              <w:rPr>
                <w:rFonts w:hint="eastAsia" w:ascii="仿宋_GB2312" w:hAnsi="仿宋" w:eastAsia="仿宋_GB2312" w:cs="宋体"/>
                <w:color w:val="auto"/>
                <w:kern w:val="0"/>
                <w:sz w:val="28"/>
                <w:szCs w:val="28"/>
                <w:highlight w:val="none"/>
              </w:rPr>
              <w:t>　</w:t>
            </w:r>
          </w:p>
        </w:tc>
      </w:tr>
    </w:tbl>
    <w:p>
      <w:pPr>
        <w:spacing w:line="560" w:lineRule="exact"/>
        <w:ind w:firstLine="200"/>
        <w:rPr>
          <w:rFonts w:hint="eastAsia" w:ascii="仿宋_GB2312" w:eastAsia="仿宋_GB2312"/>
          <w:color w:val="auto"/>
          <w:sz w:val="32"/>
          <w:szCs w:val="32"/>
          <w:highlight w:val="none"/>
        </w:rPr>
      </w:pPr>
      <w:r>
        <w:rPr>
          <w:rFonts w:hint="eastAsia"/>
          <w:color w:val="auto"/>
          <w:highlight w:val="none"/>
        </w:rPr>
        <w:tab/>
      </w:r>
      <w:r>
        <w:rPr>
          <w:rFonts w:hint="eastAsia"/>
          <w:color w:val="auto"/>
          <w:highlight w:val="none"/>
        </w:rPr>
        <w:tab/>
      </w:r>
      <w:r>
        <w:rPr>
          <w:rFonts w:hint="eastAsia"/>
          <w:color w:val="auto"/>
          <w:highlight w:val="none"/>
        </w:rPr>
        <w:tab/>
      </w:r>
      <w:r>
        <w:rPr>
          <w:rFonts w:hint="eastAsia"/>
          <w:color w:val="auto"/>
          <w:highlight w:val="none"/>
        </w:rPr>
        <w:t>　</w:t>
      </w:r>
      <w:r>
        <w:rPr>
          <w:rFonts w:hint="eastAsia"/>
          <w:color w:val="auto"/>
          <w:highlight w:val="none"/>
        </w:rPr>
        <w:tab/>
      </w:r>
      <w:r>
        <w:rPr>
          <w:rFonts w:hint="eastAsia"/>
          <w:color w:val="auto"/>
          <w:highlight w:val="none"/>
        </w:rPr>
        <w:t>　</w:t>
      </w:r>
      <w:r>
        <w:rPr>
          <w:rFonts w:hint="eastAsia" w:ascii="仿宋_GB2312" w:eastAsia="仿宋_GB2312"/>
          <w:color w:val="auto"/>
          <w:sz w:val="32"/>
          <w:szCs w:val="32"/>
          <w:highlight w:val="none"/>
        </w:rPr>
        <w:t>执行数与预算数存在差异的原因：</w:t>
      </w:r>
    </w:p>
    <w:p>
      <w:pPr>
        <w:pStyle w:val="8"/>
        <w:numPr>
          <w:ilvl w:val="0"/>
          <w:numId w:val="0"/>
        </w:numPr>
        <w:ind w:firstLine="640" w:firstLineChars="200"/>
        <w:rPr>
          <w:rFonts w:hint="eastAsia" w:ascii="仿宋_GB2312" w:hAnsi="仿宋_GB2312" w:eastAsia="仿宋_GB2312" w:cs="仿宋_GB2312"/>
          <w:b w:val="0"/>
          <w:bCs/>
          <w:i w:val="0"/>
          <w:color w:val="auto"/>
          <w:kern w:val="0"/>
          <w:sz w:val="32"/>
          <w:szCs w:val="32"/>
          <w:highlight w:val="none"/>
          <w:u w:val="none"/>
          <w:lang w:val="en-US" w:eastAsia="zh-CN" w:bidi="ar"/>
        </w:rPr>
      </w:pPr>
      <w:r>
        <w:rPr>
          <w:rFonts w:hint="eastAsia" w:ascii="仿宋_GB2312" w:eastAsia="仿宋_GB2312" w:hAnsiTheme="minorHAnsi" w:cstheme="minorBidi"/>
          <w:color w:val="auto"/>
          <w:kern w:val="2"/>
          <w:sz w:val="32"/>
          <w:szCs w:val="32"/>
          <w:highlight w:val="none"/>
          <w:lang w:val="en-US" w:eastAsia="zh-CN" w:bidi="ar-SA"/>
        </w:rPr>
        <w:t>“访惠聚”工作经费</w:t>
      </w:r>
      <w:r>
        <w:rPr>
          <w:rFonts w:hint="eastAsia" w:ascii="仿宋_GB2312" w:hAnsi="仿宋_GB2312" w:eastAsia="仿宋_GB2312" w:cs="仿宋_GB2312"/>
          <w:b w:val="0"/>
          <w:bCs/>
          <w:i w:val="0"/>
          <w:color w:val="auto"/>
          <w:kern w:val="0"/>
          <w:sz w:val="32"/>
          <w:szCs w:val="32"/>
          <w:highlight w:val="none"/>
          <w:u w:val="none"/>
          <w:lang w:val="en-US" w:eastAsia="zh-CN" w:bidi="ar"/>
        </w:rPr>
        <w:t>专项资金项目，预算数70万元，执行数57.15万元，差异原因为项目申报前期测算不科学，内控制度不完善。</w:t>
      </w:r>
    </w:p>
    <w:p>
      <w:pPr>
        <w:pStyle w:val="14"/>
        <w:spacing w:line="560" w:lineRule="exact"/>
        <w:ind w:firstLine="624"/>
        <w:rPr>
          <w:rStyle w:val="12"/>
          <w:rFonts w:ascii="黑体" w:hAnsi="黑体" w:eastAsia="黑体" w:cs="Times New Roman"/>
          <w:b w:val="0"/>
          <w:color w:val="auto"/>
          <w:spacing w:val="-4"/>
          <w:sz w:val="32"/>
          <w:szCs w:val="32"/>
          <w:highlight w:val="none"/>
        </w:rPr>
      </w:pPr>
      <w:r>
        <w:rPr>
          <w:rStyle w:val="12"/>
          <w:rFonts w:hint="eastAsia" w:ascii="黑体" w:hAnsi="黑体" w:eastAsia="黑体" w:cs="Times New Roman"/>
          <w:b w:val="0"/>
          <w:color w:val="auto"/>
          <w:spacing w:val="-4"/>
          <w:sz w:val="32"/>
          <w:szCs w:val="32"/>
          <w:highlight w:val="none"/>
        </w:rPr>
        <w:t>三、</w:t>
      </w:r>
      <w:r>
        <w:rPr>
          <w:rStyle w:val="12"/>
          <w:rFonts w:hint="eastAsia" w:ascii="黑体" w:hAnsi="黑体" w:eastAsia="黑体" w:cs="Times New Roman"/>
          <w:b w:val="0"/>
          <w:color w:val="auto"/>
          <w:spacing w:val="-4"/>
          <w:sz w:val="32"/>
          <w:szCs w:val="32"/>
          <w:highlight w:val="none"/>
          <w:lang w:eastAsia="zh-CN"/>
        </w:rPr>
        <w:t>单位</w:t>
      </w:r>
      <w:r>
        <w:rPr>
          <w:rStyle w:val="12"/>
          <w:rFonts w:hint="eastAsia" w:ascii="黑体" w:hAnsi="黑体" w:eastAsia="黑体" w:cs="Times New Roman"/>
          <w:b w:val="0"/>
          <w:color w:val="auto"/>
          <w:spacing w:val="-4"/>
          <w:sz w:val="32"/>
          <w:szCs w:val="32"/>
          <w:highlight w:val="none"/>
        </w:rPr>
        <w:t>专项组织实施情况</w:t>
      </w:r>
    </w:p>
    <w:p>
      <w:pPr>
        <w:spacing w:line="560" w:lineRule="exact"/>
        <w:ind w:firstLine="624" w:firstLineChars="200"/>
        <w:rPr>
          <w:rStyle w:val="12"/>
          <w:rFonts w:ascii="楷体" w:hAnsi="楷体" w:eastAsia="楷体" w:cs="Times New Roman"/>
          <w:b w:val="0"/>
          <w:bCs w:val="0"/>
          <w:color w:val="auto"/>
          <w:spacing w:val="-4"/>
          <w:sz w:val="32"/>
          <w:szCs w:val="32"/>
          <w:highlight w:val="none"/>
        </w:rPr>
      </w:pPr>
      <w:r>
        <w:rPr>
          <w:rStyle w:val="12"/>
          <w:rFonts w:hint="eastAsia" w:ascii="楷体" w:hAnsi="楷体" w:eastAsia="楷体" w:cs="Times New Roman"/>
          <w:b w:val="0"/>
          <w:bCs w:val="0"/>
          <w:color w:val="auto"/>
          <w:spacing w:val="-4"/>
          <w:sz w:val="32"/>
          <w:szCs w:val="32"/>
          <w:highlight w:val="none"/>
        </w:rPr>
        <w:t>（一）专项组织情况分析</w:t>
      </w:r>
      <w:r>
        <w:rPr>
          <w:rStyle w:val="12"/>
          <w:rFonts w:hint="eastAsia" w:ascii="楷体" w:hAnsi="楷体" w:eastAsia="楷体" w:cs="Times New Roman"/>
          <w:b w:val="0"/>
          <w:bCs w:val="0"/>
          <w:color w:val="auto"/>
          <w:spacing w:val="-4"/>
          <w:sz w:val="32"/>
          <w:szCs w:val="32"/>
          <w:highlight w:val="none"/>
        </w:rPr>
        <w:tab/>
      </w:r>
    </w:p>
    <w:p>
      <w:pPr>
        <w:spacing w:line="560" w:lineRule="exact"/>
        <w:ind w:firstLine="627" w:firstLineChars="200"/>
        <w:rPr>
          <w:rStyle w:val="12"/>
          <w:rFonts w:ascii="仿宋_GB2312" w:hAnsi="黑体" w:eastAsia="仿宋_GB2312" w:cs="Times New Roman"/>
          <w:bCs w:val="0"/>
          <w:color w:val="auto"/>
          <w:spacing w:val="-4"/>
          <w:sz w:val="32"/>
          <w:szCs w:val="32"/>
          <w:highlight w:val="none"/>
        </w:rPr>
      </w:pPr>
      <w:r>
        <w:rPr>
          <w:rStyle w:val="12"/>
          <w:rFonts w:hint="eastAsia" w:ascii="仿宋_GB2312" w:hAnsi="黑体" w:eastAsia="仿宋_GB2312" w:cs="Times New Roman"/>
          <w:bCs w:val="0"/>
          <w:color w:val="auto"/>
          <w:spacing w:val="-4"/>
          <w:sz w:val="32"/>
          <w:szCs w:val="32"/>
          <w:highlight w:val="none"/>
        </w:rPr>
        <w:t>1．前期准备</w:t>
      </w:r>
    </w:p>
    <w:p>
      <w:pPr>
        <w:spacing w:line="560" w:lineRule="exact"/>
        <w:ind w:firstLine="624" w:firstLineChars="200"/>
        <w:rPr>
          <w:rStyle w:val="12"/>
          <w:rFonts w:ascii="仿宋_GB2312" w:hAnsi="黑体" w:eastAsia="仿宋_GB2312" w:cs="Times New Roman"/>
          <w:b w:val="0"/>
          <w:color w:val="auto"/>
          <w:spacing w:val="-4"/>
          <w:sz w:val="32"/>
          <w:szCs w:val="32"/>
          <w:highlight w:val="none"/>
        </w:rPr>
      </w:pPr>
      <w:r>
        <w:rPr>
          <w:rStyle w:val="12"/>
          <w:rFonts w:hint="eastAsia" w:ascii="仿宋_GB2312" w:hAnsi="黑体" w:eastAsia="仿宋_GB2312" w:cs="Times New Roman"/>
          <w:b w:val="0"/>
          <w:color w:val="auto"/>
          <w:spacing w:val="-4"/>
          <w:sz w:val="32"/>
          <w:szCs w:val="32"/>
          <w:highlight w:val="none"/>
        </w:rPr>
        <w:t>我单位作为项目承担单位，组织实施</w:t>
      </w:r>
      <w:r>
        <w:rPr>
          <w:rStyle w:val="12"/>
          <w:rFonts w:hint="eastAsia" w:ascii="仿宋_GB2312" w:hAnsi="黑体" w:eastAsia="仿宋_GB2312" w:cs="Times New Roman"/>
          <w:b w:val="0"/>
          <w:color w:val="auto"/>
          <w:spacing w:val="-4"/>
          <w:sz w:val="32"/>
          <w:szCs w:val="32"/>
          <w:highlight w:val="none"/>
          <w:lang w:eastAsia="zh-CN"/>
        </w:rPr>
        <w:t>单位</w:t>
      </w:r>
      <w:r>
        <w:rPr>
          <w:rStyle w:val="12"/>
          <w:rFonts w:hint="eastAsia" w:ascii="仿宋_GB2312" w:hAnsi="黑体" w:eastAsia="仿宋_GB2312" w:cs="Times New Roman"/>
          <w:b w:val="0"/>
          <w:color w:val="auto"/>
          <w:spacing w:val="-4"/>
          <w:sz w:val="32"/>
          <w:szCs w:val="32"/>
          <w:highlight w:val="none"/>
        </w:rPr>
        <w:t>开展项目前期准备工作，根据项目特点和内容组织项目小组，制定详细的项目计划和实施方案，并提请单位党组会议研究，待党组会议研究通过后项目实施</w:t>
      </w:r>
      <w:r>
        <w:rPr>
          <w:rStyle w:val="12"/>
          <w:rFonts w:hint="eastAsia" w:ascii="仿宋_GB2312" w:hAnsi="黑体" w:eastAsia="仿宋_GB2312" w:cs="Times New Roman"/>
          <w:b w:val="0"/>
          <w:color w:val="auto"/>
          <w:spacing w:val="-4"/>
          <w:sz w:val="32"/>
          <w:szCs w:val="32"/>
          <w:highlight w:val="none"/>
          <w:lang w:eastAsia="zh-CN"/>
        </w:rPr>
        <w:t>单位</w:t>
      </w:r>
      <w:r>
        <w:rPr>
          <w:rStyle w:val="12"/>
          <w:rFonts w:hint="eastAsia" w:ascii="仿宋_GB2312" w:hAnsi="黑体" w:eastAsia="仿宋_GB2312" w:cs="Times New Roman"/>
          <w:b w:val="0"/>
          <w:color w:val="auto"/>
          <w:spacing w:val="-4"/>
          <w:sz w:val="32"/>
          <w:szCs w:val="32"/>
          <w:highlight w:val="none"/>
        </w:rPr>
        <w:t>方可实施。</w:t>
      </w:r>
    </w:p>
    <w:p>
      <w:pPr>
        <w:spacing w:line="560" w:lineRule="exact"/>
        <w:ind w:firstLine="627" w:firstLineChars="200"/>
        <w:rPr>
          <w:rStyle w:val="12"/>
          <w:rFonts w:ascii="仿宋_GB2312" w:hAnsi="黑体" w:eastAsia="仿宋_GB2312" w:cs="Times New Roman"/>
          <w:bCs w:val="0"/>
          <w:color w:val="auto"/>
          <w:spacing w:val="-4"/>
          <w:sz w:val="32"/>
          <w:szCs w:val="32"/>
          <w:highlight w:val="none"/>
        </w:rPr>
      </w:pPr>
      <w:r>
        <w:rPr>
          <w:rStyle w:val="12"/>
          <w:rFonts w:hint="eastAsia" w:ascii="仿宋_GB2312" w:hAnsi="黑体" w:eastAsia="仿宋_GB2312" w:cs="Times New Roman"/>
          <w:bCs w:val="0"/>
          <w:color w:val="auto"/>
          <w:spacing w:val="-4"/>
          <w:sz w:val="32"/>
          <w:szCs w:val="32"/>
          <w:highlight w:val="none"/>
        </w:rPr>
        <w:t>2．组织实施</w:t>
      </w:r>
    </w:p>
    <w:p>
      <w:pPr>
        <w:spacing w:line="560" w:lineRule="exact"/>
        <w:ind w:firstLine="624" w:firstLineChars="200"/>
        <w:rPr>
          <w:rStyle w:val="12"/>
          <w:rFonts w:hint="eastAsia" w:ascii="仿宋_GB2312" w:hAnsi="黑体" w:eastAsia="仿宋_GB2312" w:cs="Times New Roman"/>
          <w:b w:val="0"/>
          <w:color w:val="auto"/>
          <w:spacing w:val="-4"/>
          <w:sz w:val="32"/>
          <w:szCs w:val="32"/>
          <w:highlight w:val="none"/>
          <w:lang w:eastAsia="zh-CN"/>
        </w:rPr>
      </w:pPr>
      <w:r>
        <w:rPr>
          <w:rStyle w:val="12"/>
          <w:rFonts w:hint="eastAsia" w:ascii="仿宋_GB2312" w:hAnsi="黑体" w:eastAsia="仿宋_GB2312" w:cs="Times New Roman"/>
          <w:b w:val="0"/>
          <w:color w:val="auto"/>
          <w:spacing w:val="-4"/>
          <w:sz w:val="32"/>
          <w:szCs w:val="32"/>
          <w:highlight w:val="none"/>
        </w:rPr>
        <w:t>项目需根据前期制定的计划和实施方案进行实施。实施过程中，专项资金项目实施</w:t>
      </w:r>
      <w:r>
        <w:rPr>
          <w:rStyle w:val="12"/>
          <w:rFonts w:hint="eastAsia" w:ascii="仿宋_GB2312" w:hAnsi="黑体" w:eastAsia="仿宋_GB2312" w:cs="Times New Roman"/>
          <w:b w:val="0"/>
          <w:color w:val="auto"/>
          <w:spacing w:val="-4"/>
          <w:sz w:val="32"/>
          <w:szCs w:val="32"/>
          <w:highlight w:val="none"/>
          <w:lang w:eastAsia="zh-CN"/>
        </w:rPr>
        <w:t>单位</w:t>
      </w:r>
      <w:r>
        <w:rPr>
          <w:rStyle w:val="12"/>
          <w:rFonts w:hint="eastAsia" w:ascii="仿宋_GB2312" w:hAnsi="黑体" w:eastAsia="仿宋_GB2312" w:cs="Times New Roman"/>
          <w:b w:val="0"/>
          <w:color w:val="auto"/>
          <w:spacing w:val="-4"/>
          <w:sz w:val="32"/>
          <w:szCs w:val="32"/>
          <w:highlight w:val="none"/>
        </w:rPr>
        <w:t>负责项目的实施、实施过程中的协调、重大事项的审批工作负责以及项目完成目标的验收工作</w:t>
      </w:r>
      <w:r>
        <w:rPr>
          <w:rStyle w:val="12"/>
          <w:rFonts w:hint="eastAsia" w:ascii="仿宋_GB2312" w:hAnsi="黑体" w:eastAsia="仿宋_GB2312" w:cs="Times New Roman"/>
          <w:b w:val="0"/>
          <w:color w:val="auto"/>
          <w:spacing w:val="-4"/>
          <w:sz w:val="32"/>
          <w:szCs w:val="32"/>
          <w:highlight w:val="none"/>
          <w:lang w:eastAsia="zh-CN"/>
        </w:rPr>
        <w:t>。</w:t>
      </w:r>
    </w:p>
    <w:p>
      <w:pPr>
        <w:pStyle w:val="14"/>
        <w:numPr>
          <w:ilvl w:val="0"/>
          <w:numId w:val="2"/>
        </w:numPr>
        <w:spacing w:line="560" w:lineRule="exact"/>
        <w:ind w:firstLine="624"/>
        <w:rPr>
          <w:rStyle w:val="12"/>
          <w:rFonts w:ascii="楷体" w:hAnsi="楷体" w:eastAsia="楷体" w:cs="Times New Roman"/>
          <w:b w:val="0"/>
          <w:bCs w:val="0"/>
          <w:color w:val="auto"/>
          <w:spacing w:val="-4"/>
          <w:sz w:val="32"/>
          <w:szCs w:val="32"/>
          <w:highlight w:val="none"/>
        </w:rPr>
      </w:pPr>
      <w:r>
        <w:rPr>
          <w:rStyle w:val="12"/>
          <w:rFonts w:hint="eastAsia" w:ascii="楷体" w:hAnsi="楷体" w:eastAsia="楷体" w:cs="Times New Roman"/>
          <w:b w:val="0"/>
          <w:bCs w:val="0"/>
          <w:color w:val="auto"/>
          <w:spacing w:val="-4"/>
          <w:sz w:val="32"/>
          <w:szCs w:val="32"/>
          <w:highlight w:val="none"/>
        </w:rPr>
        <w:t>专项管理情况分析</w:t>
      </w:r>
    </w:p>
    <w:p>
      <w:pPr>
        <w:spacing w:line="560" w:lineRule="exact"/>
        <w:ind w:firstLine="627" w:firstLineChars="200"/>
        <w:rPr>
          <w:rStyle w:val="12"/>
          <w:rFonts w:ascii="仿宋_GB2312" w:hAnsi="黑体" w:eastAsia="仿宋_GB2312" w:cs="Times New Roman"/>
          <w:bCs w:val="0"/>
          <w:color w:val="auto"/>
          <w:spacing w:val="-4"/>
          <w:sz w:val="32"/>
          <w:szCs w:val="32"/>
          <w:highlight w:val="none"/>
        </w:rPr>
      </w:pPr>
      <w:r>
        <w:rPr>
          <w:rStyle w:val="12"/>
          <w:rFonts w:hint="eastAsia" w:ascii="仿宋_GB2312" w:hAnsi="黑体" w:eastAsia="仿宋_GB2312" w:cs="Times New Roman"/>
          <w:bCs w:val="0"/>
          <w:color w:val="auto"/>
          <w:spacing w:val="-4"/>
          <w:sz w:val="32"/>
          <w:szCs w:val="32"/>
          <w:highlight w:val="none"/>
        </w:rPr>
        <w:t>1．项目资金情况分析</w:t>
      </w:r>
    </w:p>
    <w:p>
      <w:pPr>
        <w:spacing w:line="560" w:lineRule="exact"/>
        <w:ind w:firstLine="624" w:firstLineChars="200"/>
        <w:rPr>
          <w:rStyle w:val="12"/>
          <w:rFonts w:ascii="仿宋_GB2312" w:hAnsi="黑体" w:eastAsia="仿宋_GB2312" w:cs="Times New Roman"/>
          <w:b w:val="0"/>
          <w:color w:val="auto"/>
          <w:spacing w:val="-4"/>
          <w:sz w:val="32"/>
          <w:szCs w:val="32"/>
          <w:highlight w:val="none"/>
        </w:rPr>
      </w:pPr>
      <w:r>
        <w:rPr>
          <w:rStyle w:val="12"/>
          <w:rFonts w:hint="eastAsia" w:ascii="仿宋_GB2312" w:hAnsi="黑体" w:eastAsia="仿宋_GB2312" w:cs="Times New Roman"/>
          <w:b w:val="0"/>
          <w:color w:val="auto"/>
          <w:spacing w:val="-4"/>
          <w:sz w:val="32"/>
          <w:szCs w:val="32"/>
          <w:highlight w:val="none"/>
        </w:rPr>
        <w:t>本单位</w:t>
      </w:r>
      <w:r>
        <w:rPr>
          <w:rStyle w:val="12"/>
          <w:rFonts w:hint="eastAsia" w:ascii="仿宋_GB2312" w:hAnsi="黑体" w:eastAsia="仿宋_GB2312" w:cs="Times New Roman"/>
          <w:b w:val="0"/>
          <w:color w:val="auto"/>
          <w:spacing w:val="-4"/>
          <w:sz w:val="32"/>
          <w:szCs w:val="32"/>
          <w:highlight w:val="none"/>
          <w:lang w:eastAsia="zh-CN"/>
        </w:rPr>
        <w:t>2021</w:t>
      </w:r>
      <w:r>
        <w:rPr>
          <w:rStyle w:val="12"/>
          <w:rFonts w:hint="eastAsia" w:ascii="仿宋_GB2312" w:hAnsi="黑体" w:eastAsia="仿宋_GB2312" w:cs="Times New Roman"/>
          <w:b w:val="0"/>
          <w:color w:val="auto"/>
          <w:spacing w:val="-4"/>
          <w:sz w:val="32"/>
          <w:szCs w:val="32"/>
          <w:highlight w:val="none"/>
        </w:rPr>
        <w:t>年共有项目</w:t>
      </w:r>
      <w:r>
        <w:rPr>
          <w:rStyle w:val="12"/>
          <w:rFonts w:hint="eastAsia" w:ascii="仿宋_GB2312" w:hAnsi="黑体" w:eastAsia="仿宋_GB2312" w:cs="Times New Roman"/>
          <w:b w:val="0"/>
          <w:color w:val="auto"/>
          <w:spacing w:val="-4"/>
          <w:sz w:val="32"/>
          <w:szCs w:val="32"/>
          <w:highlight w:val="none"/>
          <w:lang w:val="en-US" w:eastAsia="zh-CN"/>
        </w:rPr>
        <w:t>5</w:t>
      </w:r>
      <w:r>
        <w:rPr>
          <w:rStyle w:val="12"/>
          <w:rFonts w:hint="eastAsia" w:ascii="仿宋_GB2312" w:hAnsi="黑体" w:eastAsia="仿宋_GB2312" w:cs="Times New Roman"/>
          <w:b w:val="0"/>
          <w:color w:val="auto"/>
          <w:spacing w:val="-4"/>
          <w:sz w:val="32"/>
          <w:szCs w:val="32"/>
          <w:highlight w:val="none"/>
        </w:rPr>
        <w:t>个，项目总预算</w:t>
      </w:r>
      <w:r>
        <w:rPr>
          <w:rStyle w:val="12"/>
          <w:rFonts w:hint="eastAsia" w:ascii="仿宋_GB2312" w:hAnsi="黑体" w:eastAsia="仿宋_GB2312" w:cs="Times New Roman"/>
          <w:b w:val="0"/>
          <w:color w:val="auto"/>
          <w:spacing w:val="-4"/>
          <w:sz w:val="32"/>
          <w:szCs w:val="32"/>
          <w:highlight w:val="none"/>
          <w:lang w:val="en-US" w:eastAsia="zh-CN"/>
        </w:rPr>
        <w:t>1459.55</w:t>
      </w:r>
      <w:r>
        <w:rPr>
          <w:rStyle w:val="12"/>
          <w:rFonts w:hint="eastAsia" w:ascii="仿宋_GB2312" w:hAnsi="黑体" w:eastAsia="仿宋_GB2312" w:cs="Times New Roman"/>
          <w:b w:val="0"/>
          <w:color w:val="auto"/>
          <w:spacing w:val="-4"/>
          <w:sz w:val="32"/>
          <w:szCs w:val="32"/>
          <w:highlight w:val="none"/>
        </w:rPr>
        <w:t>万元，资金到位</w:t>
      </w:r>
      <w:r>
        <w:rPr>
          <w:rStyle w:val="12"/>
          <w:rFonts w:hint="eastAsia" w:ascii="仿宋_GB2312" w:hAnsi="黑体" w:eastAsia="仿宋_GB2312" w:cs="Times New Roman"/>
          <w:b w:val="0"/>
          <w:color w:val="auto"/>
          <w:spacing w:val="-4"/>
          <w:sz w:val="32"/>
          <w:szCs w:val="32"/>
          <w:highlight w:val="none"/>
          <w:lang w:val="en-US" w:eastAsia="zh-CN"/>
        </w:rPr>
        <w:t>1459.55</w:t>
      </w:r>
      <w:r>
        <w:rPr>
          <w:rStyle w:val="12"/>
          <w:rFonts w:hint="eastAsia" w:ascii="仿宋_GB2312" w:hAnsi="黑体" w:eastAsia="仿宋_GB2312" w:cs="Times New Roman"/>
          <w:b w:val="0"/>
          <w:color w:val="auto"/>
          <w:spacing w:val="-4"/>
          <w:sz w:val="32"/>
          <w:szCs w:val="32"/>
          <w:highlight w:val="none"/>
        </w:rPr>
        <w:t>万元，资金执行数</w:t>
      </w:r>
      <w:r>
        <w:rPr>
          <w:rStyle w:val="12"/>
          <w:rFonts w:hint="eastAsia" w:ascii="仿宋_GB2312" w:hAnsi="黑体" w:eastAsia="仿宋_GB2312" w:cs="Times New Roman"/>
          <w:b w:val="0"/>
          <w:color w:val="auto"/>
          <w:spacing w:val="-4"/>
          <w:sz w:val="32"/>
          <w:szCs w:val="32"/>
          <w:highlight w:val="none"/>
          <w:lang w:val="en-US" w:eastAsia="zh-CN"/>
        </w:rPr>
        <w:t>1332.20</w:t>
      </w:r>
      <w:r>
        <w:rPr>
          <w:rStyle w:val="12"/>
          <w:rFonts w:hint="eastAsia" w:ascii="仿宋_GB2312" w:hAnsi="黑体" w:eastAsia="仿宋_GB2312" w:cs="Times New Roman"/>
          <w:b w:val="0"/>
          <w:color w:val="auto"/>
          <w:spacing w:val="-4"/>
          <w:sz w:val="32"/>
          <w:szCs w:val="32"/>
          <w:highlight w:val="none"/>
        </w:rPr>
        <w:t>万元，执行率</w:t>
      </w:r>
      <w:r>
        <w:rPr>
          <w:rStyle w:val="12"/>
          <w:rFonts w:hint="eastAsia" w:ascii="仿宋_GB2312" w:hAnsi="黑体" w:eastAsia="仿宋_GB2312" w:cs="Times New Roman"/>
          <w:b w:val="0"/>
          <w:color w:val="auto"/>
          <w:spacing w:val="-4"/>
          <w:sz w:val="32"/>
          <w:szCs w:val="32"/>
          <w:highlight w:val="none"/>
          <w:lang w:val="en-US" w:eastAsia="zh-CN"/>
        </w:rPr>
        <w:t>91.3</w:t>
      </w:r>
      <w:r>
        <w:rPr>
          <w:rStyle w:val="12"/>
          <w:rFonts w:hint="eastAsia" w:ascii="仿宋_GB2312" w:hAnsi="黑体" w:eastAsia="仿宋_GB2312" w:cs="Times New Roman"/>
          <w:b w:val="0"/>
          <w:color w:val="auto"/>
          <w:spacing w:val="-4"/>
          <w:sz w:val="32"/>
          <w:szCs w:val="32"/>
          <w:highlight w:val="none"/>
        </w:rPr>
        <w:t>%；资金严格按照《财务管理制度》、《专项资金使用管理制度》、《内部控制管理制度》实行专款专用，在本年度审计和财政监督检查过程中</w:t>
      </w:r>
      <w:r>
        <w:rPr>
          <w:rStyle w:val="12"/>
          <w:rFonts w:hint="eastAsia" w:ascii="仿宋_GB2312" w:hAnsi="黑体" w:eastAsia="仿宋_GB2312" w:cs="Times New Roman"/>
          <w:b w:val="0"/>
          <w:color w:val="auto"/>
          <w:spacing w:val="-4"/>
          <w:sz w:val="32"/>
          <w:szCs w:val="32"/>
          <w:highlight w:val="none"/>
          <w:lang w:val="en-US" w:eastAsia="zh-CN"/>
        </w:rPr>
        <w:t>未</w:t>
      </w:r>
      <w:r>
        <w:rPr>
          <w:rStyle w:val="12"/>
          <w:rFonts w:hint="eastAsia" w:ascii="仿宋_GB2312" w:hAnsi="黑体" w:eastAsia="仿宋_GB2312" w:cs="Times New Roman"/>
          <w:b w:val="0"/>
          <w:color w:val="auto"/>
          <w:spacing w:val="-4"/>
          <w:sz w:val="32"/>
          <w:szCs w:val="32"/>
          <w:highlight w:val="none"/>
        </w:rPr>
        <w:t>发现资金违规使用情况。</w:t>
      </w:r>
    </w:p>
    <w:p>
      <w:pPr>
        <w:spacing w:line="560" w:lineRule="exact"/>
        <w:ind w:firstLine="627" w:firstLineChars="200"/>
        <w:rPr>
          <w:rStyle w:val="12"/>
          <w:rFonts w:ascii="仿宋_GB2312" w:hAnsi="黑体" w:eastAsia="仿宋_GB2312" w:cs="Times New Roman"/>
          <w:bCs w:val="0"/>
          <w:color w:val="auto"/>
          <w:spacing w:val="-4"/>
          <w:sz w:val="32"/>
          <w:szCs w:val="32"/>
          <w:highlight w:val="none"/>
        </w:rPr>
      </w:pPr>
      <w:r>
        <w:rPr>
          <w:rStyle w:val="12"/>
          <w:rFonts w:hint="eastAsia" w:ascii="仿宋_GB2312" w:hAnsi="黑体" w:eastAsia="仿宋_GB2312" w:cs="Times New Roman"/>
          <w:bCs w:val="0"/>
          <w:color w:val="auto"/>
          <w:spacing w:val="-4"/>
          <w:sz w:val="32"/>
          <w:szCs w:val="32"/>
          <w:highlight w:val="none"/>
        </w:rPr>
        <w:t>2．项目实施情况分析</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（1）项目组织情况</w:t>
      </w:r>
    </w:p>
    <w:p>
      <w:pPr>
        <w:spacing w:line="560" w:lineRule="exact"/>
        <w:ind w:firstLine="624" w:firstLineChars="200"/>
        <w:rPr>
          <w:rStyle w:val="12"/>
          <w:rFonts w:ascii="仿宋_GB2312" w:hAnsi="黑体" w:eastAsia="仿宋_GB2312" w:cs="Times New Roman"/>
          <w:b w:val="0"/>
          <w:color w:val="auto"/>
          <w:spacing w:val="-4"/>
          <w:sz w:val="32"/>
          <w:szCs w:val="32"/>
          <w:highlight w:val="none"/>
        </w:rPr>
      </w:pPr>
      <w:r>
        <w:rPr>
          <w:rStyle w:val="12"/>
          <w:rFonts w:hint="eastAsia" w:ascii="仿宋_GB2312" w:hAnsi="黑体" w:eastAsia="仿宋_GB2312" w:cs="Times New Roman"/>
          <w:b w:val="0"/>
          <w:color w:val="auto"/>
          <w:spacing w:val="-4"/>
          <w:sz w:val="32"/>
          <w:szCs w:val="32"/>
          <w:highlight w:val="none"/>
        </w:rPr>
        <w:t>为了规范项目资金分配及使用，明确了项目资金管理的原则，对项目申报、项目的审核和确定、项目的实施和管理、竣工验收、结果公示和资金拨付情况、绩效管理等进行了规范。我单位成立了项目绩效领导小组，明确了分管领导、牵头科室和具体负责人。建立了沟通联系机制，组织调研，明确项目任务，制定项目实施方案。严格按照程序，在财政</w:t>
      </w:r>
      <w:r>
        <w:rPr>
          <w:rStyle w:val="12"/>
          <w:rFonts w:hint="eastAsia" w:ascii="仿宋_GB2312" w:hAnsi="黑体" w:eastAsia="仿宋_GB2312" w:cs="Times New Roman"/>
          <w:b w:val="0"/>
          <w:color w:val="auto"/>
          <w:spacing w:val="-4"/>
          <w:sz w:val="32"/>
          <w:szCs w:val="32"/>
          <w:highlight w:val="none"/>
          <w:lang w:eastAsia="zh-CN"/>
        </w:rPr>
        <w:t>单位</w:t>
      </w:r>
      <w:r>
        <w:rPr>
          <w:rStyle w:val="12"/>
          <w:rFonts w:hint="eastAsia" w:ascii="仿宋_GB2312" w:hAnsi="黑体" w:eastAsia="仿宋_GB2312" w:cs="Times New Roman"/>
          <w:b w:val="0"/>
          <w:color w:val="auto"/>
          <w:spacing w:val="-4"/>
          <w:sz w:val="32"/>
          <w:szCs w:val="32"/>
          <w:highlight w:val="none"/>
        </w:rPr>
        <w:t>的监督下，按监控节点对项目执行情况进行监控，项目完成后，对项目进行绩效评价。</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（2）项目管理情况</w:t>
      </w:r>
    </w:p>
    <w:p>
      <w:pPr>
        <w:spacing w:line="560" w:lineRule="exact"/>
        <w:ind w:firstLine="624" w:firstLineChars="200"/>
        <w:rPr>
          <w:rStyle w:val="12"/>
          <w:rFonts w:ascii="仿宋_GB2312" w:hAnsi="黑体" w:eastAsia="仿宋_GB2312" w:cs="Times New Roman"/>
          <w:b w:val="0"/>
          <w:color w:val="auto"/>
          <w:spacing w:val="-4"/>
          <w:sz w:val="32"/>
          <w:szCs w:val="32"/>
          <w:highlight w:val="none"/>
        </w:rPr>
      </w:pPr>
      <w:r>
        <w:rPr>
          <w:rStyle w:val="12"/>
          <w:rFonts w:hint="eastAsia" w:ascii="仿宋_GB2312" w:hAnsi="黑体" w:eastAsia="仿宋_GB2312" w:cs="Times New Roman"/>
          <w:b w:val="0"/>
          <w:color w:val="auto"/>
          <w:spacing w:val="-4"/>
          <w:sz w:val="32"/>
          <w:szCs w:val="32"/>
          <w:highlight w:val="none"/>
        </w:rPr>
        <w:t>按照项目工作内容、工作措施、工作时限和要达到的预期效果，进一步分解细化，将责任落实到岗位，形成完整的绩效管理工作方案和指标考核评价体系，使</w:t>
      </w:r>
      <w:r>
        <w:rPr>
          <w:rStyle w:val="12"/>
          <w:rFonts w:hint="eastAsia" w:ascii="仿宋_GB2312" w:hAnsi="黑体" w:eastAsia="仿宋_GB2312" w:cs="Times New Roman"/>
          <w:b w:val="0"/>
          <w:color w:val="auto"/>
          <w:spacing w:val="-4"/>
          <w:sz w:val="32"/>
          <w:szCs w:val="32"/>
          <w:highlight w:val="none"/>
          <w:lang w:eastAsia="zh-CN"/>
        </w:rPr>
        <w:t>单位</w:t>
      </w:r>
      <w:r>
        <w:rPr>
          <w:rStyle w:val="12"/>
          <w:rFonts w:hint="eastAsia" w:ascii="仿宋_GB2312" w:hAnsi="黑体" w:eastAsia="仿宋_GB2312" w:cs="Times New Roman"/>
          <w:b w:val="0"/>
          <w:color w:val="auto"/>
          <w:spacing w:val="-4"/>
          <w:sz w:val="32"/>
          <w:szCs w:val="32"/>
          <w:highlight w:val="none"/>
        </w:rPr>
        <w:t>专项工作任务与绩效评价指标紧密结合起来，推动各项工作落实。</w:t>
      </w:r>
    </w:p>
    <w:p>
      <w:pPr>
        <w:spacing w:line="560" w:lineRule="exact"/>
        <w:ind w:firstLine="624" w:firstLineChars="200"/>
        <w:rPr>
          <w:rStyle w:val="12"/>
          <w:rFonts w:ascii="仿宋_GB2312" w:hAnsi="黑体" w:eastAsia="仿宋_GB2312" w:cs="Times New Roman"/>
          <w:b w:val="0"/>
          <w:color w:val="auto"/>
          <w:spacing w:val="-4"/>
          <w:sz w:val="32"/>
          <w:szCs w:val="32"/>
          <w:highlight w:val="none"/>
        </w:rPr>
      </w:pPr>
      <w:r>
        <w:rPr>
          <w:rStyle w:val="12"/>
          <w:rFonts w:hint="eastAsia" w:ascii="仿宋_GB2312" w:hAnsi="黑体" w:eastAsia="仿宋_GB2312" w:cs="Times New Roman"/>
          <w:b w:val="0"/>
          <w:color w:val="auto"/>
          <w:spacing w:val="-4"/>
          <w:sz w:val="32"/>
          <w:szCs w:val="32"/>
          <w:highlight w:val="none"/>
        </w:rPr>
        <w:t>项目负责人根据各业务实际情况，向单位党组提出项目实施申请及具体开展计划措施。经会议研究通过后，根据计划开展工作。</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（3）项目监管情况</w:t>
      </w:r>
    </w:p>
    <w:p>
      <w:pPr>
        <w:spacing w:line="560" w:lineRule="exact"/>
        <w:ind w:firstLine="624" w:firstLineChars="200"/>
        <w:rPr>
          <w:rStyle w:val="12"/>
          <w:rFonts w:ascii="仿宋_GB2312" w:hAnsi="黑体" w:eastAsia="仿宋_GB2312" w:cs="Times New Roman"/>
          <w:b w:val="0"/>
          <w:color w:val="auto"/>
          <w:spacing w:val="-4"/>
          <w:sz w:val="32"/>
          <w:szCs w:val="32"/>
          <w:highlight w:val="none"/>
        </w:rPr>
      </w:pPr>
      <w:r>
        <w:rPr>
          <w:rStyle w:val="12"/>
          <w:rFonts w:hint="eastAsia" w:ascii="仿宋_GB2312" w:hAnsi="黑体" w:eastAsia="仿宋_GB2312" w:cs="Times New Roman"/>
          <w:b w:val="0"/>
          <w:color w:val="auto"/>
          <w:spacing w:val="-4"/>
          <w:sz w:val="32"/>
          <w:szCs w:val="32"/>
          <w:highlight w:val="none"/>
        </w:rPr>
        <w:t>项目经办人、负责人定期对项目执行及资金的使用情况进行自查，重点检查项目资金的使用进度，使用情况、落实情况。财政</w:t>
      </w:r>
      <w:r>
        <w:rPr>
          <w:rStyle w:val="12"/>
          <w:rFonts w:hint="eastAsia" w:ascii="仿宋_GB2312" w:hAnsi="黑体" w:eastAsia="仿宋_GB2312" w:cs="Times New Roman"/>
          <w:b w:val="0"/>
          <w:color w:val="auto"/>
          <w:spacing w:val="-4"/>
          <w:sz w:val="32"/>
          <w:szCs w:val="32"/>
          <w:highlight w:val="none"/>
          <w:lang w:eastAsia="zh-CN"/>
        </w:rPr>
        <w:t>单位</w:t>
      </w:r>
      <w:r>
        <w:rPr>
          <w:rStyle w:val="12"/>
          <w:rFonts w:hint="eastAsia" w:ascii="仿宋_GB2312" w:hAnsi="黑体" w:eastAsia="仿宋_GB2312" w:cs="Times New Roman"/>
          <w:b w:val="0"/>
          <w:color w:val="auto"/>
          <w:spacing w:val="-4"/>
          <w:sz w:val="32"/>
          <w:szCs w:val="32"/>
          <w:highlight w:val="none"/>
        </w:rPr>
        <w:t>及上级主管单位不定期对项目实施开展检查，对发现的问题采取措施，及时纠正，认真处理，强化管理。有效杜绝了项目资金在分配使用过程中违纪现象的发生，保证了项目资金的使用安全。</w:t>
      </w:r>
    </w:p>
    <w:p>
      <w:pPr>
        <w:spacing w:line="560" w:lineRule="exact"/>
        <w:ind w:firstLine="627" w:firstLineChars="200"/>
        <w:rPr>
          <w:rStyle w:val="12"/>
          <w:rFonts w:ascii="仿宋_GB2312" w:hAnsi="黑体" w:eastAsia="仿宋_GB2312" w:cs="Times New Roman"/>
          <w:bCs w:val="0"/>
          <w:color w:val="auto"/>
          <w:spacing w:val="-4"/>
          <w:sz w:val="32"/>
          <w:szCs w:val="32"/>
          <w:highlight w:val="none"/>
        </w:rPr>
      </w:pPr>
      <w:r>
        <w:rPr>
          <w:rStyle w:val="12"/>
          <w:rFonts w:hint="eastAsia" w:ascii="仿宋_GB2312" w:hAnsi="黑体" w:eastAsia="仿宋_GB2312" w:cs="Times New Roman"/>
          <w:bCs w:val="0"/>
          <w:color w:val="auto"/>
          <w:spacing w:val="-4"/>
          <w:sz w:val="32"/>
          <w:szCs w:val="32"/>
          <w:highlight w:val="none"/>
        </w:rPr>
        <w:t>3．项目绩效情况分析</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（1）项目成本控制及节约情况</w:t>
      </w:r>
    </w:p>
    <w:p>
      <w:pPr>
        <w:spacing w:line="560" w:lineRule="exact"/>
        <w:ind w:firstLine="624" w:firstLineChars="200"/>
        <w:rPr>
          <w:rStyle w:val="12"/>
          <w:rFonts w:ascii="仿宋_GB2312" w:hAnsi="黑体" w:eastAsia="仿宋_GB2312" w:cs="Times New Roman"/>
          <w:b w:val="0"/>
          <w:color w:val="auto"/>
          <w:spacing w:val="-4"/>
          <w:sz w:val="32"/>
          <w:szCs w:val="32"/>
          <w:highlight w:val="none"/>
        </w:rPr>
      </w:pPr>
      <w:r>
        <w:rPr>
          <w:rStyle w:val="12"/>
          <w:rFonts w:hint="eastAsia" w:ascii="仿宋_GB2312" w:hAnsi="黑体" w:eastAsia="仿宋_GB2312" w:cs="Times New Roman"/>
          <w:b w:val="0"/>
          <w:color w:val="auto"/>
          <w:spacing w:val="-4"/>
          <w:sz w:val="32"/>
          <w:szCs w:val="32"/>
          <w:highlight w:val="none"/>
        </w:rPr>
        <w:t>成本控制：依据项目预算及《内控制度》，降低成本支出，由财经会上会审议通过相关经费支出，一把手不直接分管财务，严格按照制度规定的标准执行，物品采购严格按照政府采购或者进行招投标程序进行采购组织项目开展，实施成本控制。</w:t>
      </w:r>
    </w:p>
    <w:p>
      <w:pPr>
        <w:spacing w:line="560" w:lineRule="exact"/>
        <w:ind w:firstLine="624" w:firstLineChars="200"/>
        <w:rPr>
          <w:rStyle w:val="12"/>
          <w:rFonts w:ascii="仿宋_GB2312" w:hAnsi="黑体" w:eastAsia="仿宋_GB2312" w:cs="Times New Roman"/>
          <w:b w:val="0"/>
          <w:color w:val="auto"/>
          <w:spacing w:val="-4"/>
          <w:sz w:val="32"/>
          <w:szCs w:val="32"/>
          <w:highlight w:val="none"/>
        </w:rPr>
      </w:pPr>
      <w:r>
        <w:rPr>
          <w:rStyle w:val="12"/>
          <w:rFonts w:hint="eastAsia" w:ascii="仿宋_GB2312" w:hAnsi="黑体" w:eastAsia="仿宋_GB2312" w:cs="Times New Roman"/>
          <w:b w:val="0"/>
          <w:color w:val="auto"/>
          <w:spacing w:val="-4"/>
          <w:sz w:val="32"/>
          <w:szCs w:val="32"/>
          <w:highlight w:val="none"/>
        </w:rPr>
        <w:t>成本节约：我单位</w:t>
      </w:r>
      <w:r>
        <w:rPr>
          <w:rStyle w:val="12"/>
          <w:rFonts w:hint="eastAsia" w:ascii="仿宋_GB2312" w:hAnsi="黑体" w:eastAsia="仿宋_GB2312" w:cs="Times New Roman"/>
          <w:b w:val="0"/>
          <w:color w:val="auto"/>
          <w:spacing w:val="-4"/>
          <w:sz w:val="32"/>
          <w:szCs w:val="32"/>
          <w:highlight w:val="none"/>
          <w:lang w:val="en-US" w:eastAsia="zh-CN"/>
        </w:rPr>
        <w:t>5</w:t>
      </w:r>
      <w:r>
        <w:rPr>
          <w:rStyle w:val="12"/>
          <w:rFonts w:hint="eastAsia" w:ascii="仿宋_GB2312" w:hAnsi="黑体" w:eastAsia="仿宋_GB2312" w:cs="Times New Roman"/>
          <w:b w:val="0"/>
          <w:color w:val="auto"/>
          <w:spacing w:val="-4"/>
          <w:sz w:val="32"/>
          <w:szCs w:val="32"/>
          <w:highlight w:val="none"/>
        </w:rPr>
        <w:t>个项目成本均未超预算，预算执行率达</w:t>
      </w:r>
      <w:r>
        <w:rPr>
          <w:rStyle w:val="12"/>
          <w:rFonts w:hint="eastAsia" w:ascii="仿宋_GB2312" w:hAnsi="黑体" w:eastAsia="仿宋_GB2312" w:cs="Times New Roman"/>
          <w:b w:val="0"/>
          <w:color w:val="auto"/>
          <w:spacing w:val="-4"/>
          <w:sz w:val="32"/>
          <w:szCs w:val="32"/>
          <w:highlight w:val="none"/>
          <w:lang w:val="en-US" w:eastAsia="zh-CN"/>
        </w:rPr>
        <w:t>91.3</w:t>
      </w:r>
      <w:r>
        <w:rPr>
          <w:rStyle w:val="12"/>
          <w:rFonts w:hint="eastAsia" w:ascii="仿宋_GB2312" w:hAnsi="黑体" w:eastAsia="仿宋_GB2312" w:cs="Times New Roman"/>
          <w:b w:val="0"/>
          <w:color w:val="auto"/>
          <w:spacing w:val="-4"/>
          <w:sz w:val="32"/>
          <w:szCs w:val="32"/>
          <w:highlight w:val="none"/>
        </w:rPr>
        <w:t>%。</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（2）项目效率性分析</w:t>
      </w:r>
    </w:p>
    <w:p>
      <w:pPr>
        <w:spacing w:line="560" w:lineRule="exact"/>
        <w:ind w:firstLine="624" w:firstLineChars="200"/>
        <w:rPr>
          <w:rStyle w:val="12"/>
          <w:rFonts w:hint="eastAsia" w:ascii="仿宋_GB2312" w:hAnsi="黑体" w:eastAsia="仿宋_GB2312" w:cs="Times New Roman"/>
          <w:b w:val="0"/>
          <w:color w:val="auto"/>
          <w:spacing w:val="-4"/>
          <w:sz w:val="32"/>
          <w:szCs w:val="32"/>
          <w:highlight w:val="none"/>
        </w:rPr>
      </w:pPr>
      <w:r>
        <w:rPr>
          <w:rStyle w:val="12"/>
          <w:rFonts w:hint="eastAsia" w:ascii="仿宋_GB2312" w:hAnsi="黑体" w:eastAsia="仿宋_GB2312" w:cs="Times New Roman"/>
          <w:b w:val="0"/>
          <w:color w:val="auto"/>
          <w:spacing w:val="-4"/>
          <w:sz w:val="32"/>
          <w:szCs w:val="32"/>
          <w:highlight w:val="none"/>
        </w:rPr>
        <w:t>实施进度：我单位共有</w:t>
      </w:r>
      <w:r>
        <w:rPr>
          <w:rStyle w:val="12"/>
          <w:rFonts w:hint="eastAsia" w:ascii="仿宋_GB2312" w:hAnsi="黑体" w:eastAsia="仿宋_GB2312" w:cs="Times New Roman"/>
          <w:b w:val="0"/>
          <w:color w:val="auto"/>
          <w:spacing w:val="-4"/>
          <w:sz w:val="32"/>
          <w:szCs w:val="32"/>
          <w:highlight w:val="none"/>
          <w:lang w:val="en-US" w:eastAsia="zh-CN"/>
        </w:rPr>
        <w:t>5</w:t>
      </w:r>
      <w:r>
        <w:rPr>
          <w:rStyle w:val="12"/>
          <w:rFonts w:hint="eastAsia" w:ascii="仿宋_GB2312" w:hAnsi="黑体" w:eastAsia="仿宋_GB2312" w:cs="Times New Roman"/>
          <w:b w:val="0"/>
          <w:color w:val="auto"/>
          <w:spacing w:val="-4"/>
          <w:sz w:val="32"/>
          <w:szCs w:val="32"/>
          <w:highlight w:val="none"/>
        </w:rPr>
        <w:t>个项目，</w:t>
      </w:r>
      <w:r>
        <w:rPr>
          <w:rStyle w:val="12"/>
          <w:rFonts w:hint="eastAsia" w:ascii="仿宋_GB2312" w:hAnsi="黑体" w:eastAsia="仿宋_GB2312" w:cs="Times New Roman"/>
          <w:b w:val="0"/>
          <w:color w:val="auto"/>
          <w:spacing w:val="-4"/>
          <w:sz w:val="32"/>
          <w:szCs w:val="32"/>
          <w:highlight w:val="none"/>
          <w:lang w:val="en-US" w:eastAsia="zh-CN"/>
        </w:rPr>
        <w:t>5</w:t>
      </w:r>
      <w:r>
        <w:rPr>
          <w:rStyle w:val="12"/>
          <w:rFonts w:hint="eastAsia" w:ascii="仿宋_GB2312" w:hAnsi="黑体" w:eastAsia="仿宋_GB2312" w:cs="Times New Roman"/>
          <w:b w:val="0"/>
          <w:color w:val="auto"/>
          <w:spacing w:val="-4"/>
          <w:sz w:val="32"/>
          <w:szCs w:val="32"/>
          <w:highlight w:val="none"/>
        </w:rPr>
        <w:t>个项目均在项目计划期间完成，项目按期完成及时率</w:t>
      </w:r>
      <w:r>
        <w:rPr>
          <w:rStyle w:val="12"/>
          <w:rFonts w:hint="eastAsia" w:ascii="仿宋_GB2312" w:hAnsi="黑体" w:eastAsia="仿宋_GB2312" w:cs="Times New Roman"/>
          <w:b w:val="0"/>
          <w:color w:val="auto"/>
          <w:spacing w:val="-4"/>
          <w:sz w:val="32"/>
          <w:szCs w:val="32"/>
          <w:highlight w:val="none"/>
          <w:lang w:val="en-US" w:eastAsia="zh-CN"/>
        </w:rPr>
        <w:t>100</w:t>
      </w:r>
      <w:r>
        <w:rPr>
          <w:rStyle w:val="12"/>
          <w:rFonts w:hint="eastAsia" w:ascii="仿宋_GB2312" w:hAnsi="黑体" w:eastAsia="仿宋_GB2312" w:cs="Times New Roman"/>
          <w:b w:val="0"/>
          <w:color w:val="auto"/>
          <w:spacing w:val="-4"/>
          <w:sz w:val="32"/>
          <w:szCs w:val="32"/>
          <w:highlight w:val="none"/>
        </w:rPr>
        <w:t>%。</w:t>
      </w:r>
    </w:p>
    <w:p>
      <w:pPr>
        <w:spacing w:line="560" w:lineRule="exact"/>
        <w:ind w:firstLine="624" w:firstLineChars="200"/>
        <w:rPr>
          <w:rStyle w:val="12"/>
          <w:rFonts w:ascii="仿宋_GB2312" w:hAnsi="黑体" w:eastAsia="仿宋_GB2312" w:cs="Times New Roman"/>
          <w:b w:val="0"/>
          <w:color w:val="auto"/>
          <w:spacing w:val="-4"/>
          <w:sz w:val="32"/>
          <w:szCs w:val="32"/>
          <w:highlight w:val="none"/>
        </w:rPr>
      </w:pPr>
      <w:r>
        <w:rPr>
          <w:rStyle w:val="12"/>
          <w:rFonts w:hint="eastAsia" w:ascii="仿宋_GB2312" w:hAnsi="黑体" w:eastAsia="仿宋_GB2312" w:cs="Times New Roman"/>
          <w:b w:val="0"/>
          <w:color w:val="auto"/>
          <w:spacing w:val="-4"/>
          <w:sz w:val="32"/>
          <w:szCs w:val="32"/>
          <w:highlight w:val="none"/>
        </w:rPr>
        <w:t>完成质量：我单位共有</w:t>
      </w:r>
      <w:r>
        <w:rPr>
          <w:rStyle w:val="12"/>
          <w:rFonts w:hint="eastAsia" w:ascii="仿宋_GB2312" w:hAnsi="黑体" w:eastAsia="仿宋_GB2312" w:cs="Times New Roman"/>
          <w:b w:val="0"/>
          <w:color w:val="auto"/>
          <w:spacing w:val="-4"/>
          <w:sz w:val="32"/>
          <w:szCs w:val="32"/>
          <w:highlight w:val="none"/>
          <w:lang w:val="en-US" w:eastAsia="zh-CN"/>
        </w:rPr>
        <w:t>5</w:t>
      </w:r>
      <w:r>
        <w:rPr>
          <w:rStyle w:val="12"/>
          <w:rFonts w:hint="eastAsia" w:ascii="仿宋_GB2312" w:hAnsi="黑体" w:eastAsia="仿宋_GB2312" w:cs="Times New Roman"/>
          <w:b w:val="0"/>
          <w:color w:val="auto"/>
          <w:spacing w:val="-4"/>
          <w:sz w:val="32"/>
          <w:szCs w:val="32"/>
          <w:highlight w:val="none"/>
        </w:rPr>
        <w:t>个项目，</w:t>
      </w:r>
      <w:r>
        <w:rPr>
          <w:rStyle w:val="12"/>
          <w:rFonts w:hint="eastAsia" w:ascii="仿宋_GB2312" w:hAnsi="黑体" w:eastAsia="仿宋_GB2312" w:cs="Times New Roman"/>
          <w:b w:val="0"/>
          <w:color w:val="auto"/>
          <w:spacing w:val="-4"/>
          <w:sz w:val="32"/>
          <w:szCs w:val="32"/>
          <w:highlight w:val="none"/>
          <w:lang w:val="en-US" w:eastAsia="zh-CN"/>
        </w:rPr>
        <w:t>5</w:t>
      </w:r>
      <w:r>
        <w:rPr>
          <w:rStyle w:val="12"/>
          <w:rFonts w:hint="eastAsia" w:ascii="仿宋_GB2312" w:hAnsi="黑体" w:eastAsia="仿宋_GB2312" w:cs="Times New Roman"/>
          <w:b w:val="0"/>
          <w:color w:val="auto"/>
          <w:spacing w:val="-4"/>
          <w:sz w:val="32"/>
          <w:szCs w:val="32"/>
          <w:highlight w:val="none"/>
        </w:rPr>
        <w:t>个项目均验收完成，验收合格率</w:t>
      </w:r>
      <w:r>
        <w:rPr>
          <w:rStyle w:val="12"/>
          <w:rFonts w:hint="eastAsia" w:ascii="仿宋_GB2312" w:hAnsi="黑体" w:eastAsia="仿宋_GB2312" w:cs="Times New Roman"/>
          <w:b w:val="0"/>
          <w:color w:val="auto"/>
          <w:spacing w:val="-4"/>
          <w:sz w:val="32"/>
          <w:szCs w:val="32"/>
          <w:highlight w:val="none"/>
          <w:lang w:val="en-US" w:eastAsia="zh-CN"/>
        </w:rPr>
        <w:t>100</w:t>
      </w:r>
      <w:r>
        <w:rPr>
          <w:rStyle w:val="12"/>
          <w:rFonts w:hint="eastAsia" w:ascii="仿宋_GB2312" w:hAnsi="黑体" w:eastAsia="仿宋_GB2312" w:cs="Times New Roman"/>
          <w:b w:val="0"/>
          <w:color w:val="auto"/>
          <w:spacing w:val="-4"/>
          <w:sz w:val="32"/>
          <w:szCs w:val="32"/>
          <w:highlight w:val="none"/>
        </w:rPr>
        <w:t>%。</w:t>
      </w:r>
    </w:p>
    <w:p>
      <w:pPr>
        <w:numPr>
          <w:ilvl w:val="0"/>
          <w:numId w:val="3"/>
        </w:numPr>
        <w:spacing w:line="560" w:lineRule="exact"/>
        <w:ind w:firstLine="640" w:firstLineChars="200"/>
        <w:rPr>
          <w:rFonts w:hint="eastAsia"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项目效益性分析</w:t>
      </w:r>
    </w:p>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方正楷体简体" w:eastAsia="仿宋_GB2312" w:cs="宋体"/>
          <w:color w:val="auto"/>
          <w:sz w:val="32"/>
          <w:szCs w:val="32"/>
          <w:highlight w:val="none"/>
        </w:rPr>
        <w:t>202</w:t>
      </w:r>
      <w:r>
        <w:rPr>
          <w:rFonts w:hint="eastAsia" w:ascii="仿宋_GB2312" w:hAnsi="方正楷体简体" w:eastAsia="仿宋_GB2312" w:cs="宋体"/>
          <w:color w:val="auto"/>
          <w:sz w:val="32"/>
          <w:szCs w:val="32"/>
          <w:highlight w:val="none"/>
          <w:lang w:val="en-US" w:eastAsia="zh-CN"/>
        </w:rPr>
        <w:t>1</w:t>
      </w:r>
      <w:r>
        <w:rPr>
          <w:rFonts w:hint="eastAsia" w:ascii="仿宋_GB2312" w:hAnsi="方正楷体简体" w:eastAsia="仿宋_GB2312" w:cs="宋体"/>
          <w:color w:val="auto"/>
          <w:sz w:val="32"/>
          <w:szCs w:val="32"/>
          <w:highlight w:val="none"/>
        </w:rPr>
        <w:t>年度本单位实</w:t>
      </w:r>
      <w:r>
        <w:rPr>
          <w:rStyle w:val="12"/>
          <w:rFonts w:hint="eastAsia" w:ascii="仿宋_GB2312" w:hAnsi="黑体" w:eastAsia="仿宋_GB2312" w:cs="Times New Roman"/>
          <w:b w:val="0"/>
          <w:color w:val="auto"/>
          <w:spacing w:val="-4"/>
          <w:sz w:val="32"/>
          <w:szCs w:val="32"/>
          <w:highlight w:val="none"/>
        </w:rPr>
        <w:t>施</w:t>
      </w:r>
      <w:r>
        <w:rPr>
          <w:rStyle w:val="12"/>
          <w:rFonts w:hint="eastAsia" w:ascii="仿宋_GB2312" w:hAnsi="黑体" w:eastAsia="仿宋_GB2312" w:cs="Times New Roman"/>
          <w:b w:val="0"/>
          <w:color w:val="auto"/>
          <w:spacing w:val="-4"/>
          <w:sz w:val="32"/>
          <w:szCs w:val="32"/>
          <w:highlight w:val="none"/>
          <w:lang w:val="en-US" w:eastAsia="zh-CN"/>
        </w:rPr>
        <w:t>5</w:t>
      </w:r>
      <w:r>
        <w:rPr>
          <w:rStyle w:val="12"/>
          <w:rFonts w:hint="eastAsia" w:ascii="仿宋_GB2312" w:hAnsi="黑体" w:eastAsia="仿宋_GB2312" w:cs="Times New Roman"/>
          <w:b w:val="0"/>
          <w:color w:val="auto"/>
          <w:spacing w:val="-4"/>
          <w:sz w:val="32"/>
          <w:szCs w:val="32"/>
          <w:highlight w:val="none"/>
        </w:rPr>
        <w:t>个项目，通过项目的实施带来的效益：</w:t>
      </w:r>
      <w:r>
        <w:rPr>
          <w:rFonts w:hint="eastAsia" w:ascii="仿宋_GB2312" w:hAnsi="仿宋_GB2312" w:eastAsia="仿宋_GB2312" w:cs="仿宋_GB2312"/>
          <w:color w:val="auto"/>
          <w:sz w:val="32"/>
          <w:szCs w:val="32"/>
          <w:highlight w:val="none"/>
          <w:shd w:val="clear" w:color="auto" w:fill="FFFFFF"/>
        </w:rPr>
        <w:t>充分激发市场自主制定标准的活力，完善企业标准“领跑者”和企业标准自我声明公开制度，做好企业标准监督检查</w:t>
      </w:r>
      <w:r>
        <w:rPr>
          <w:rFonts w:hint="eastAsia" w:ascii="仿宋_GB2312" w:hAnsi="仿宋_GB2312" w:eastAsia="仿宋_GB2312" w:cs="仿宋_GB2312"/>
          <w:color w:val="auto"/>
          <w:sz w:val="32"/>
          <w:szCs w:val="32"/>
          <w:highlight w:val="none"/>
          <w:shd w:val="clear" w:color="auto" w:fill="FFFFFF"/>
          <w:lang w:eastAsia="zh-CN"/>
        </w:rPr>
        <w:t>；</w:t>
      </w:r>
      <w:r>
        <w:rPr>
          <w:rFonts w:hint="eastAsia" w:ascii="仿宋_GB2312" w:hAnsi="仿宋_GB2312" w:eastAsia="仿宋_GB2312" w:cs="仿宋_GB2312"/>
          <w:color w:val="auto"/>
          <w:sz w:val="32"/>
          <w:szCs w:val="32"/>
          <w:highlight w:val="none"/>
          <w:shd w:val="clear" w:color="auto" w:fill="FFFFFF"/>
        </w:rPr>
        <w:t>加强药品高风险企业、民营医疗机构等重点对象，冷冻冷藏药品、疫苗等重点品种，药品购进渠道、处方药销售等重点环节的监管</w:t>
      </w:r>
      <w:r>
        <w:rPr>
          <w:rFonts w:hint="eastAsia" w:ascii="仿宋_GB2312" w:hAnsi="仿宋_GB2312" w:eastAsia="仿宋_GB2312" w:cs="仿宋_GB2312"/>
          <w:color w:val="auto"/>
          <w:sz w:val="32"/>
          <w:szCs w:val="32"/>
          <w:highlight w:val="none"/>
          <w:shd w:val="clear" w:color="auto" w:fill="FFFFFF"/>
          <w:lang w:eastAsia="zh-CN"/>
        </w:rPr>
        <w:t>；</w:t>
      </w:r>
      <w:r>
        <w:rPr>
          <w:rFonts w:hint="eastAsia" w:ascii="仿宋_GB2312" w:hAnsi="仿宋_GB2312" w:eastAsia="仿宋_GB2312" w:cs="仿宋_GB2312"/>
          <w:color w:val="auto"/>
          <w:sz w:val="32"/>
          <w:szCs w:val="32"/>
          <w:highlight w:val="none"/>
          <w:shd w:val="clear" w:color="auto" w:fill="FFFFFF"/>
        </w:rPr>
        <w:t>强化</w:t>
      </w:r>
      <w:r>
        <w:rPr>
          <w:rFonts w:hint="eastAsia" w:ascii="仿宋_GB2312" w:hAnsi="仿宋_GB2312" w:eastAsia="仿宋_GB2312" w:cs="仿宋_GB2312"/>
          <w:color w:val="auto"/>
          <w:sz w:val="32"/>
          <w:szCs w:val="32"/>
          <w:highlight w:val="none"/>
          <w:shd w:val="clear" w:color="auto" w:fill="FFFFFF"/>
          <w:lang w:eastAsia="zh-CN"/>
        </w:rPr>
        <w:t>了</w:t>
      </w:r>
      <w:r>
        <w:rPr>
          <w:rFonts w:hint="eastAsia" w:ascii="仿宋_GB2312" w:hAnsi="仿宋_GB2312" w:eastAsia="仿宋_GB2312" w:cs="仿宋_GB2312"/>
          <w:color w:val="auto"/>
          <w:sz w:val="32"/>
          <w:szCs w:val="32"/>
          <w:highlight w:val="none"/>
          <w:shd w:val="clear" w:color="auto" w:fill="FFFFFF"/>
        </w:rPr>
        <w:t>对各类食品生产经营主体的监督检查及宣传教育，提升食品安全主体责任意识。</w:t>
      </w:r>
    </w:p>
    <w:p>
      <w:pPr>
        <w:pStyle w:val="14"/>
        <w:spacing w:line="560" w:lineRule="exact"/>
        <w:ind w:firstLine="624"/>
        <w:rPr>
          <w:rStyle w:val="12"/>
          <w:rFonts w:ascii="黑体" w:hAnsi="黑体" w:eastAsia="黑体" w:cs="Times New Roman"/>
          <w:b w:val="0"/>
          <w:color w:val="auto"/>
          <w:spacing w:val="-4"/>
          <w:sz w:val="32"/>
          <w:szCs w:val="32"/>
          <w:highlight w:val="none"/>
        </w:rPr>
      </w:pPr>
      <w:r>
        <w:rPr>
          <w:rStyle w:val="12"/>
          <w:rFonts w:hint="eastAsia" w:ascii="黑体" w:hAnsi="黑体" w:eastAsia="黑体" w:cs="Times New Roman"/>
          <w:b w:val="0"/>
          <w:color w:val="auto"/>
          <w:spacing w:val="-4"/>
          <w:sz w:val="32"/>
          <w:szCs w:val="32"/>
          <w:highlight w:val="none"/>
        </w:rPr>
        <w:t>四、资产管理情况</w:t>
      </w:r>
    </w:p>
    <w:p>
      <w:pPr>
        <w:spacing w:line="560" w:lineRule="exact"/>
        <w:ind w:firstLine="624" w:firstLineChars="200"/>
        <w:rPr>
          <w:rStyle w:val="12"/>
          <w:rFonts w:ascii="楷体" w:hAnsi="楷体" w:eastAsia="楷体" w:cs="Times New Roman"/>
          <w:b w:val="0"/>
          <w:bCs w:val="0"/>
          <w:color w:val="auto"/>
          <w:spacing w:val="-4"/>
          <w:sz w:val="32"/>
          <w:szCs w:val="32"/>
          <w:highlight w:val="none"/>
        </w:rPr>
      </w:pPr>
      <w:r>
        <w:rPr>
          <w:rStyle w:val="12"/>
          <w:rFonts w:hint="eastAsia" w:ascii="楷体" w:hAnsi="楷体" w:eastAsia="楷体" w:cs="Times New Roman"/>
          <w:b w:val="0"/>
          <w:bCs w:val="0"/>
          <w:color w:val="auto"/>
          <w:spacing w:val="-4"/>
          <w:sz w:val="32"/>
          <w:szCs w:val="32"/>
          <w:highlight w:val="none"/>
        </w:rPr>
        <w:t>（一）资产管理体制和制度建设方面</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p>
    <w:p>
      <w:pPr>
        <w:spacing w:line="560" w:lineRule="exact"/>
        <w:ind w:firstLine="624" w:firstLineChars="200"/>
        <w:rPr>
          <w:rStyle w:val="12"/>
          <w:rFonts w:ascii="楷体" w:hAnsi="楷体" w:eastAsia="楷体" w:cs="Times New Roman"/>
          <w:b w:val="0"/>
          <w:bCs w:val="0"/>
          <w:color w:val="auto"/>
          <w:spacing w:val="-4"/>
          <w:sz w:val="32"/>
          <w:szCs w:val="32"/>
          <w:highlight w:val="none"/>
        </w:rPr>
      </w:pPr>
      <w:r>
        <w:rPr>
          <w:rStyle w:val="12"/>
          <w:rFonts w:hint="eastAsia" w:ascii="楷体" w:hAnsi="楷体" w:eastAsia="楷体" w:cs="Times New Roman"/>
          <w:b w:val="0"/>
          <w:bCs w:val="0"/>
          <w:color w:val="auto"/>
          <w:spacing w:val="-4"/>
          <w:sz w:val="32"/>
          <w:szCs w:val="32"/>
          <w:highlight w:val="none"/>
        </w:rPr>
        <w:t>（二）运行机制和管理方式</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资产管理由财务</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p>
    <w:p>
      <w:pPr>
        <w:spacing w:line="560" w:lineRule="exact"/>
        <w:ind w:firstLine="624" w:firstLineChars="200"/>
        <w:rPr>
          <w:rStyle w:val="12"/>
          <w:rFonts w:ascii="楷体" w:hAnsi="楷体" w:eastAsia="楷体" w:cs="Times New Roman"/>
          <w:b w:val="0"/>
          <w:bCs w:val="0"/>
          <w:color w:val="auto"/>
          <w:spacing w:val="-4"/>
          <w:sz w:val="32"/>
          <w:szCs w:val="32"/>
          <w:highlight w:val="none"/>
        </w:rPr>
      </w:pPr>
      <w:r>
        <w:rPr>
          <w:rStyle w:val="12"/>
          <w:rFonts w:hint="eastAsia" w:ascii="楷体" w:hAnsi="楷体" w:eastAsia="楷体" w:cs="Times New Roman"/>
          <w:b w:val="0"/>
          <w:bCs w:val="0"/>
          <w:color w:val="auto"/>
          <w:spacing w:val="-4"/>
          <w:sz w:val="32"/>
          <w:szCs w:val="32"/>
          <w:highlight w:val="none"/>
        </w:rPr>
        <w:t>（三）信息化建设方面</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p>
    <w:p>
      <w:pPr>
        <w:spacing w:line="560" w:lineRule="exact"/>
        <w:ind w:firstLine="624" w:firstLineChars="200"/>
        <w:rPr>
          <w:rStyle w:val="12"/>
          <w:rFonts w:ascii="楷体" w:hAnsi="楷体" w:eastAsia="楷体" w:cs="Times New Roman"/>
          <w:b w:val="0"/>
          <w:bCs w:val="0"/>
          <w:color w:val="auto"/>
          <w:spacing w:val="-4"/>
          <w:sz w:val="32"/>
          <w:szCs w:val="32"/>
          <w:highlight w:val="none"/>
        </w:rPr>
      </w:pPr>
      <w:r>
        <w:rPr>
          <w:rStyle w:val="12"/>
          <w:rFonts w:hint="eastAsia" w:ascii="楷体" w:hAnsi="楷体" w:eastAsia="楷体" w:cs="Times New Roman"/>
          <w:b w:val="0"/>
          <w:bCs w:val="0"/>
          <w:color w:val="auto"/>
          <w:spacing w:val="-4"/>
          <w:sz w:val="32"/>
          <w:szCs w:val="32"/>
          <w:highlight w:val="none"/>
        </w:rPr>
        <w:t>（四）流动资产的管理</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流动资产严格按照我单位内控体系要求进行管理，无备用金，单位货币资金管理由财务科每月与银行进行对帐，并填写银行余额调节表。</w:t>
      </w:r>
    </w:p>
    <w:p>
      <w:pPr>
        <w:pStyle w:val="7"/>
        <w:widowControl/>
        <w:spacing w:before="0" w:beforeAutospacing="0" w:after="0" w:afterAutospacing="0" w:line="560" w:lineRule="exact"/>
        <w:ind w:firstLine="624" w:firstLineChars="200"/>
        <w:jc w:val="both"/>
        <w:rPr>
          <w:rStyle w:val="12"/>
          <w:rFonts w:ascii="楷体" w:hAnsi="楷体" w:eastAsia="楷体"/>
          <w:b w:val="0"/>
          <w:bCs w:val="0"/>
          <w:color w:val="auto"/>
          <w:spacing w:val="-4"/>
          <w:sz w:val="32"/>
          <w:szCs w:val="32"/>
          <w:highlight w:val="none"/>
        </w:rPr>
      </w:pPr>
      <w:r>
        <w:rPr>
          <w:rStyle w:val="12"/>
          <w:rFonts w:hint="eastAsia" w:ascii="楷体" w:hAnsi="楷体" w:eastAsia="楷体"/>
          <w:b w:val="0"/>
          <w:bCs w:val="0"/>
          <w:color w:val="auto"/>
          <w:spacing w:val="-4"/>
          <w:sz w:val="32"/>
          <w:szCs w:val="32"/>
          <w:highlight w:val="none"/>
        </w:rPr>
        <w:t>（五）固定资产的管理</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本单位的资产管理详细按照的相关要求执行,符合财政</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要求。每年年末定时对我单位的固定资产进行盘点，对盘点过程中发生的盈亏，进行原因查找，并上报单位党组研究决策，再上报财政国有资产管理科进行申报再行处理。</w:t>
      </w:r>
    </w:p>
    <w:p>
      <w:pPr>
        <w:pStyle w:val="14"/>
        <w:spacing w:line="560" w:lineRule="exact"/>
        <w:ind w:firstLine="624"/>
        <w:rPr>
          <w:rStyle w:val="12"/>
          <w:rFonts w:ascii="黑体" w:hAnsi="黑体" w:eastAsia="黑体" w:cs="Times New Roman"/>
          <w:b w:val="0"/>
          <w:color w:val="auto"/>
          <w:spacing w:val="-4"/>
          <w:sz w:val="32"/>
          <w:szCs w:val="32"/>
          <w:highlight w:val="none"/>
        </w:rPr>
      </w:pPr>
      <w:r>
        <w:rPr>
          <w:rStyle w:val="12"/>
          <w:rFonts w:hint="eastAsia" w:ascii="黑体" w:hAnsi="黑体" w:eastAsia="黑体" w:cs="Times New Roman"/>
          <w:b w:val="0"/>
          <w:color w:val="auto"/>
          <w:spacing w:val="-4"/>
          <w:sz w:val="32"/>
          <w:szCs w:val="32"/>
          <w:highlight w:val="none"/>
        </w:rPr>
        <w:t>五、</w:t>
      </w:r>
      <w:r>
        <w:rPr>
          <w:rStyle w:val="12"/>
          <w:rFonts w:hint="eastAsia" w:ascii="黑体" w:hAnsi="黑体" w:eastAsia="黑体" w:cs="Times New Roman"/>
          <w:b w:val="0"/>
          <w:color w:val="auto"/>
          <w:spacing w:val="-4"/>
          <w:sz w:val="32"/>
          <w:szCs w:val="32"/>
          <w:highlight w:val="none"/>
          <w:lang w:eastAsia="zh-CN"/>
        </w:rPr>
        <w:t>单位</w:t>
      </w:r>
      <w:r>
        <w:rPr>
          <w:rStyle w:val="12"/>
          <w:rFonts w:hint="eastAsia" w:ascii="黑体" w:hAnsi="黑体" w:eastAsia="黑体" w:cs="Times New Roman"/>
          <w:b w:val="0"/>
          <w:color w:val="auto"/>
          <w:spacing w:val="-4"/>
          <w:sz w:val="32"/>
          <w:szCs w:val="32"/>
          <w:highlight w:val="none"/>
        </w:rPr>
        <w:t>整体支出绩效情况</w:t>
      </w:r>
    </w:p>
    <w:p>
      <w:pPr>
        <w:spacing w:line="560" w:lineRule="exact"/>
        <w:ind w:firstLine="640" w:firstLineChars="200"/>
        <w:rPr>
          <w:rFonts w:hint="eastAsia"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lang w:eastAsia="zh-CN"/>
        </w:rPr>
        <w:t>单位</w:t>
      </w:r>
      <w:r>
        <w:rPr>
          <w:rFonts w:hint="eastAsia" w:ascii="仿宋_GB2312" w:hAnsi="仿宋" w:eastAsia="仿宋_GB2312" w:cs="Times New Roman"/>
          <w:bCs/>
          <w:color w:val="auto"/>
          <w:sz w:val="32"/>
          <w:szCs w:val="32"/>
          <w:highlight w:val="none"/>
        </w:rPr>
        <w:t>整体支出共设置一级指标3个，二级指标</w:t>
      </w:r>
      <w:r>
        <w:rPr>
          <w:rFonts w:hint="eastAsia" w:ascii="仿宋_GB2312" w:hAnsi="仿宋" w:eastAsia="仿宋_GB2312" w:cs="Times New Roman"/>
          <w:bCs/>
          <w:color w:val="auto"/>
          <w:sz w:val="32"/>
          <w:szCs w:val="32"/>
          <w:highlight w:val="none"/>
          <w:lang w:val="en-US" w:eastAsia="zh-CN"/>
        </w:rPr>
        <w:t>7</w:t>
      </w:r>
      <w:r>
        <w:rPr>
          <w:rFonts w:hint="eastAsia" w:ascii="仿宋_GB2312" w:hAnsi="仿宋" w:eastAsia="仿宋_GB2312" w:cs="Times New Roman"/>
          <w:bCs/>
          <w:color w:val="auto"/>
          <w:sz w:val="32"/>
          <w:szCs w:val="32"/>
          <w:highlight w:val="none"/>
        </w:rPr>
        <w:t>个，三级指标</w:t>
      </w:r>
      <w:r>
        <w:rPr>
          <w:rFonts w:hint="eastAsia" w:ascii="仿宋_GB2312" w:hAnsi="仿宋" w:eastAsia="仿宋_GB2312" w:cs="Times New Roman"/>
          <w:bCs/>
          <w:color w:val="auto"/>
          <w:sz w:val="32"/>
          <w:szCs w:val="32"/>
          <w:highlight w:val="none"/>
          <w:lang w:val="en-US" w:eastAsia="zh-CN"/>
        </w:rPr>
        <w:t>21</w:t>
      </w:r>
      <w:r>
        <w:rPr>
          <w:rFonts w:hint="eastAsia" w:ascii="仿宋_GB2312" w:hAnsi="仿宋" w:eastAsia="仿宋_GB2312" w:cs="Times New Roman"/>
          <w:bCs/>
          <w:color w:val="auto"/>
          <w:sz w:val="32"/>
          <w:szCs w:val="32"/>
          <w:highlight w:val="none"/>
        </w:rPr>
        <w:t>个，其中已完成三级指标</w:t>
      </w:r>
      <w:r>
        <w:rPr>
          <w:rFonts w:hint="eastAsia" w:ascii="仿宋_GB2312" w:hAnsi="仿宋" w:eastAsia="仿宋_GB2312" w:cs="Times New Roman"/>
          <w:bCs/>
          <w:color w:val="auto"/>
          <w:sz w:val="32"/>
          <w:szCs w:val="32"/>
          <w:highlight w:val="none"/>
          <w:lang w:val="en-US" w:eastAsia="zh-CN"/>
        </w:rPr>
        <w:t>20</w:t>
      </w:r>
      <w:r>
        <w:rPr>
          <w:rFonts w:hint="eastAsia" w:ascii="仿宋_GB2312" w:hAnsi="仿宋" w:eastAsia="仿宋_GB2312" w:cs="Times New Roman"/>
          <w:bCs/>
          <w:color w:val="auto"/>
          <w:sz w:val="32"/>
          <w:szCs w:val="32"/>
          <w:highlight w:val="none"/>
        </w:rPr>
        <w:t>个，指标完成率为</w:t>
      </w:r>
      <w:r>
        <w:rPr>
          <w:rFonts w:hint="eastAsia" w:ascii="仿宋_GB2312" w:hAnsi="仿宋" w:eastAsia="仿宋_GB2312" w:cs="Times New Roman"/>
          <w:bCs/>
          <w:color w:val="auto"/>
          <w:sz w:val="32"/>
          <w:szCs w:val="32"/>
          <w:highlight w:val="none"/>
          <w:lang w:val="en-US" w:eastAsia="zh-CN"/>
        </w:rPr>
        <w:t>95.2</w:t>
      </w:r>
      <w:r>
        <w:rPr>
          <w:rFonts w:hint="eastAsia" w:ascii="仿宋_GB2312" w:hAnsi="仿宋" w:eastAsia="仿宋_GB2312" w:cs="Times New Roman"/>
          <w:bCs/>
          <w:color w:val="auto"/>
          <w:sz w:val="32"/>
          <w:szCs w:val="32"/>
          <w:highlight w:val="none"/>
        </w:rPr>
        <w:t>%。</w:t>
      </w:r>
    </w:p>
    <w:p>
      <w:pPr>
        <w:spacing w:line="560" w:lineRule="exact"/>
        <w:ind w:firstLine="627" w:firstLineChars="200"/>
        <w:rPr>
          <w:rFonts w:hint="eastAsia" w:ascii="仿宋_GB2312" w:hAnsi="楷体" w:eastAsia="仿宋_GB2312"/>
          <w:b/>
          <w:color w:val="auto"/>
          <w:spacing w:val="-4"/>
          <w:sz w:val="32"/>
          <w:szCs w:val="32"/>
          <w:highlight w:val="none"/>
        </w:rPr>
      </w:pPr>
      <w:r>
        <w:rPr>
          <w:rFonts w:hint="eastAsia" w:ascii="仿宋_GB2312" w:hAnsi="楷体" w:eastAsia="仿宋_GB2312"/>
          <w:b/>
          <w:color w:val="auto"/>
          <w:spacing w:val="-4"/>
          <w:sz w:val="32"/>
          <w:szCs w:val="32"/>
          <w:highlight w:val="none"/>
        </w:rPr>
        <w:t>1．产出指标完成情况分析</w:t>
      </w:r>
    </w:p>
    <w:p>
      <w:pPr>
        <w:spacing w:line="560" w:lineRule="exact"/>
        <w:ind w:firstLine="624" w:firstLineChars="200"/>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（1）项目完成数量</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保障单位干部职工工资正常发放人数（</w:t>
      </w:r>
      <w:r>
        <w:rPr>
          <w:rFonts w:hint="eastAsia" w:ascii="仿宋_GB2312" w:hAnsi="仿宋" w:eastAsia="仿宋_GB2312"/>
          <w:color w:val="auto"/>
          <w:sz w:val="32"/>
          <w:szCs w:val="32"/>
          <w:highlight w:val="none"/>
          <w:lang w:eastAsia="zh-CN"/>
        </w:rPr>
        <w:t>人</w:t>
      </w:r>
      <w:r>
        <w:rPr>
          <w:rFonts w:hint="eastAsia" w:ascii="仿宋_GB2312" w:hAnsi="仿宋" w:eastAsia="仿宋_GB2312"/>
          <w:color w:val="auto"/>
          <w:sz w:val="32"/>
          <w:szCs w:val="32"/>
          <w:highlight w:val="none"/>
        </w:rPr>
        <w:t>），预期指标</w:t>
      </w:r>
      <w:r>
        <w:rPr>
          <w:rFonts w:hint="eastAsia" w:ascii="仿宋_GB2312" w:hAnsi="仿宋" w:eastAsia="仿宋_GB2312"/>
          <w:color w:val="auto"/>
          <w:sz w:val="32"/>
          <w:szCs w:val="32"/>
          <w:highlight w:val="none"/>
          <w:lang w:eastAsia="zh-CN"/>
        </w:rPr>
        <w:t>是</w:t>
      </w:r>
      <w:r>
        <w:rPr>
          <w:rFonts w:hint="eastAsia" w:ascii="仿宋_GB2312" w:hAnsi="仿宋" w:eastAsia="仿宋_GB2312"/>
          <w:color w:val="auto"/>
          <w:sz w:val="32"/>
          <w:szCs w:val="32"/>
          <w:highlight w:val="none"/>
          <w:lang w:val="en-US" w:eastAsia="zh-CN"/>
        </w:rPr>
        <w:t>105人</w:t>
      </w:r>
      <w:r>
        <w:rPr>
          <w:rFonts w:hint="eastAsia" w:ascii="仿宋_GB2312" w:hAnsi="仿宋" w:eastAsia="仿宋_GB2312"/>
          <w:color w:val="auto"/>
          <w:sz w:val="32"/>
          <w:szCs w:val="32"/>
          <w:highlight w:val="none"/>
        </w:rPr>
        <w:t>，实际完成值是</w:t>
      </w:r>
      <w:r>
        <w:rPr>
          <w:rFonts w:hint="eastAsia" w:ascii="仿宋_GB2312" w:hAnsi="仿宋" w:eastAsia="仿宋_GB2312"/>
          <w:color w:val="auto"/>
          <w:sz w:val="32"/>
          <w:szCs w:val="32"/>
          <w:highlight w:val="none"/>
          <w:lang w:val="en-US" w:eastAsia="zh-CN"/>
        </w:rPr>
        <w:t>105人</w:t>
      </w:r>
      <w:r>
        <w:rPr>
          <w:rFonts w:hint="eastAsia" w:ascii="仿宋_GB2312" w:hAnsi="仿宋" w:eastAsia="仿宋_GB2312"/>
          <w:color w:val="auto"/>
          <w:sz w:val="32"/>
          <w:szCs w:val="32"/>
          <w:highlight w:val="none"/>
        </w:rPr>
        <w:t>，指标完成率是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达到预期目标。</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保障车辆运转数量，预期指标</w:t>
      </w:r>
      <w:r>
        <w:rPr>
          <w:rFonts w:hint="eastAsia" w:ascii="仿宋_GB2312" w:hAnsi="仿宋" w:eastAsia="仿宋_GB2312"/>
          <w:color w:val="auto"/>
          <w:sz w:val="32"/>
          <w:szCs w:val="32"/>
          <w:highlight w:val="none"/>
          <w:lang w:eastAsia="zh-CN"/>
        </w:rPr>
        <w:t>是</w:t>
      </w:r>
      <w:r>
        <w:rPr>
          <w:rFonts w:hint="eastAsia" w:ascii="仿宋_GB2312" w:hAnsi="仿宋" w:eastAsia="仿宋_GB2312"/>
          <w:color w:val="auto"/>
          <w:sz w:val="32"/>
          <w:szCs w:val="32"/>
          <w:highlight w:val="none"/>
          <w:lang w:val="en-US" w:eastAsia="zh-CN"/>
        </w:rPr>
        <w:t>15辆</w:t>
      </w:r>
      <w:r>
        <w:rPr>
          <w:rFonts w:hint="eastAsia" w:ascii="仿宋_GB2312" w:hAnsi="仿宋" w:eastAsia="仿宋_GB2312"/>
          <w:color w:val="auto"/>
          <w:sz w:val="32"/>
          <w:szCs w:val="32"/>
          <w:highlight w:val="none"/>
        </w:rPr>
        <w:t>，实际完成值是</w:t>
      </w:r>
      <w:r>
        <w:rPr>
          <w:rFonts w:hint="eastAsia" w:ascii="仿宋_GB2312" w:hAnsi="仿宋" w:eastAsia="仿宋_GB2312"/>
          <w:color w:val="auto"/>
          <w:sz w:val="32"/>
          <w:szCs w:val="32"/>
          <w:highlight w:val="none"/>
          <w:lang w:val="en-US" w:eastAsia="zh-CN"/>
        </w:rPr>
        <w:t>15辆</w:t>
      </w:r>
      <w:r>
        <w:rPr>
          <w:rFonts w:hint="eastAsia" w:ascii="仿宋_GB2312" w:hAnsi="仿宋" w:eastAsia="仿宋_GB2312"/>
          <w:color w:val="auto"/>
          <w:sz w:val="32"/>
          <w:szCs w:val="32"/>
          <w:highlight w:val="none"/>
        </w:rPr>
        <w:t>，指标完成率是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达到预期目标。</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保障部门预算项目数，预期指标</w:t>
      </w:r>
      <w:r>
        <w:rPr>
          <w:rFonts w:hint="eastAsia" w:ascii="仿宋_GB2312" w:hAnsi="仿宋" w:eastAsia="仿宋_GB2312"/>
          <w:color w:val="auto"/>
          <w:sz w:val="32"/>
          <w:szCs w:val="32"/>
          <w:highlight w:val="none"/>
          <w:lang w:eastAsia="zh-CN"/>
        </w:rPr>
        <w:t>是</w:t>
      </w:r>
      <w:r>
        <w:rPr>
          <w:rFonts w:hint="eastAsia" w:ascii="仿宋_GB2312" w:hAnsi="仿宋" w:eastAsia="仿宋_GB2312"/>
          <w:color w:val="auto"/>
          <w:sz w:val="32"/>
          <w:szCs w:val="32"/>
          <w:highlight w:val="none"/>
          <w:lang w:val="en-US" w:eastAsia="zh-CN"/>
        </w:rPr>
        <w:t>3个</w:t>
      </w:r>
      <w:r>
        <w:rPr>
          <w:rFonts w:hint="eastAsia" w:ascii="仿宋_GB2312" w:hAnsi="仿宋" w:eastAsia="仿宋_GB2312"/>
          <w:color w:val="auto"/>
          <w:sz w:val="32"/>
          <w:szCs w:val="32"/>
          <w:highlight w:val="none"/>
        </w:rPr>
        <w:t>，实际完成值是</w:t>
      </w:r>
      <w:r>
        <w:rPr>
          <w:rFonts w:hint="eastAsia" w:ascii="仿宋_GB2312" w:hAnsi="仿宋" w:eastAsia="仿宋_GB2312"/>
          <w:color w:val="auto"/>
          <w:sz w:val="32"/>
          <w:szCs w:val="32"/>
          <w:highlight w:val="none"/>
          <w:lang w:val="en-US" w:eastAsia="zh-CN"/>
        </w:rPr>
        <w:t>3个</w:t>
      </w:r>
      <w:r>
        <w:rPr>
          <w:rFonts w:hint="eastAsia" w:ascii="仿宋_GB2312" w:hAnsi="仿宋" w:eastAsia="仿宋_GB2312"/>
          <w:color w:val="auto"/>
          <w:sz w:val="32"/>
          <w:szCs w:val="32"/>
          <w:highlight w:val="none"/>
        </w:rPr>
        <w:t>，指标完成率是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达到预期目标。</w:t>
      </w:r>
    </w:p>
    <w:p>
      <w:pPr>
        <w:spacing w:line="560" w:lineRule="exact"/>
        <w:ind w:firstLine="640" w:firstLineChars="200"/>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rPr>
        <w:t>执法检查频次，预期指标</w:t>
      </w:r>
      <w:r>
        <w:rPr>
          <w:rFonts w:hint="eastAsia" w:ascii="仿宋_GB2312" w:hAnsi="仿宋" w:eastAsia="仿宋_GB2312"/>
          <w:color w:val="auto"/>
          <w:sz w:val="32"/>
          <w:szCs w:val="32"/>
          <w:highlight w:val="none"/>
          <w:lang w:eastAsia="zh-CN"/>
        </w:rPr>
        <w:t>是大于等于</w:t>
      </w:r>
      <w:r>
        <w:rPr>
          <w:rFonts w:hint="eastAsia" w:ascii="仿宋_GB2312" w:hAnsi="仿宋" w:eastAsia="仿宋_GB2312"/>
          <w:color w:val="auto"/>
          <w:sz w:val="32"/>
          <w:szCs w:val="32"/>
          <w:highlight w:val="none"/>
          <w:lang w:val="en-US" w:eastAsia="zh-CN"/>
        </w:rPr>
        <w:t>1200次</w:t>
      </w:r>
      <w:r>
        <w:rPr>
          <w:rFonts w:hint="eastAsia" w:ascii="仿宋_GB2312" w:hAnsi="仿宋" w:eastAsia="仿宋_GB2312"/>
          <w:color w:val="auto"/>
          <w:sz w:val="32"/>
          <w:szCs w:val="32"/>
          <w:highlight w:val="none"/>
        </w:rPr>
        <w:t>，实际完成值是</w:t>
      </w:r>
      <w:r>
        <w:rPr>
          <w:rFonts w:hint="eastAsia" w:ascii="仿宋_GB2312" w:hAnsi="仿宋" w:eastAsia="仿宋_GB2312"/>
          <w:color w:val="auto"/>
          <w:sz w:val="32"/>
          <w:szCs w:val="32"/>
          <w:highlight w:val="none"/>
          <w:lang w:val="en-US" w:eastAsia="zh-CN"/>
        </w:rPr>
        <w:t>1200次</w:t>
      </w:r>
      <w:r>
        <w:rPr>
          <w:rFonts w:hint="eastAsia" w:ascii="仿宋_GB2312" w:hAnsi="仿宋" w:eastAsia="仿宋_GB2312"/>
          <w:color w:val="auto"/>
          <w:sz w:val="32"/>
          <w:szCs w:val="32"/>
          <w:highlight w:val="none"/>
        </w:rPr>
        <w:t>，指标完成率是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达到预期目标。</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化解债务项目数量，预期指标</w:t>
      </w:r>
      <w:r>
        <w:rPr>
          <w:rFonts w:hint="eastAsia" w:ascii="仿宋_GB2312" w:hAnsi="仿宋" w:eastAsia="仿宋_GB2312"/>
          <w:color w:val="auto"/>
          <w:sz w:val="32"/>
          <w:szCs w:val="32"/>
          <w:highlight w:val="none"/>
          <w:lang w:eastAsia="zh-CN"/>
        </w:rPr>
        <w:t>是</w:t>
      </w:r>
      <w:r>
        <w:rPr>
          <w:rFonts w:hint="eastAsia" w:ascii="仿宋_GB2312" w:hAnsi="仿宋" w:eastAsia="仿宋_GB2312"/>
          <w:color w:val="auto"/>
          <w:sz w:val="32"/>
          <w:szCs w:val="32"/>
          <w:highlight w:val="none"/>
          <w:lang w:val="en-US" w:eastAsia="zh-CN"/>
        </w:rPr>
        <w:t>1个</w:t>
      </w:r>
      <w:r>
        <w:rPr>
          <w:rFonts w:hint="eastAsia" w:ascii="仿宋_GB2312" w:hAnsi="仿宋" w:eastAsia="仿宋_GB2312"/>
          <w:color w:val="auto"/>
          <w:sz w:val="32"/>
          <w:szCs w:val="32"/>
          <w:highlight w:val="none"/>
        </w:rPr>
        <w:t>，实际完成值是</w:t>
      </w:r>
      <w:r>
        <w:rPr>
          <w:rFonts w:hint="eastAsia" w:ascii="仿宋_GB2312" w:hAnsi="仿宋" w:eastAsia="仿宋_GB2312"/>
          <w:color w:val="auto"/>
          <w:sz w:val="32"/>
          <w:szCs w:val="32"/>
          <w:highlight w:val="none"/>
          <w:lang w:val="en-US" w:eastAsia="zh-CN"/>
        </w:rPr>
        <w:t>1个</w:t>
      </w:r>
      <w:r>
        <w:rPr>
          <w:rFonts w:hint="eastAsia" w:ascii="仿宋_GB2312" w:hAnsi="仿宋" w:eastAsia="仿宋_GB2312"/>
          <w:color w:val="auto"/>
          <w:sz w:val="32"/>
          <w:szCs w:val="32"/>
          <w:highlight w:val="none"/>
        </w:rPr>
        <w:t>，指标完成率是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达到预期目标。</w:t>
      </w:r>
    </w:p>
    <w:p>
      <w:pPr>
        <w:spacing w:line="560" w:lineRule="exact"/>
        <w:ind w:firstLine="640" w:firstLineChars="200"/>
        <w:rPr>
          <w:rFonts w:hint="eastAsia" w:ascii="仿宋_GB2312" w:hAnsi="仿宋" w:eastAsia="仿宋_GB2312"/>
          <w:color w:val="auto"/>
          <w:sz w:val="32"/>
          <w:szCs w:val="32"/>
          <w:highlight w:val="none"/>
          <w:lang w:eastAsia="zh-CN"/>
        </w:rPr>
      </w:pPr>
      <w:r>
        <w:rPr>
          <w:rFonts w:hint="eastAsia" w:ascii="仿宋_GB2312" w:hAnsi="仿宋" w:eastAsia="仿宋_GB2312"/>
          <w:color w:val="auto"/>
          <w:sz w:val="32"/>
          <w:szCs w:val="32"/>
          <w:highlight w:val="none"/>
          <w:lang w:eastAsia="zh-CN"/>
        </w:rPr>
        <w:t>数量指标共计</w:t>
      </w:r>
      <w:r>
        <w:rPr>
          <w:rFonts w:hint="eastAsia" w:ascii="仿宋_GB2312" w:hAnsi="仿宋" w:eastAsia="仿宋_GB2312"/>
          <w:color w:val="auto"/>
          <w:sz w:val="32"/>
          <w:szCs w:val="32"/>
          <w:highlight w:val="none"/>
          <w:lang w:val="en-US" w:eastAsia="zh-CN"/>
        </w:rPr>
        <w:t>5个，完成5个，达到预期目标，数量指标完成。</w:t>
      </w:r>
    </w:p>
    <w:p>
      <w:pPr>
        <w:spacing w:line="560" w:lineRule="exact"/>
        <w:ind w:firstLine="624" w:firstLineChars="200"/>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（2）项目完成质量</w:t>
      </w:r>
    </w:p>
    <w:p>
      <w:pPr>
        <w:spacing w:line="560" w:lineRule="exact"/>
        <w:ind w:firstLine="640" w:firstLineChars="200"/>
        <w:rPr>
          <w:rFonts w:hint="eastAsia" w:ascii="仿宋_GB2312" w:hAnsi="仿宋" w:eastAsia="仿宋_GB2312" w:cstheme="minorBidi"/>
          <w:color w:val="auto"/>
          <w:kern w:val="2"/>
          <w:sz w:val="32"/>
          <w:szCs w:val="32"/>
          <w:highlight w:val="none"/>
          <w:lang w:val="en-US" w:eastAsia="zh-CN" w:bidi="ar-SA"/>
        </w:rPr>
      </w:pPr>
      <w:r>
        <w:rPr>
          <w:rFonts w:hint="eastAsia" w:ascii="仿宋_GB2312" w:hAnsi="仿宋" w:eastAsia="仿宋_GB2312"/>
          <w:color w:val="auto"/>
          <w:sz w:val="32"/>
          <w:szCs w:val="32"/>
          <w:highlight w:val="none"/>
        </w:rPr>
        <w:t>工资及社保等各项缴费发放准确率，预期指标是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，实际完成值是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w:t>
      </w:r>
      <w:r>
        <w:rPr>
          <w:rFonts w:hint="eastAsia" w:ascii="仿宋_GB2312" w:hAnsi="仿宋" w:eastAsia="仿宋_GB2312" w:cstheme="minorBidi"/>
          <w:color w:val="auto"/>
          <w:kern w:val="2"/>
          <w:sz w:val="32"/>
          <w:szCs w:val="32"/>
          <w:highlight w:val="none"/>
          <w:lang w:val="en-US" w:eastAsia="zh-CN" w:bidi="ar-SA"/>
        </w:rPr>
        <w:t>，达到预期目标。</w:t>
      </w:r>
    </w:p>
    <w:p>
      <w:pPr>
        <w:spacing w:line="560" w:lineRule="exact"/>
        <w:ind w:firstLine="640" w:firstLineChars="200"/>
        <w:rPr>
          <w:rFonts w:hint="eastAsia" w:ascii="仿宋_GB2312" w:hAnsi="仿宋" w:eastAsia="仿宋_GB2312" w:cstheme="minorBidi"/>
          <w:color w:val="auto"/>
          <w:kern w:val="2"/>
          <w:sz w:val="32"/>
          <w:szCs w:val="32"/>
          <w:highlight w:val="none"/>
          <w:lang w:val="en-US" w:eastAsia="zh-CN" w:bidi="ar-SA"/>
        </w:rPr>
      </w:pPr>
      <w:r>
        <w:rPr>
          <w:rFonts w:hint="eastAsia" w:ascii="仿宋_GB2312" w:hAnsi="仿宋" w:eastAsia="仿宋_GB2312"/>
          <w:color w:val="auto"/>
          <w:sz w:val="32"/>
          <w:szCs w:val="32"/>
          <w:highlight w:val="none"/>
        </w:rPr>
        <w:t>车辆正常运转率，预期指标是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，实际完成值是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w:t>
      </w:r>
      <w:r>
        <w:rPr>
          <w:rFonts w:hint="eastAsia" w:ascii="仿宋_GB2312" w:hAnsi="仿宋" w:eastAsia="仿宋_GB2312" w:cstheme="minorBidi"/>
          <w:color w:val="auto"/>
          <w:kern w:val="2"/>
          <w:sz w:val="32"/>
          <w:szCs w:val="32"/>
          <w:highlight w:val="none"/>
          <w:lang w:val="en-US" w:eastAsia="zh-CN" w:bidi="ar-SA"/>
        </w:rPr>
        <w:t>，达到预期目标。</w:t>
      </w:r>
    </w:p>
    <w:p>
      <w:pPr>
        <w:spacing w:line="560" w:lineRule="exact"/>
        <w:ind w:firstLine="640" w:firstLineChars="200"/>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抽检覆盖率</w:t>
      </w:r>
      <w:r>
        <w:rPr>
          <w:rFonts w:hint="eastAsia" w:ascii="仿宋_GB2312" w:hAnsi="仿宋" w:eastAsia="仿宋_GB2312"/>
          <w:color w:val="auto"/>
          <w:sz w:val="32"/>
          <w:szCs w:val="32"/>
          <w:highlight w:val="none"/>
          <w:lang w:eastAsia="zh-CN"/>
        </w:rPr>
        <w:t>是</w:t>
      </w:r>
      <w:r>
        <w:rPr>
          <w:rFonts w:hint="eastAsia" w:ascii="仿宋_GB2312" w:hAnsi="仿宋" w:eastAsia="仿宋_GB2312"/>
          <w:color w:val="auto"/>
          <w:sz w:val="32"/>
          <w:szCs w:val="32"/>
          <w:highlight w:val="none"/>
        </w:rPr>
        <w:t>，预期指标是</w:t>
      </w:r>
      <w:r>
        <w:rPr>
          <w:rFonts w:hint="eastAsia" w:ascii="仿宋_GB2312" w:hAnsi="仿宋" w:eastAsia="仿宋_GB2312"/>
          <w:color w:val="auto"/>
          <w:sz w:val="32"/>
          <w:szCs w:val="32"/>
          <w:highlight w:val="none"/>
          <w:lang w:eastAsia="zh-CN"/>
        </w:rPr>
        <w:t>大于等于</w:t>
      </w:r>
      <w:r>
        <w:rPr>
          <w:rFonts w:hint="eastAsia" w:ascii="仿宋_GB2312" w:hAnsi="仿宋" w:eastAsia="仿宋_GB2312"/>
          <w:color w:val="auto"/>
          <w:sz w:val="32"/>
          <w:szCs w:val="32"/>
          <w:highlight w:val="none"/>
          <w:lang w:val="en-US" w:eastAsia="zh-CN"/>
        </w:rPr>
        <w:t>15%</w:t>
      </w:r>
      <w:r>
        <w:rPr>
          <w:rFonts w:hint="eastAsia" w:ascii="仿宋_GB2312" w:hAnsi="仿宋" w:eastAsia="仿宋_GB2312"/>
          <w:color w:val="auto"/>
          <w:sz w:val="32"/>
          <w:szCs w:val="32"/>
          <w:highlight w:val="none"/>
        </w:rPr>
        <w:t>，实际完成值是</w:t>
      </w:r>
      <w:r>
        <w:rPr>
          <w:rFonts w:hint="eastAsia" w:ascii="仿宋_GB2312" w:hAnsi="仿宋" w:eastAsia="仿宋_GB2312"/>
          <w:color w:val="auto"/>
          <w:sz w:val="32"/>
          <w:szCs w:val="32"/>
          <w:highlight w:val="none"/>
          <w:lang w:val="en-US" w:eastAsia="zh-CN"/>
        </w:rPr>
        <w:t>15%</w:t>
      </w:r>
      <w:r>
        <w:rPr>
          <w:rFonts w:hint="eastAsia" w:ascii="仿宋_GB2312" w:hAnsi="仿宋" w:eastAsia="仿宋_GB2312"/>
          <w:color w:val="auto"/>
          <w:sz w:val="32"/>
          <w:szCs w:val="32"/>
          <w:highlight w:val="none"/>
        </w:rPr>
        <w:t>，指标完成率是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val="en-US" w:eastAsia="zh-CN"/>
        </w:rPr>
        <w:t>，达到预期目标。</w:t>
      </w:r>
    </w:p>
    <w:p>
      <w:pPr>
        <w:spacing w:line="560" w:lineRule="exact"/>
        <w:ind w:firstLine="640" w:firstLineChars="200"/>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化解债务完成率</w:t>
      </w:r>
      <w:r>
        <w:rPr>
          <w:rFonts w:hint="eastAsia" w:ascii="仿宋_GB2312" w:hAnsi="仿宋" w:eastAsia="仿宋_GB2312"/>
          <w:color w:val="auto"/>
          <w:sz w:val="32"/>
          <w:szCs w:val="32"/>
          <w:highlight w:val="none"/>
        </w:rPr>
        <w:t>，预期指标是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，实际完成值是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val="en-US" w:eastAsia="zh-CN"/>
        </w:rPr>
        <w:t>，达到预期目标。</w:t>
      </w:r>
    </w:p>
    <w:p>
      <w:pPr>
        <w:spacing w:line="560" w:lineRule="exact"/>
        <w:ind w:firstLine="640" w:firstLineChars="200"/>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集中GLD补助覆盖率</w:t>
      </w:r>
      <w:r>
        <w:rPr>
          <w:rFonts w:hint="eastAsia" w:ascii="仿宋_GB2312" w:hAnsi="仿宋" w:eastAsia="仿宋_GB2312"/>
          <w:color w:val="auto"/>
          <w:sz w:val="32"/>
          <w:szCs w:val="32"/>
          <w:highlight w:val="none"/>
        </w:rPr>
        <w:t>，预期指标是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，实际完成值是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val="en-US" w:eastAsia="zh-CN"/>
        </w:rPr>
        <w:t>，达到预期目标。</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质量指标共计</w:t>
      </w:r>
      <w:r>
        <w:rPr>
          <w:rFonts w:hint="eastAsia" w:ascii="仿宋_GB2312" w:hAnsi="仿宋" w:eastAsia="仿宋_GB2312"/>
          <w:color w:val="auto"/>
          <w:sz w:val="32"/>
          <w:szCs w:val="32"/>
          <w:highlight w:val="none"/>
          <w:lang w:val="en-US" w:eastAsia="zh-CN"/>
        </w:rPr>
        <w:t>5</w:t>
      </w:r>
      <w:r>
        <w:rPr>
          <w:rFonts w:hint="eastAsia" w:ascii="仿宋_GB2312" w:hAnsi="仿宋" w:eastAsia="仿宋_GB2312"/>
          <w:color w:val="auto"/>
          <w:sz w:val="32"/>
          <w:szCs w:val="32"/>
          <w:highlight w:val="none"/>
        </w:rPr>
        <w:t>个，完成</w:t>
      </w:r>
      <w:r>
        <w:rPr>
          <w:rFonts w:hint="eastAsia" w:ascii="仿宋_GB2312" w:hAnsi="仿宋" w:eastAsia="仿宋_GB2312"/>
          <w:color w:val="auto"/>
          <w:sz w:val="32"/>
          <w:szCs w:val="32"/>
          <w:highlight w:val="none"/>
          <w:lang w:val="en-US" w:eastAsia="zh-CN"/>
        </w:rPr>
        <w:t>5</w:t>
      </w:r>
      <w:r>
        <w:rPr>
          <w:rFonts w:hint="eastAsia" w:ascii="仿宋_GB2312" w:hAnsi="仿宋" w:eastAsia="仿宋_GB2312"/>
          <w:color w:val="auto"/>
          <w:sz w:val="32"/>
          <w:szCs w:val="32"/>
          <w:highlight w:val="none"/>
        </w:rPr>
        <w:t>个，达到预期目标，质量指标完成。</w:t>
      </w:r>
    </w:p>
    <w:p>
      <w:pPr>
        <w:spacing w:line="560" w:lineRule="exact"/>
        <w:ind w:firstLine="624" w:firstLineChars="200"/>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（3）项目实施进度</w:t>
      </w:r>
    </w:p>
    <w:p>
      <w:pPr>
        <w:spacing w:line="560" w:lineRule="exact"/>
        <w:ind w:firstLine="640" w:firstLineChars="200"/>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rPr>
        <w:t>工资及社保等各项缴费发放及时率，预期指标是</w:t>
      </w:r>
      <w:r>
        <w:rPr>
          <w:rFonts w:hint="eastAsia" w:ascii="仿宋_GB2312" w:hAnsi="仿宋" w:eastAsia="仿宋_GB2312"/>
          <w:color w:val="auto"/>
          <w:sz w:val="32"/>
          <w:szCs w:val="32"/>
          <w:highlight w:val="none"/>
          <w:lang w:eastAsia="zh-CN"/>
        </w:rPr>
        <w:t>大于等于</w:t>
      </w:r>
      <w:r>
        <w:rPr>
          <w:rFonts w:hint="eastAsia" w:ascii="仿宋_GB2312" w:hAnsi="仿宋" w:eastAsia="仿宋_GB2312"/>
          <w:color w:val="auto"/>
          <w:sz w:val="32"/>
          <w:szCs w:val="32"/>
          <w:highlight w:val="none"/>
          <w:lang w:val="en-US" w:eastAsia="zh-CN"/>
        </w:rPr>
        <w:t>95%</w:t>
      </w:r>
      <w:r>
        <w:rPr>
          <w:rFonts w:hint="eastAsia" w:ascii="仿宋_GB2312" w:hAnsi="仿宋" w:eastAsia="仿宋_GB2312"/>
          <w:color w:val="auto"/>
          <w:sz w:val="32"/>
          <w:szCs w:val="32"/>
          <w:highlight w:val="none"/>
        </w:rPr>
        <w:t>，实际完成值是</w:t>
      </w:r>
      <w:r>
        <w:rPr>
          <w:rFonts w:hint="eastAsia" w:ascii="仿宋_GB2312" w:hAnsi="仿宋" w:eastAsia="仿宋_GB2312"/>
          <w:color w:val="auto"/>
          <w:sz w:val="32"/>
          <w:szCs w:val="32"/>
          <w:highlight w:val="none"/>
          <w:lang w:val="en-US" w:eastAsia="zh-CN"/>
        </w:rPr>
        <w:t>95%</w:t>
      </w:r>
      <w:r>
        <w:rPr>
          <w:rFonts w:hint="eastAsia" w:ascii="仿宋_GB2312" w:hAnsi="仿宋" w:eastAsia="仿宋_GB2312"/>
          <w:color w:val="auto"/>
          <w:sz w:val="32"/>
          <w:szCs w:val="32"/>
          <w:highlight w:val="none"/>
        </w:rPr>
        <w:t>，指标完成率是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val="en-US" w:eastAsia="zh-CN"/>
        </w:rPr>
        <w:t>，达到预期目标。</w:t>
      </w:r>
    </w:p>
    <w:p>
      <w:pPr>
        <w:spacing w:line="560" w:lineRule="exact"/>
        <w:ind w:firstLine="640" w:firstLineChars="200"/>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rPr>
        <w:t>项目完成时间，预期指标是</w:t>
      </w:r>
      <w:r>
        <w:rPr>
          <w:rFonts w:hint="eastAsia" w:ascii="仿宋_GB2312" w:hAnsi="仿宋" w:eastAsia="仿宋_GB2312"/>
          <w:color w:val="auto"/>
          <w:sz w:val="32"/>
          <w:szCs w:val="32"/>
          <w:highlight w:val="none"/>
          <w:lang w:val="en-US" w:eastAsia="zh-CN"/>
        </w:rPr>
        <w:t>2021年12月</w:t>
      </w:r>
      <w:r>
        <w:rPr>
          <w:rFonts w:hint="eastAsia" w:ascii="仿宋_GB2312" w:hAnsi="仿宋" w:eastAsia="仿宋_GB2312"/>
          <w:color w:val="auto"/>
          <w:sz w:val="32"/>
          <w:szCs w:val="32"/>
          <w:highlight w:val="none"/>
        </w:rPr>
        <w:t>，实际完成值是</w:t>
      </w:r>
      <w:r>
        <w:rPr>
          <w:rFonts w:hint="eastAsia" w:ascii="仿宋_GB2312" w:hAnsi="仿宋" w:eastAsia="仿宋_GB2312"/>
          <w:color w:val="auto"/>
          <w:sz w:val="32"/>
          <w:szCs w:val="32"/>
          <w:highlight w:val="none"/>
          <w:lang w:val="en-US" w:eastAsia="zh-CN"/>
        </w:rPr>
        <w:t>2021年12月</w:t>
      </w:r>
      <w:r>
        <w:rPr>
          <w:rFonts w:hint="eastAsia" w:ascii="仿宋_GB2312" w:hAnsi="仿宋" w:eastAsia="仿宋_GB2312"/>
          <w:color w:val="auto"/>
          <w:sz w:val="32"/>
          <w:szCs w:val="32"/>
          <w:highlight w:val="none"/>
        </w:rPr>
        <w:t>，指标完成率是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val="en-US" w:eastAsia="zh-CN"/>
        </w:rPr>
        <w:t>，达到预期目标。</w:t>
      </w:r>
    </w:p>
    <w:p>
      <w:pPr>
        <w:spacing w:line="560" w:lineRule="exact"/>
        <w:ind w:firstLine="640" w:firstLineChars="200"/>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项目完成及时率</w:t>
      </w:r>
      <w:r>
        <w:rPr>
          <w:rFonts w:hint="eastAsia" w:ascii="仿宋_GB2312" w:hAnsi="仿宋" w:eastAsia="仿宋_GB2312"/>
          <w:color w:val="auto"/>
          <w:sz w:val="32"/>
          <w:szCs w:val="32"/>
          <w:highlight w:val="none"/>
        </w:rPr>
        <w:t>，预期指标是</w:t>
      </w:r>
      <w:r>
        <w:rPr>
          <w:rFonts w:hint="eastAsia" w:ascii="仿宋_GB2312" w:hAnsi="仿宋" w:eastAsia="仿宋_GB2312"/>
          <w:color w:val="auto"/>
          <w:sz w:val="32"/>
          <w:szCs w:val="32"/>
          <w:highlight w:val="none"/>
          <w:lang w:eastAsia="zh-CN"/>
        </w:rPr>
        <w:t>大于等于</w:t>
      </w:r>
      <w:r>
        <w:rPr>
          <w:rFonts w:hint="eastAsia" w:ascii="仿宋_GB2312" w:hAnsi="仿宋" w:eastAsia="仿宋_GB2312"/>
          <w:color w:val="auto"/>
          <w:sz w:val="32"/>
          <w:szCs w:val="32"/>
          <w:highlight w:val="none"/>
          <w:lang w:val="en-US" w:eastAsia="zh-CN"/>
        </w:rPr>
        <w:t>95%</w:t>
      </w:r>
      <w:r>
        <w:rPr>
          <w:rFonts w:hint="eastAsia" w:ascii="仿宋_GB2312" w:hAnsi="仿宋" w:eastAsia="仿宋_GB2312"/>
          <w:color w:val="auto"/>
          <w:sz w:val="32"/>
          <w:szCs w:val="32"/>
          <w:highlight w:val="none"/>
        </w:rPr>
        <w:t>，实际完成值是</w:t>
      </w:r>
      <w:r>
        <w:rPr>
          <w:rFonts w:hint="eastAsia" w:ascii="仿宋_GB2312" w:hAnsi="仿宋" w:eastAsia="仿宋_GB2312"/>
          <w:color w:val="auto"/>
          <w:sz w:val="32"/>
          <w:szCs w:val="32"/>
          <w:highlight w:val="none"/>
          <w:lang w:val="en-US" w:eastAsia="zh-CN"/>
        </w:rPr>
        <w:t>95%</w:t>
      </w:r>
      <w:r>
        <w:rPr>
          <w:rFonts w:hint="eastAsia" w:ascii="仿宋_GB2312" w:hAnsi="仿宋" w:eastAsia="仿宋_GB2312"/>
          <w:color w:val="auto"/>
          <w:sz w:val="32"/>
          <w:szCs w:val="32"/>
          <w:highlight w:val="none"/>
        </w:rPr>
        <w:t>，指标完成率是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val="en-US" w:eastAsia="zh-CN"/>
        </w:rPr>
        <w:t>，达到预期目标。</w:t>
      </w:r>
    </w:p>
    <w:p>
      <w:pPr>
        <w:spacing w:line="560" w:lineRule="exact"/>
        <w:ind w:firstLine="640" w:firstLineChars="200"/>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rPr>
        <w:t>时效指标共计</w:t>
      </w:r>
      <w:r>
        <w:rPr>
          <w:rFonts w:hint="eastAsia" w:ascii="仿宋_GB2312" w:hAnsi="仿宋" w:eastAsia="仿宋_GB2312"/>
          <w:color w:val="auto"/>
          <w:sz w:val="32"/>
          <w:szCs w:val="32"/>
          <w:highlight w:val="none"/>
          <w:lang w:val="en-US" w:eastAsia="zh-CN"/>
        </w:rPr>
        <w:t>3</w:t>
      </w:r>
      <w:r>
        <w:rPr>
          <w:rFonts w:hint="eastAsia" w:ascii="仿宋_GB2312" w:hAnsi="仿宋" w:eastAsia="仿宋_GB2312"/>
          <w:color w:val="auto"/>
          <w:sz w:val="32"/>
          <w:szCs w:val="32"/>
          <w:highlight w:val="none"/>
        </w:rPr>
        <w:t>个，完成</w:t>
      </w:r>
      <w:r>
        <w:rPr>
          <w:rFonts w:hint="eastAsia" w:ascii="仿宋_GB2312" w:hAnsi="仿宋" w:eastAsia="仿宋_GB2312"/>
          <w:color w:val="auto"/>
          <w:sz w:val="32"/>
          <w:szCs w:val="32"/>
          <w:highlight w:val="none"/>
          <w:lang w:val="en-US" w:eastAsia="zh-CN"/>
        </w:rPr>
        <w:t>3</w:t>
      </w:r>
      <w:r>
        <w:rPr>
          <w:rFonts w:hint="eastAsia" w:ascii="仿宋_GB2312" w:hAnsi="仿宋" w:eastAsia="仿宋_GB2312"/>
          <w:color w:val="auto"/>
          <w:sz w:val="32"/>
          <w:szCs w:val="32"/>
          <w:highlight w:val="none"/>
        </w:rPr>
        <w:t>个，达到预期目标，时效指标完成</w:t>
      </w:r>
      <w:r>
        <w:rPr>
          <w:rFonts w:hint="eastAsia" w:ascii="仿宋_GB2312" w:hAnsi="仿宋" w:eastAsia="仿宋_GB2312"/>
          <w:color w:val="auto"/>
          <w:sz w:val="32"/>
          <w:szCs w:val="32"/>
          <w:highlight w:val="none"/>
          <w:lang w:eastAsia="zh-CN"/>
        </w:rPr>
        <w:t>。</w:t>
      </w:r>
    </w:p>
    <w:p>
      <w:pPr>
        <w:spacing w:line="560" w:lineRule="exact"/>
        <w:ind w:firstLine="624" w:firstLineChars="200"/>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（4）项目成本节约情况</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对个人和家庭补助成本，预期指标是</w:t>
      </w:r>
      <w:r>
        <w:rPr>
          <w:rFonts w:hint="eastAsia" w:ascii="仿宋_GB2312" w:hAnsi="仿宋" w:eastAsia="仿宋_GB2312"/>
          <w:color w:val="auto"/>
          <w:sz w:val="32"/>
          <w:szCs w:val="32"/>
          <w:highlight w:val="none"/>
          <w:lang w:val="en-US" w:eastAsia="zh-CN"/>
        </w:rPr>
        <w:t>116.26万元</w:t>
      </w:r>
      <w:r>
        <w:rPr>
          <w:rFonts w:hint="eastAsia" w:ascii="仿宋_GB2312" w:hAnsi="仿宋" w:eastAsia="仿宋_GB2312"/>
          <w:color w:val="auto"/>
          <w:sz w:val="32"/>
          <w:szCs w:val="32"/>
          <w:highlight w:val="none"/>
        </w:rPr>
        <w:t>，实际完成值是</w:t>
      </w:r>
      <w:r>
        <w:rPr>
          <w:rFonts w:hint="eastAsia" w:ascii="仿宋_GB2312" w:hAnsi="仿宋" w:eastAsia="仿宋_GB2312"/>
          <w:color w:val="auto"/>
          <w:sz w:val="32"/>
          <w:szCs w:val="32"/>
          <w:highlight w:val="none"/>
          <w:lang w:val="en-US" w:eastAsia="zh-CN"/>
        </w:rPr>
        <w:t>116.26万元</w:t>
      </w:r>
      <w:r>
        <w:rPr>
          <w:rFonts w:hint="eastAsia" w:ascii="仿宋_GB2312" w:hAnsi="仿宋" w:eastAsia="仿宋_GB2312"/>
          <w:color w:val="auto"/>
          <w:sz w:val="32"/>
          <w:szCs w:val="32"/>
          <w:highlight w:val="none"/>
        </w:rPr>
        <w:t>，指标完成率是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达到预期目标。</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stheme="minorBidi"/>
          <w:color w:val="auto"/>
          <w:kern w:val="2"/>
          <w:sz w:val="32"/>
          <w:szCs w:val="32"/>
          <w:highlight w:val="none"/>
          <w:lang w:val="en-US" w:eastAsia="zh-CN" w:bidi="ar-SA"/>
        </w:rPr>
        <w:t>各项工资、福利、补助人均成本，</w:t>
      </w:r>
      <w:r>
        <w:rPr>
          <w:rFonts w:hint="eastAsia" w:ascii="仿宋_GB2312" w:hAnsi="仿宋" w:eastAsia="仿宋_GB2312"/>
          <w:color w:val="auto"/>
          <w:sz w:val="32"/>
          <w:szCs w:val="32"/>
          <w:highlight w:val="none"/>
        </w:rPr>
        <w:t>预期指标是</w:t>
      </w:r>
      <w:r>
        <w:rPr>
          <w:rFonts w:hint="eastAsia" w:ascii="仿宋_GB2312" w:hAnsi="仿宋" w:eastAsia="仿宋_GB2312"/>
          <w:color w:val="auto"/>
          <w:sz w:val="32"/>
          <w:szCs w:val="32"/>
          <w:highlight w:val="none"/>
          <w:lang w:val="en-US" w:eastAsia="zh-CN"/>
        </w:rPr>
        <w:t>14.30万元</w:t>
      </w:r>
      <w:r>
        <w:rPr>
          <w:rFonts w:hint="eastAsia" w:ascii="仿宋_GB2312" w:hAnsi="仿宋" w:eastAsia="仿宋_GB2312"/>
          <w:color w:val="auto"/>
          <w:sz w:val="32"/>
          <w:szCs w:val="32"/>
          <w:highlight w:val="none"/>
        </w:rPr>
        <w:t>，实际完成值是</w:t>
      </w:r>
      <w:r>
        <w:rPr>
          <w:rFonts w:hint="eastAsia" w:ascii="仿宋_GB2312" w:hAnsi="仿宋" w:eastAsia="仿宋_GB2312"/>
          <w:color w:val="auto"/>
          <w:sz w:val="32"/>
          <w:szCs w:val="32"/>
          <w:highlight w:val="none"/>
          <w:lang w:val="en-US" w:eastAsia="zh-CN"/>
        </w:rPr>
        <w:t>14.30万元</w:t>
      </w:r>
      <w:r>
        <w:rPr>
          <w:rFonts w:hint="eastAsia" w:ascii="仿宋_GB2312" w:hAnsi="仿宋" w:eastAsia="仿宋_GB2312"/>
          <w:color w:val="auto"/>
          <w:sz w:val="32"/>
          <w:szCs w:val="32"/>
          <w:highlight w:val="none"/>
        </w:rPr>
        <w:t>，指标完成率是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达到预期目标。</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stheme="minorBidi"/>
          <w:color w:val="auto"/>
          <w:kern w:val="2"/>
          <w:sz w:val="32"/>
          <w:szCs w:val="32"/>
          <w:highlight w:val="none"/>
          <w:lang w:val="en-US" w:eastAsia="zh-CN" w:bidi="ar-SA"/>
        </w:rPr>
        <w:t>正常运转支出成本</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预期指标是</w:t>
      </w:r>
      <w:r>
        <w:rPr>
          <w:rFonts w:hint="eastAsia" w:ascii="仿宋_GB2312" w:hAnsi="仿宋" w:eastAsia="仿宋_GB2312"/>
          <w:color w:val="auto"/>
          <w:sz w:val="32"/>
          <w:szCs w:val="32"/>
          <w:highlight w:val="none"/>
          <w:lang w:val="en-US" w:eastAsia="zh-CN"/>
        </w:rPr>
        <w:t>86.35万元</w:t>
      </w:r>
      <w:r>
        <w:rPr>
          <w:rFonts w:hint="eastAsia" w:ascii="仿宋_GB2312" w:hAnsi="仿宋" w:eastAsia="仿宋_GB2312"/>
          <w:color w:val="auto"/>
          <w:sz w:val="32"/>
          <w:szCs w:val="32"/>
          <w:highlight w:val="none"/>
        </w:rPr>
        <w:t>，实际完成值是</w:t>
      </w:r>
      <w:r>
        <w:rPr>
          <w:rFonts w:hint="eastAsia" w:ascii="仿宋_GB2312" w:hAnsi="仿宋" w:eastAsia="仿宋_GB2312"/>
          <w:color w:val="auto"/>
          <w:sz w:val="32"/>
          <w:szCs w:val="32"/>
          <w:highlight w:val="none"/>
          <w:lang w:val="en-US" w:eastAsia="zh-CN"/>
        </w:rPr>
        <w:t>19.54万元</w:t>
      </w:r>
      <w:r>
        <w:rPr>
          <w:rFonts w:hint="eastAsia" w:ascii="仿宋_GB2312" w:hAnsi="仿宋" w:eastAsia="仿宋_GB2312"/>
          <w:color w:val="auto"/>
          <w:sz w:val="32"/>
          <w:szCs w:val="32"/>
          <w:highlight w:val="none"/>
        </w:rPr>
        <w:t>，指标完成率是</w:t>
      </w:r>
      <w:r>
        <w:rPr>
          <w:rFonts w:hint="eastAsia" w:ascii="仿宋_GB2312" w:hAnsi="仿宋" w:eastAsia="仿宋_GB2312"/>
          <w:color w:val="auto"/>
          <w:sz w:val="32"/>
          <w:szCs w:val="32"/>
          <w:highlight w:val="none"/>
          <w:lang w:val="en-US" w:eastAsia="zh-CN"/>
        </w:rPr>
        <w:t>22.6</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eastAsia="zh-CN"/>
        </w:rPr>
        <w:t>，未</w:t>
      </w:r>
      <w:r>
        <w:rPr>
          <w:rFonts w:hint="eastAsia" w:ascii="仿宋_GB2312" w:hAnsi="仿宋" w:eastAsia="仿宋_GB2312"/>
          <w:color w:val="auto"/>
          <w:sz w:val="32"/>
          <w:szCs w:val="32"/>
          <w:highlight w:val="none"/>
        </w:rPr>
        <w:t>达到预期目标</w:t>
      </w:r>
      <w:r>
        <w:rPr>
          <w:rFonts w:hint="eastAsia" w:ascii="仿宋_GB2312" w:hAnsi="仿宋" w:eastAsia="仿宋_GB2312"/>
          <w:color w:val="auto"/>
          <w:sz w:val="32"/>
          <w:szCs w:val="32"/>
          <w:highlight w:val="none"/>
          <w:lang w:eastAsia="zh-CN"/>
        </w:rPr>
        <w:t>，原因：是预算数据不精准，内控制度不完善</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eastAsia="zh-CN"/>
        </w:rPr>
        <w:t>采取措施：加强预算管理</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eastAsia="zh-CN"/>
        </w:rPr>
        <w:t>提高财政支出责任意识、效率意识</w:t>
      </w:r>
      <w:r>
        <w:rPr>
          <w:rFonts w:hint="eastAsia" w:ascii="仿宋_GB2312" w:hAnsi="仿宋" w:eastAsia="仿宋_GB2312"/>
          <w:color w:val="auto"/>
          <w:sz w:val="32"/>
          <w:szCs w:val="32"/>
          <w:highlight w:val="none"/>
        </w:rPr>
        <w:t>。</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stheme="minorBidi"/>
          <w:color w:val="auto"/>
          <w:kern w:val="2"/>
          <w:sz w:val="32"/>
          <w:szCs w:val="32"/>
          <w:highlight w:val="none"/>
          <w:lang w:val="en-US" w:eastAsia="zh-CN" w:bidi="ar-SA"/>
        </w:rPr>
        <w:t>预算项目成本</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预期指标是</w:t>
      </w:r>
      <w:r>
        <w:rPr>
          <w:rFonts w:hint="eastAsia" w:ascii="仿宋_GB2312" w:hAnsi="仿宋" w:eastAsia="仿宋_GB2312"/>
          <w:color w:val="auto"/>
          <w:sz w:val="32"/>
          <w:szCs w:val="32"/>
          <w:highlight w:val="none"/>
          <w:lang w:val="en-US" w:eastAsia="zh-CN"/>
        </w:rPr>
        <w:t>1356.74万元</w:t>
      </w:r>
      <w:r>
        <w:rPr>
          <w:rFonts w:hint="eastAsia" w:ascii="仿宋_GB2312" w:hAnsi="仿宋" w:eastAsia="仿宋_GB2312"/>
          <w:color w:val="auto"/>
          <w:sz w:val="32"/>
          <w:szCs w:val="32"/>
          <w:highlight w:val="none"/>
        </w:rPr>
        <w:t>，实际完成值是</w:t>
      </w:r>
      <w:r>
        <w:rPr>
          <w:rFonts w:hint="eastAsia" w:ascii="仿宋_GB2312" w:hAnsi="仿宋" w:eastAsia="仿宋_GB2312"/>
          <w:color w:val="auto"/>
          <w:sz w:val="32"/>
          <w:szCs w:val="32"/>
          <w:highlight w:val="none"/>
          <w:lang w:val="en-US" w:eastAsia="zh-CN"/>
        </w:rPr>
        <w:t>1332.20万元</w:t>
      </w:r>
      <w:r>
        <w:rPr>
          <w:rFonts w:hint="eastAsia" w:ascii="仿宋_GB2312" w:hAnsi="仿宋" w:eastAsia="仿宋_GB2312"/>
          <w:color w:val="auto"/>
          <w:sz w:val="32"/>
          <w:szCs w:val="32"/>
          <w:highlight w:val="none"/>
        </w:rPr>
        <w:t>，指标完成率是</w:t>
      </w:r>
      <w:r>
        <w:rPr>
          <w:rFonts w:hint="eastAsia" w:ascii="仿宋_GB2312" w:hAnsi="仿宋" w:eastAsia="仿宋_GB2312"/>
          <w:color w:val="auto"/>
          <w:sz w:val="32"/>
          <w:szCs w:val="32"/>
          <w:highlight w:val="none"/>
          <w:lang w:val="en-US" w:eastAsia="zh-CN"/>
        </w:rPr>
        <w:t>98.19</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达到预期目标</w:t>
      </w:r>
      <w:r>
        <w:rPr>
          <w:rFonts w:hint="eastAsia" w:ascii="仿宋_GB2312" w:hAnsi="仿宋" w:eastAsia="仿宋_GB2312"/>
          <w:color w:val="auto"/>
          <w:sz w:val="32"/>
          <w:szCs w:val="32"/>
          <w:highlight w:val="none"/>
          <w:lang w:eastAsia="zh-CN"/>
        </w:rPr>
        <w:t>。</w:t>
      </w:r>
    </w:p>
    <w:p>
      <w:pPr>
        <w:spacing w:line="560" w:lineRule="exact"/>
        <w:ind w:firstLine="640" w:firstLineChars="200"/>
        <w:rPr>
          <w:rFonts w:hint="eastAsia" w:ascii="仿宋_GB2312" w:hAnsi="仿宋" w:eastAsia="仿宋_GB2312"/>
          <w:color w:val="auto"/>
          <w:sz w:val="32"/>
          <w:szCs w:val="32"/>
          <w:highlight w:val="none"/>
          <w:lang w:eastAsia="zh-CN"/>
        </w:rPr>
      </w:pPr>
      <w:r>
        <w:rPr>
          <w:rFonts w:hint="eastAsia" w:ascii="仿宋_GB2312" w:hAnsi="仿宋" w:eastAsia="仿宋_GB2312"/>
          <w:color w:val="auto"/>
          <w:sz w:val="32"/>
          <w:szCs w:val="32"/>
          <w:highlight w:val="none"/>
        </w:rPr>
        <w:t>成本指标共计</w:t>
      </w:r>
      <w:r>
        <w:rPr>
          <w:rFonts w:hint="eastAsia" w:ascii="仿宋_GB2312" w:hAnsi="仿宋" w:eastAsia="仿宋_GB2312"/>
          <w:color w:val="auto"/>
          <w:sz w:val="32"/>
          <w:szCs w:val="32"/>
          <w:highlight w:val="none"/>
          <w:lang w:val="en-US" w:eastAsia="zh-CN"/>
        </w:rPr>
        <w:t>4</w:t>
      </w:r>
      <w:r>
        <w:rPr>
          <w:rFonts w:hint="eastAsia" w:ascii="仿宋_GB2312" w:hAnsi="仿宋" w:eastAsia="仿宋_GB2312"/>
          <w:color w:val="auto"/>
          <w:sz w:val="32"/>
          <w:szCs w:val="32"/>
          <w:highlight w:val="none"/>
        </w:rPr>
        <w:t>个，完成</w:t>
      </w:r>
      <w:r>
        <w:rPr>
          <w:rFonts w:hint="eastAsia" w:ascii="仿宋_GB2312" w:hAnsi="仿宋" w:eastAsia="仿宋_GB2312"/>
          <w:color w:val="auto"/>
          <w:sz w:val="32"/>
          <w:szCs w:val="32"/>
          <w:highlight w:val="none"/>
          <w:lang w:val="en-US" w:eastAsia="zh-CN"/>
        </w:rPr>
        <w:t>3</w:t>
      </w:r>
      <w:r>
        <w:rPr>
          <w:rFonts w:hint="eastAsia" w:ascii="仿宋_GB2312" w:hAnsi="仿宋" w:eastAsia="仿宋_GB2312"/>
          <w:color w:val="auto"/>
          <w:sz w:val="32"/>
          <w:szCs w:val="32"/>
          <w:highlight w:val="none"/>
        </w:rPr>
        <w:t>个，未达到预期目标，</w:t>
      </w:r>
      <w:r>
        <w:rPr>
          <w:rFonts w:hint="eastAsia" w:ascii="仿宋_GB2312" w:hAnsi="仿宋" w:eastAsia="仿宋_GB2312"/>
          <w:color w:val="auto"/>
          <w:sz w:val="32"/>
          <w:szCs w:val="32"/>
          <w:highlight w:val="none"/>
          <w:lang w:eastAsia="zh-CN"/>
        </w:rPr>
        <w:t>成本指标未完成。</w:t>
      </w:r>
    </w:p>
    <w:p>
      <w:pPr>
        <w:spacing w:line="560" w:lineRule="exact"/>
        <w:ind w:firstLine="627" w:firstLineChars="200"/>
        <w:rPr>
          <w:rFonts w:ascii="仿宋_GB2312" w:hAnsi="楷体" w:eastAsia="仿宋_GB2312"/>
          <w:b/>
          <w:color w:val="auto"/>
          <w:spacing w:val="-4"/>
          <w:sz w:val="32"/>
          <w:szCs w:val="32"/>
          <w:highlight w:val="none"/>
        </w:rPr>
      </w:pPr>
      <w:r>
        <w:rPr>
          <w:rFonts w:hint="eastAsia" w:ascii="仿宋_GB2312" w:hAnsi="楷体" w:eastAsia="仿宋_GB2312"/>
          <w:b/>
          <w:color w:val="auto"/>
          <w:spacing w:val="-4"/>
          <w:sz w:val="32"/>
          <w:szCs w:val="32"/>
          <w:highlight w:val="none"/>
        </w:rPr>
        <w:t>2．效益指标完成情况分析</w:t>
      </w:r>
    </w:p>
    <w:p>
      <w:pPr>
        <w:spacing w:line="560" w:lineRule="exact"/>
        <w:ind w:firstLine="624" w:firstLineChars="200"/>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（1）项目实施的经济效益分析</w:t>
      </w:r>
    </w:p>
    <w:p>
      <w:pPr>
        <w:spacing w:line="560" w:lineRule="exact"/>
        <w:ind w:firstLine="640" w:firstLineChars="200"/>
        <w:rPr>
          <w:rFonts w:hint="eastAsia" w:ascii="仿宋_GB2312" w:hAnsi="仿宋" w:eastAsia="仿宋_GB2312"/>
          <w:color w:val="auto"/>
          <w:sz w:val="32"/>
          <w:szCs w:val="32"/>
          <w:highlight w:val="none"/>
          <w:lang w:eastAsia="zh-CN"/>
        </w:rPr>
      </w:pPr>
      <w:r>
        <w:rPr>
          <w:rFonts w:hint="eastAsia" w:ascii="仿宋_GB2312" w:hAnsi="仿宋" w:eastAsia="仿宋_GB2312"/>
          <w:color w:val="auto"/>
          <w:sz w:val="32"/>
          <w:szCs w:val="32"/>
          <w:highlight w:val="none"/>
          <w:lang w:eastAsia="zh-CN"/>
        </w:rPr>
        <w:t>无。</w:t>
      </w:r>
    </w:p>
    <w:p>
      <w:pPr>
        <w:spacing w:line="560" w:lineRule="exact"/>
        <w:ind w:firstLine="624" w:firstLineChars="200"/>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（2）项目实施的社会效益分析</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保障单位正常运转，预期指标是有效保障，实际完成值是有效保障，指标完成率是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达到预期目标。</w:t>
      </w:r>
    </w:p>
    <w:p>
      <w:pPr>
        <w:spacing w:line="560" w:lineRule="exact"/>
        <w:ind w:firstLine="640" w:firstLineChars="200"/>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rPr>
        <w:t>社会效益指标共计</w:t>
      </w:r>
      <w:r>
        <w:rPr>
          <w:rFonts w:hint="eastAsia" w:ascii="仿宋_GB2312" w:hAnsi="仿宋" w:eastAsia="仿宋_GB2312"/>
          <w:color w:val="auto"/>
          <w:sz w:val="32"/>
          <w:szCs w:val="32"/>
          <w:highlight w:val="none"/>
          <w:lang w:val="en-US" w:eastAsia="zh-CN"/>
        </w:rPr>
        <w:t>1</w:t>
      </w:r>
      <w:r>
        <w:rPr>
          <w:rFonts w:hint="eastAsia" w:ascii="仿宋_GB2312" w:hAnsi="仿宋" w:eastAsia="仿宋_GB2312"/>
          <w:color w:val="auto"/>
          <w:sz w:val="32"/>
          <w:szCs w:val="32"/>
          <w:highlight w:val="none"/>
        </w:rPr>
        <w:t>个，完成</w:t>
      </w:r>
      <w:r>
        <w:rPr>
          <w:rFonts w:hint="eastAsia" w:ascii="仿宋_GB2312" w:hAnsi="仿宋" w:eastAsia="仿宋_GB2312"/>
          <w:color w:val="auto"/>
          <w:sz w:val="32"/>
          <w:szCs w:val="32"/>
          <w:highlight w:val="none"/>
          <w:lang w:val="en-US" w:eastAsia="zh-CN"/>
        </w:rPr>
        <w:t>1</w:t>
      </w:r>
      <w:r>
        <w:rPr>
          <w:rFonts w:hint="eastAsia" w:ascii="仿宋_GB2312" w:hAnsi="仿宋" w:eastAsia="仿宋_GB2312"/>
          <w:color w:val="auto"/>
          <w:sz w:val="32"/>
          <w:szCs w:val="32"/>
          <w:highlight w:val="none"/>
        </w:rPr>
        <w:t>个，达到预期目标，</w:t>
      </w:r>
      <w:r>
        <w:rPr>
          <w:rFonts w:hint="eastAsia" w:ascii="仿宋_GB2312" w:hAnsi="Times New Roman" w:eastAsia="仿宋_GB2312" w:cs="Times New Roman"/>
          <w:color w:val="auto"/>
          <w:sz w:val="32"/>
          <w:szCs w:val="28"/>
          <w:highlight w:val="none"/>
        </w:rPr>
        <w:t>社会效益指标完成。</w:t>
      </w:r>
    </w:p>
    <w:p>
      <w:pPr>
        <w:spacing w:line="560" w:lineRule="exact"/>
        <w:ind w:firstLine="624" w:firstLineChars="200"/>
        <w:rPr>
          <w:rFonts w:hint="eastAsia" w:ascii="仿宋_GB2312" w:hAnsi="楷体" w:eastAsia="仿宋_GB2312" w:cs="仿宋"/>
          <w:bCs/>
          <w:color w:val="auto"/>
          <w:spacing w:val="-4"/>
          <w:sz w:val="32"/>
          <w:szCs w:val="32"/>
          <w:highlight w:val="none"/>
        </w:rPr>
      </w:pPr>
      <w:r>
        <w:rPr>
          <w:rFonts w:hint="eastAsia" w:ascii="仿宋_GB2312" w:hAnsi="楷体" w:eastAsia="仿宋_GB2312" w:cs="仿宋"/>
          <w:color w:val="auto"/>
          <w:spacing w:val="-4"/>
          <w:sz w:val="32"/>
          <w:szCs w:val="32"/>
          <w:highlight w:val="none"/>
        </w:rPr>
        <w:t>（3）项目实施的生态效益分</w:t>
      </w:r>
      <w:r>
        <w:rPr>
          <w:rFonts w:hint="eastAsia" w:ascii="仿宋_GB2312" w:hAnsi="楷体" w:eastAsia="仿宋_GB2312" w:cs="仿宋"/>
          <w:bCs/>
          <w:color w:val="auto"/>
          <w:spacing w:val="-4"/>
          <w:sz w:val="32"/>
          <w:szCs w:val="32"/>
          <w:highlight w:val="none"/>
        </w:rPr>
        <w:t>析</w:t>
      </w:r>
    </w:p>
    <w:p>
      <w:pPr>
        <w:spacing w:line="560" w:lineRule="exact"/>
        <w:ind w:firstLine="624" w:firstLineChars="200"/>
        <w:rPr>
          <w:rFonts w:hint="eastAsia" w:ascii="仿宋_GB2312" w:hAnsi="仿宋" w:eastAsia="仿宋_GB2312" w:cs="仿宋"/>
          <w:color w:val="auto"/>
          <w:spacing w:val="-4"/>
          <w:sz w:val="32"/>
          <w:szCs w:val="32"/>
          <w:highlight w:val="none"/>
          <w:lang w:eastAsia="zh-CN"/>
        </w:rPr>
      </w:pPr>
      <w:r>
        <w:rPr>
          <w:rFonts w:hint="eastAsia" w:ascii="仿宋_GB2312" w:hAnsi="仿宋" w:eastAsia="仿宋_GB2312" w:cs="仿宋"/>
          <w:color w:val="auto"/>
          <w:spacing w:val="-4"/>
          <w:sz w:val="32"/>
          <w:szCs w:val="32"/>
          <w:highlight w:val="none"/>
          <w:lang w:eastAsia="zh-CN"/>
        </w:rPr>
        <w:t>无。</w:t>
      </w:r>
    </w:p>
    <w:p>
      <w:pPr>
        <w:spacing w:line="560" w:lineRule="exact"/>
        <w:ind w:firstLine="624" w:firstLineChars="200"/>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（4）项目实施的可持续影响分析</w:t>
      </w:r>
    </w:p>
    <w:p>
      <w:pPr>
        <w:spacing w:line="560" w:lineRule="exact"/>
        <w:ind w:firstLine="624" w:firstLineChars="200"/>
        <w:rPr>
          <w:rFonts w:hint="eastAsia" w:ascii="仿宋_GB2312" w:hAnsi="仿宋" w:eastAsia="仿宋_GB2312"/>
          <w:color w:val="auto"/>
          <w:sz w:val="32"/>
          <w:szCs w:val="32"/>
          <w:highlight w:val="none"/>
        </w:rPr>
      </w:pPr>
      <w:r>
        <w:rPr>
          <w:rFonts w:hint="eastAsia" w:ascii="仿宋_GB2312" w:hAnsi="仿宋" w:eastAsia="仿宋_GB2312" w:cs="仿宋"/>
          <w:color w:val="auto"/>
          <w:spacing w:val="-4"/>
          <w:sz w:val="32"/>
          <w:szCs w:val="32"/>
          <w:highlight w:val="none"/>
        </w:rPr>
        <w:t>持续为群众提供政府公共服务能力，预期指标是长期，</w:t>
      </w:r>
      <w:r>
        <w:rPr>
          <w:rFonts w:hint="eastAsia" w:ascii="仿宋_GB2312" w:hAnsi="仿宋" w:eastAsia="仿宋_GB2312"/>
          <w:color w:val="auto"/>
          <w:sz w:val="32"/>
          <w:szCs w:val="32"/>
          <w:highlight w:val="none"/>
        </w:rPr>
        <w:t>实际完成值是</w:t>
      </w:r>
      <w:r>
        <w:rPr>
          <w:rFonts w:hint="eastAsia" w:ascii="仿宋_GB2312" w:hAnsi="仿宋" w:eastAsia="仿宋_GB2312"/>
          <w:color w:val="auto"/>
          <w:sz w:val="32"/>
          <w:szCs w:val="32"/>
          <w:highlight w:val="none"/>
          <w:lang w:val="en-US" w:eastAsia="zh-CN"/>
        </w:rPr>
        <w:t>长期</w:t>
      </w:r>
      <w:r>
        <w:rPr>
          <w:rFonts w:hint="eastAsia" w:ascii="仿宋_GB2312" w:hAnsi="仿宋" w:eastAsia="仿宋_GB2312"/>
          <w:color w:val="auto"/>
          <w:sz w:val="32"/>
          <w:szCs w:val="32"/>
          <w:highlight w:val="none"/>
        </w:rPr>
        <w:t>，指标完成率是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达到预期目标。</w:t>
      </w:r>
    </w:p>
    <w:p>
      <w:pPr>
        <w:spacing w:line="560" w:lineRule="exact"/>
        <w:ind w:firstLine="624" w:firstLineChars="200"/>
        <w:rPr>
          <w:rFonts w:hint="eastAsia" w:ascii="仿宋_GB2312" w:eastAsia="仿宋_GB2312"/>
          <w:color w:val="auto"/>
          <w:sz w:val="32"/>
          <w:szCs w:val="32"/>
          <w:highlight w:val="none"/>
        </w:rPr>
      </w:pPr>
      <w:r>
        <w:rPr>
          <w:rFonts w:hint="eastAsia" w:ascii="仿宋_GB2312" w:hAnsi="仿宋" w:eastAsia="仿宋_GB2312" w:cs="仿宋"/>
          <w:color w:val="auto"/>
          <w:spacing w:val="-4"/>
          <w:sz w:val="32"/>
          <w:szCs w:val="32"/>
          <w:highlight w:val="none"/>
        </w:rPr>
        <w:t>可持续指标共计</w:t>
      </w:r>
      <w:r>
        <w:rPr>
          <w:rFonts w:hint="eastAsia" w:ascii="仿宋_GB2312" w:hAnsi="仿宋" w:eastAsia="仿宋_GB2312" w:cs="仿宋"/>
          <w:color w:val="auto"/>
          <w:spacing w:val="-4"/>
          <w:sz w:val="32"/>
          <w:szCs w:val="32"/>
          <w:highlight w:val="none"/>
          <w:lang w:val="en-US" w:eastAsia="zh-CN"/>
        </w:rPr>
        <w:t>1</w:t>
      </w:r>
      <w:r>
        <w:rPr>
          <w:rFonts w:hint="eastAsia" w:ascii="仿宋_GB2312" w:hAnsi="仿宋" w:eastAsia="仿宋_GB2312" w:cs="仿宋"/>
          <w:color w:val="auto"/>
          <w:spacing w:val="-4"/>
          <w:sz w:val="32"/>
          <w:szCs w:val="32"/>
          <w:highlight w:val="none"/>
        </w:rPr>
        <w:t>个，完成</w:t>
      </w:r>
      <w:r>
        <w:rPr>
          <w:rFonts w:hint="eastAsia" w:ascii="仿宋_GB2312" w:hAnsi="仿宋" w:eastAsia="仿宋_GB2312" w:cs="仿宋"/>
          <w:color w:val="auto"/>
          <w:spacing w:val="-4"/>
          <w:sz w:val="32"/>
          <w:szCs w:val="32"/>
          <w:highlight w:val="none"/>
          <w:lang w:val="en-US" w:eastAsia="zh-CN"/>
        </w:rPr>
        <w:t>1</w:t>
      </w:r>
      <w:r>
        <w:rPr>
          <w:rFonts w:hint="eastAsia" w:ascii="仿宋_GB2312" w:hAnsi="仿宋" w:eastAsia="仿宋_GB2312" w:cs="仿宋"/>
          <w:color w:val="auto"/>
          <w:spacing w:val="-4"/>
          <w:sz w:val="32"/>
          <w:szCs w:val="32"/>
          <w:highlight w:val="none"/>
        </w:rPr>
        <w:t>个，达到预期目标，</w:t>
      </w:r>
      <w:r>
        <w:rPr>
          <w:rFonts w:hint="eastAsia" w:ascii="仿宋_GB2312" w:hAnsi="Times New Roman" w:eastAsia="仿宋_GB2312" w:cs="Times New Roman"/>
          <w:color w:val="auto"/>
          <w:sz w:val="32"/>
          <w:szCs w:val="32"/>
          <w:highlight w:val="none"/>
        </w:rPr>
        <w:t>可持续影响指标完成。</w:t>
      </w:r>
    </w:p>
    <w:p>
      <w:pPr>
        <w:spacing w:line="560" w:lineRule="exact"/>
        <w:ind w:firstLine="627" w:firstLineChars="200"/>
        <w:rPr>
          <w:rFonts w:ascii="仿宋_GB2312" w:hAnsi="楷体" w:eastAsia="仿宋_GB2312"/>
          <w:b/>
          <w:color w:val="auto"/>
          <w:spacing w:val="-4"/>
          <w:sz w:val="32"/>
          <w:szCs w:val="32"/>
          <w:highlight w:val="none"/>
        </w:rPr>
      </w:pPr>
      <w:r>
        <w:rPr>
          <w:rFonts w:hint="eastAsia" w:ascii="仿宋_GB2312" w:hAnsi="楷体" w:eastAsia="仿宋_GB2312"/>
          <w:b/>
          <w:color w:val="auto"/>
          <w:spacing w:val="-4"/>
          <w:sz w:val="32"/>
          <w:szCs w:val="32"/>
          <w:highlight w:val="none"/>
        </w:rPr>
        <w:t>3．满意度指标完成情况分析</w:t>
      </w:r>
    </w:p>
    <w:p>
      <w:pPr>
        <w:spacing w:line="560" w:lineRule="exact"/>
        <w:ind w:firstLine="624" w:firstLineChars="200"/>
        <w:rPr>
          <w:rFonts w:hint="eastAsia"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干部职工满意度，预期指标是</w:t>
      </w:r>
      <w:r>
        <w:rPr>
          <w:rFonts w:hint="eastAsia" w:ascii="仿宋_GB2312" w:hAnsi="仿宋" w:eastAsia="仿宋_GB2312" w:cs="仿宋"/>
          <w:color w:val="auto"/>
          <w:spacing w:val="-4"/>
          <w:sz w:val="32"/>
          <w:szCs w:val="32"/>
          <w:highlight w:val="none"/>
          <w:lang w:eastAsia="zh-CN"/>
        </w:rPr>
        <w:t>大于等于</w:t>
      </w:r>
      <w:r>
        <w:rPr>
          <w:rFonts w:hint="eastAsia" w:ascii="仿宋_GB2312" w:hAnsi="仿宋" w:eastAsia="仿宋_GB2312" w:cs="仿宋"/>
          <w:color w:val="auto"/>
          <w:spacing w:val="-4"/>
          <w:sz w:val="32"/>
          <w:szCs w:val="32"/>
          <w:highlight w:val="none"/>
          <w:lang w:val="en-US" w:eastAsia="zh-CN"/>
        </w:rPr>
        <w:t>95%</w:t>
      </w:r>
      <w:r>
        <w:rPr>
          <w:rFonts w:hint="eastAsia" w:ascii="仿宋_GB2312" w:hAnsi="仿宋" w:eastAsia="仿宋_GB2312" w:cs="仿宋"/>
          <w:color w:val="auto"/>
          <w:spacing w:val="-4"/>
          <w:sz w:val="32"/>
          <w:szCs w:val="32"/>
          <w:highlight w:val="none"/>
        </w:rPr>
        <w:t>，实际完成值是</w:t>
      </w:r>
      <w:r>
        <w:rPr>
          <w:rFonts w:hint="eastAsia" w:ascii="仿宋_GB2312" w:hAnsi="仿宋" w:eastAsia="仿宋_GB2312" w:cs="仿宋"/>
          <w:color w:val="auto"/>
          <w:spacing w:val="-4"/>
          <w:sz w:val="32"/>
          <w:szCs w:val="32"/>
          <w:highlight w:val="none"/>
          <w:lang w:val="en-US" w:eastAsia="zh-CN"/>
        </w:rPr>
        <w:t>95%</w:t>
      </w:r>
      <w:r>
        <w:rPr>
          <w:rFonts w:hint="eastAsia" w:ascii="仿宋_GB2312" w:hAnsi="仿宋" w:eastAsia="仿宋_GB2312" w:cs="仿宋"/>
          <w:color w:val="auto"/>
          <w:spacing w:val="-4"/>
          <w:sz w:val="32"/>
          <w:szCs w:val="32"/>
          <w:highlight w:val="none"/>
        </w:rPr>
        <w:t>，指标完成率是</w:t>
      </w:r>
      <w:r>
        <w:rPr>
          <w:rFonts w:hint="eastAsia" w:ascii="仿宋_GB2312" w:hAnsi="仿宋" w:eastAsia="仿宋_GB2312" w:cs="仿宋"/>
          <w:color w:val="auto"/>
          <w:spacing w:val="-4"/>
          <w:sz w:val="32"/>
          <w:szCs w:val="32"/>
          <w:highlight w:val="none"/>
          <w:lang w:val="en-US" w:eastAsia="zh-CN"/>
        </w:rPr>
        <w:t>100</w:t>
      </w:r>
      <w:r>
        <w:rPr>
          <w:rFonts w:hint="eastAsia" w:ascii="仿宋_GB2312" w:hAnsi="仿宋" w:eastAsia="仿宋_GB2312" w:cs="仿宋"/>
          <w:color w:val="auto"/>
          <w:spacing w:val="-4"/>
          <w:sz w:val="32"/>
          <w:szCs w:val="32"/>
          <w:highlight w:val="none"/>
        </w:rPr>
        <w:t>%</w:t>
      </w:r>
      <w:r>
        <w:rPr>
          <w:rFonts w:hint="eastAsia" w:ascii="仿宋_GB2312" w:hAnsi="仿宋" w:eastAsia="仿宋_GB2312" w:cs="仿宋"/>
          <w:color w:val="auto"/>
          <w:spacing w:val="-4"/>
          <w:sz w:val="32"/>
          <w:szCs w:val="32"/>
          <w:highlight w:val="none"/>
          <w:lang w:eastAsia="zh-CN"/>
        </w:rPr>
        <w:t>，</w:t>
      </w:r>
      <w:r>
        <w:rPr>
          <w:rFonts w:hint="eastAsia" w:ascii="仿宋_GB2312" w:hAnsi="仿宋" w:eastAsia="仿宋_GB2312" w:cs="仿宋"/>
          <w:color w:val="auto"/>
          <w:spacing w:val="-4"/>
          <w:sz w:val="32"/>
          <w:szCs w:val="32"/>
          <w:highlight w:val="none"/>
        </w:rPr>
        <w:t>达到预期目标。</w:t>
      </w:r>
    </w:p>
    <w:p>
      <w:pPr>
        <w:spacing w:line="560" w:lineRule="exact"/>
        <w:ind w:firstLine="624" w:firstLineChars="200"/>
        <w:rPr>
          <w:rFonts w:hint="eastAsia"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受益群众满意度，预期指标是</w:t>
      </w:r>
      <w:r>
        <w:rPr>
          <w:rFonts w:hint="eastAsia" w:ascii="仿宋_GB2312" w:hAnsi="仿宋" w:eastAsia="仿宋_GB2312" w:cs="仿宋"/>
          <w:color w:val="auto"/>
          <w:spacing w:val="-4"/>
          <w:sz w:val="32"/>
          <w:szCs w:val="32"/>
          <w:highlight w:val="none"/>
          <w:lang w:eastAsia="zh-CN"/>
        </w:rPr>
        <w:t>大于等于</w:t>
      </w:r>
      <w:r>
        <w:rPr>
          <w:rFonts w:hint="eastAsia" w:ascii="仿宋_GB2312" w:hAnsi="仿宋" w:eastAsia="仿宋_GB2312" w:cs="仿宋"/>
          <w:color w:val="auto"/>
          <w:spacing w:val="-4"/>
          <w:sz w:val="32"/>
          <w:szCs w:val="32"/>
          <w:highlight w:val="none"/>
          <w:lang w:val="en-US" w:eastAsia="zh-CN"/>
        </w:rPr>
        <w:t>95%</w:t>
      </w:r>
      <w:r>
        <w:rPr>
          <w:rFonts w:hint="eastAsia" w:ascii="仿宋_GB2312" w:hAnsi="仿宋" w:eastAsia="仿宋_GB2312" w:cs="仿宋"/>
          <w:color w:val="auto"/>
          <w:spacing w:val="-4"/>
          <w:sz w:val="32"/>
          <w:szCs w:val="32"/>
          <w:highlight w:val="none"/>
        </w:rPr>
        <w:t>，实际完成值是</w:t>
      </w:r>
      <w:r>
        <w:rPr>
          <w:rFonts w:hint="eastAsia" w:ascii="仿宋_GB2312" w:hAnsi="仿宋" w:eastAsia="仿宋_GB2312" w:cs="仿宋"/>
          <w:color w:val="auto"/>
          <w:spacing w:val="-4"/>
          <w:sz w:val="32"/>
          <w:szCs w:val="32"/>
          <w:highlight w:val="none"/>
          <w:lang w:val="en-US" w:eastAsia="zh-CN"/>
        </w:rPr>
        <w:t>95%</w:t>
      </w:r>
      <w:r>
        <w:rPr>
          <w:rFonts w:hint="eastAsia" w:ascii="仿宋_GB2312" w:hAnsi="仿宋" w:eastAsia="仿宋_GB2312" w:cs="仿宋"/>
          <w:color w:val="auto"/>
          <w:spacing w:val="-4"/>
          <w:sz w:val="32"/>
          <w:szCs w:val="32"/>
          <w:highlight w:val="none"/>
        </w:rPr>
        <w:t>，指标完成率是</w:t>
      </w:r>
      <w:r>
        <w:rPr>
          <w:rFonts w:hint="eastAsia" w:ascii="仿宋_GB2312" w:hAnsi="仿宋" w:eastAsia="仿宋_GB2312" w:cs="仿宋"/>
          <w:color w:val="auto"/>
          <w:spacing w:val="-4"/>
          <w:sz w:val="32"/>
          <w:szCs w:val="32"/>
          <w:highlight w:val="none"/>
          <w:lang w:val="en-US" w:eastAsia="zh-CN"/>
        </w:rPr>
        <w:t>100</w:t>
      </w:r>
      <w:r>
        <w:rPr>
          <w:rFonts w:hint="eastAsia" w:ascii="仿宋_GB2312" w:hAnsi="仿宋" w:eastAsia="仿宋_GB2312" w:cs="仿宋"/>
          <w:color w:val="auto"/>
          <w:spacing w:val="-4"/>
          <w:sz w:val="32"/>
          <w:szCs w:val="32"/>
          <w:highlight w:val="none"/>
        </w:rPr>
        <w:t>%</w:t>
      </w:r>
      <w:r>
        <w:rPr>
          <w:rFonts w:hint="eastAsia" w:ascii="仿宋_GB2312" w:hAnsi="仿宋" w:eastAsia="仿宋_GB2312" w:cs="仿宋"/>
          <w:color w:val="auto"/>
          <w:spacing w:val="-4"/>
          <w:sz w:val="32"/>
          <w:szCs w:val="32"/>
          <w:highlight w:val="none"/>
          <w:lang w:eastAsia="zh-CN"/>
        </w:rPr>
        <w:t>，</w:t>
      </w:r>
      <w:r>
        <w:rPr>
          <w:rFonts w:hint="eastAsia" w:ascii="仿宋_GB2312" w:hAnsi="仿宋" w:eastAsia="仿宋_GB2312" w:cs="仿宋"/>
          <w:color w:val="auto"/>
          <w:spacing w:val="-4"/>
          <w:sz w:val="32"/>
          <w:szCs w:val="32"/>
          <w:highlight w:val="none"/>
        </w:rPr>
        <w:t>达到预期目标。</w:t>
      </w:r>
    </w:p>
    <w:p>
      <w:pPr>
        <w:spacing w:line="560" w:lineRule="exact"/>
        <w:ind w:firstLine="624" w:firstLineChars="200"/>
        <w:rPr>
          <w:rFonts w:hint="eastAsia" w:ascii="仿宋_GB2312" w:hAnsi="仿宋" w:eastAsia="仿宋_GB2312" w:cs="仿宋"/>
          <w:color w:val="auto"/>
          <w:spacing w:val="-4"/>
          <w:sz w:val="32"/>
          <w:szCs w:val="32"/>
          <w:highlight w:val="none"/>
          <w:lang w:val="en-US" w:eastAsia="zh-CN"/>
        </w:rPr>
      </w:pPr>
      <w:r>
        <w:rPr>
          <w:rFonts w:hint="eastAsia" w:ascii="仿宋_GB2312" w:hAnsi="仿宋" w:eastAsia="仿宋_GB2312" w:cs="仿宋"/>
          <w:color w:val="auto"/>
          <w:spacing w:val="-4"/>
          <w:sz w:val="32"/>
          <w:szCs w:val="32"/>
          <w:highlight w:val="none"/>
        </w:rPr>
        <w:t>满意度指标共计</w:t>
      </w:r>
      <w:r>
        <w:rPr>
          <w:rFonts w:hint="eastAsia" w:ascii="仿宋_GB2312" w:hAnsi="仿宋" w:eastAsia="仿宋_GB2312" w:cs="仿宋"/>
          <w:color w:val="auto"/>
          <w:spacing w:val="-4"/>
          <w:sz w:val="32"/>
          <w:szCs w:val="32"/>
          <w:highlight w:val="none"/>
          <w:lang w:val="en-US" w:eastAsia="zh-CN"/>
        </w:rPr>
        <w:t>2</w:t>
      </w:r>
      <w:r>
        <w:rPr>
          <w:rFonts w:hint="eastAsia" w:ascii="仿宋_GB2312" w:hAnsi="仿宋" w:eastAsia="仿宋_GB2312" w:cs="仿宋"/>
          <w:color w:val="auto"/>
          <w:spacing w:val="-4"/>
          <w:sz w:val="32"/>
          <w:szCs w:val="32"/>
          <w:highlight w:val="none"/>
        </w:rPr>
        <w:t>个，完成</w:t>
      </w:r>
      <w:r>
        <w:rPr>
          <w:rFonts w:hint="eastAsia" w:ascii="仿宋_GB2312" w:hAnsi="仿宋" w:eastAsia="仿宋_GB2312" w:cs="仿宋"/>
          <w:color w:val="auto"/>
          <w:spacing w:val="-4"/>
          <w:sz w:val="32"/>
          <w:szCs w:val="32"/>
          <w:highlight w:val="none"/>
          <w:lang w:val="en-US" w:eastAsia="zh-CN"/>
        </w:rPr>
        <w:t>2</w:t>
      </w:r>
      <w:r>
        <w:rPr>
          <w:rFonts w:hint="eastAsia" w:ascii="仿宋_GB2312" w:hAnsi="仿宋" w:eastAsia="仿宋_GB2312" w:cs="仿宋"/>
          <w:color w:val="auto"/>
          <w:spacing w:val="-4"/>
          <w:sz w:val="32"/>
          <w:szCs w:val="32"/>
          <w:highlight w:val="none"/>
        </w:rPr>
        <w:t>个，达到预期目标，服务对象满意度指标完成。</w:t>
      </w:r>
    </w:p>
    <w:p>
      <w:pPr>
        <w:spacing w:line="560" w:lineRule="exact"/>
        <w:ind w:firstLine="624" w:firstLineChars="200"/>
        <w:rPr>
          <w:rFonts w:hint="eastAsia"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经济性评价：</w:t>
      </w:r>
      <w:r>
        <w:rPr>
          <w:rFonts w:hint="eastAsia" w:ascii="仿宋_GB2312" w:hAnsi="仿宋" w:eastAsia="仿宋_GB2312" w:cs="仿宋"/>
          <w:color w:val="auto"/>
          <w:spacing w:val="-4"/>
          <w:sz w:val="32"/>
          <w:szCs w:val="32"/>
          <w:highlight w:val="none"/>
          <w:lang w:eastAsia="zh-CN"/>
        </w:rPr>
        <w:t>单位</w:t>
      </w:r>
      <w:r>
        <w:rPr>
          <w:rFonts w:hint="eastAsia" w:ascii="仿宋_GB2312" w:hAnsi="仿宋" w:eastAsia="仿宋_GB2312" w:cs="仿宋"/>
          <w:color w:val="auto"/>
          <w:spacing w:val="-4"/>
          <w:sz w:val="32"/>
          <w:szCs w:val="32"/>
          <w:highlight w:val="none"/>
        </w:rPr>
        <w:t>年度任务在预算资金额度内完成，并通过规范的招投标及严格的资金管理及项目管理及其他创新的管理措施实现了资金的节约。三公经费在预算范围内开支，开支范围较上年的变化，有节约。</w:t>
      </w:r>
    </w:p>
    <w:p>
      <w:pPr>
        <w:spacing w:line="560" w:lineRule="exact"/>
        <w:ind w:firstLine="624" w:firstLineChars="200"/>
        <w:rPr>
          <w:rFonts w:hint="eastAsia"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效率性评价：各项工作计划按预期计划按时完成，效益按预期时间产生。</w:t>
      </w:r>
    </w:p>
    <w:p>
      <w:pPr>
        <w:spacing w:line="560" w:lineRule="exact"/>
        <w:ind w:firstLine="624" w:firstLineChars="200"/>
        <w:rPr>
          <w:rFonts w:hint="default" w:ascii="仿宋_GB2312" w:hAnsi="仿宋" w:eastAsia="仿宋_GB2312" w:cs="仿宋"/>
          <w:color w:val="auto"/>
          <w:spacing w:val="-4"/>
          <w:sz w:val="32"/>
          <w:szCs w:val="32"/>
          <w:highlight w:val="none"/>
          <w:lang w:val="en-US" w:eastAsia="zh-CN"/>
        </w:rPr>
      </w:pPr>
      <w:r>
        <w:rPr>
          <w:rFonts w:hint="eastAsia" w:ascii="仿宋_GB2312" w:hAnsi="仿宋" w:eastAsia="仿宋_GB2312" w:cs="仿宋"/>
          <w:color w:val="auto"/>
          <w:spacing w:val="-4"/>
          <w:sz w:val="32"/>
          <w:szCs w:val="32"/>
          <w:highlight w:val="none"/>
        </w:rPr>
        <w:t>效益性评价：预期的经济效益、社会效益、产生可持续的影响，相关人员的满意度</w:t>
      </w:r>
      <w:r>
        <w:rPr>
          <w:rFonts w:hint="eastAsia" w:ascii="仿宋_GB2312" w:hAnsi="仿宋" w:eastAsia="仿宋_GB2312" w:cs="仿宋"/>
          <w:color w:val="auto"/>
          <w:spacing w:val="-4"/>
          <w:sz w:val="32"/>
          <w:szCs w:val="32"/>
          <w:highlight w:val="none"/>
          <w:lang w:eastAsia="zh-CN"/>
        </w:rPr>
        <w:t>为</w:t>
      </w:r>
      <w:r>
        <w:rPr>
          <w:rFonts w:hint="eastAsia" w:ascii="仿宋_GB2312" w:hAnsi="仿宋" w:eastAsia="仿宋_GB2312" w:cs="仿宋"/>
          <w:color w:val="auto"/>
          <w:spacing w:val="-4"/>
          <w:sz w:val="32"/>
          <w:szCs w:val="32"/>
          <w:highlight w:val="none"/>
          <w:lang w:val="en-US" w:eastAsia="zh-CN"/>
        </w:rPr>
        <w:t>95%。</w:t>
      </w:r>
    </w:p>
    <w:p>
      <w:pPr>
        <w:pStyle w:val="14"/>
        <w:spacing w:line="560" w:lineRule="exact"/>
        <w:ind w:firstLine="624"/>
        <w:rPr>
          <w:rStyle w:val="12"/>
          <w:rFonts w:ascii="黑体" w:hAnsi="黑体" w:eastAsia="黑体" w:cs="Times New Roman"/>
          <w:b w:val="0"/>
          <w:color w:val="auto"/>
          <w:spacing w:val="-4"/>
          <w:sz w:val="32"/>
          <w:szCs w:val="32"/>
          <w:highlight w:val="none"/>
        </w:rPr>
      </w:pPr>
      <w:r>
        <w:rPr>
          <w:rStyle w:val="12"/>
          <w:rFonts w:hint="eastAsia" w:ascii="黑体" w:hAnsi="黑体" w:eastAsia="黑体" w:cs="Times New Roman"/>
          <w:b w:val="0"/>
          <w:color w:val="auto"/>
          <w:spacing w:val="-4"/>
          <w:sz w:val="32"/>
          <w:szCs w:val="32"/>
          <w:highlight w:val="none"/>
        </w:rPr>
        <w:t>六、存在的主要问题</w:t>
      </w:r>
    </w:p>
    <w:p>
      <w:pPr>
        <w:spacing w:line="560" w:lineRule="exact"/>
        <w:ind w:firstLine="624" w:firstLineChars="200"/>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(一)预算执行存在偏差</w:t>
      </w:r>
    </w:p>
    <w:p>
      <w:pPr>
        <w:spacing w:line="560" w:lineRule="exact"/>
        <w:ind w:firstLine="624" w:firstLineChars="200"/>
        <w:rPr>
          <w:rFonts w:ascii="仿宋_GB2312" w:hAnsi="仿宋" w:eastAsia="仿宋_GB2312" w:cs="仿宋"/>
          <w:color w:val="auto"/>
          <w:spacing w:val="-4"/>
          <w:sz w:val="32"/>
          <w:szCs w:val="32"/>
          <w:highlight w:val="none"/>
        </w:rPr>
      </w:pPr>
      <w:r>
        <w:rPr>
          <w:rFonts w:ascii="仿宋_GB2312" w:hAnsi="仿宋" w:eastAsia="仿宋_GB2312" w:cs="仿宋"/>
          <w:color w:val="auto"/>
          <w:spacing w:val="-4"/>
          <w:sz w:val="32"/>
          <w:szCs w:val="32"/>
          <w:highlight w:val="none"/>
        </w:rPr>
        <w:t>由于项目支出指标到12月份才下达指示，在预算执行中造成个别预算调剂现象。对个别项目资金使用方面预算不够细致，出现实际支出数超出了预算申报数和出现项目资金结金数额多的情况。</w:t>
      </w:r>
    </w:p>
    <w:p>
      <w:pPr>
        <w:spacing w:line="560" w:lineRule="exact"/>
        <w:ind w:firstLine="624" w:firstLineChars="200"/>
        <w:rPr>
          <w:rFonts w:ascii="楷体" w:hAnsi="楷体" w:eastAsia="楷体" w:cs="仿宋"/>
          <w:color w:val="auto"/>
          <w:spacing w:val="-4"/>
          <w:sz w:val="32"/>
          <w:szCs w:val="32"/>
          <w:highlight w:val="none"/>
        </w:rPr>
      </w:pPr>
      <w:r>
        <w:rPr>
          <w:rFonts w:hint="eastAsia" w:ascii="楷体" w:hAnsi="楷体" w:eastAsia="楷体" w:cs="仿宋"/>
          <w:color w:val="auto"/>
          <w:spacing w:val="-4"/>
          <w:sz w:val="32"/>
          <w:szCs w:val="32"/>
          <w:highlight w:val="none"/>
        </w:rPr>
        <w:t>（二）</w:t>
      </w:r>
      <w:r>
        <w:rPr>
          <w:rFonts w:ascii="楷体" w:hAnsi="楷体" w:eastAsia="楷体" w:cs="仿宋"/>
          <w:color w:val="auto"/>
          <w:spacing w:val="-4"/>
          <w:sz w:val="32"/>
          <w:szCs w:val="32"/>
          <w:highlight w:val="none"/>
        </w:rPr>
        <w:t>目标设定科学性及评价存在难度</w:t>
      </w:r>
    </w:p>
    <w:p>
      <w:pPr>
        <w:spacing w:line="560" w:lineRule="exact"/>
        <w:ind w:firstLine="624" w:firstLineChars="200"/>
        <w:rPr>
          <w:rFonts w:ascii="仿宋_GB2312" w:hAnsi="仿宋" w:eastAsia="仿宋_GB2312" w:cs="仿宋"/>
          <w:color w:val="auto"/>
          <w:spacing w:val="-4"/>
          <w:sz w:val="32"/>
          <w:szCs w:val="32"/>
          <w:highlight w:val="none"/>
        </w:rPr>
      </w:pPr>
      <w:r>
        <w:rPr>
          <w:rFonts w:ascii="仿宋_GB2312" w:hAnsi="仿宋" w:eastAsia="仿宋_GB2312" w:cs="仿宋"/>
          <w:color w:val="auto"/>
          <w:spacing w:val="-4"/>
          <w:sz w:val="32"/>
          <w:szCs w:val="32"/>
          <w:highlight w:val="none"/>
        </w:rPr>
        <w:t>对于目标设定需要分科室</w:t>
      </w:r>
      <w:r>
        <w:rPr>
          <w:rFonts w:hint="eastAsia" w:ascii="仿宋_GB2312" w:hAnsi="仿宋" w:eastAsia="仿宋_GB2312" w:cs="仿宋"/>
          <w:color w:val="auto"/>
          <w:spacing w:val="-4"/>
          <w:sz w:val="32"/>
          <w:szCs w:val="32"/>
          <w:highlight w:val="none"/>
          <w:lang w:eastAsia="zh-CN"/>
        </w:rPr>
        <w:t>单位</w:t>
      </w:r>
      <w:r>
        <w:rPr>
          <w:rFonts w:ascii="仿宋_GB2312" w:hAnsi="仿宋" w:eastAsia="仿宋_GB2312" w:cs="仿宋"/>
          <w:color w:val="auto"/>
          <w:spacing w:val="-4"/>
          <w:sz w:val="32"/>
          <w:szCs w:val="32"/>
          <w:highlight w:val="none"/>
        </w:rPr>
        <w:t>分解,汇总后制定整体目标，如何科学整合全单位绩效目标比较困难；目标设定后如何科学设定考核评价标准，特别是对于不能量化的目标如何评价。</w:t>
      </w:r>
    </w:p>
    <w:p>
      <w:pPr>
        <w:spacing w:line="560" w:lineRule="exact"/>
        <w:ind w:firstLine="624" w:firstLineChars="200"/>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（三）财务管理方面，会计核算还不够细致,对于有些能够细分的工作,未能详细分类核算,绩效评价基础数据不够精准。</w:t>
      </w:r>
    </w:p>
    <w:p>
      <w:pPr>
        <w:spacing w:line="560" w:lineRule="exact"/>
        <w:ind w:firstLine="624" w:firstLineChars="200"/>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（四）固定资产管理水平有待提高</w:t>
      </w:r>
    </w:p>
    <w:p>
      <w:pPr>
        <w:spacing w:line="560" w:lineRule="exact"/>
        <w:ind w:firstLine="624" w:firstLineChars="200"/>
        <w:rPr>
          <w:rFonts w:ascii="仿宋_GB2312" w:hAnsi="仿宋" w:eastAsia="仿宋_GB2312" w:cs="仿宋"/>
          <w:color w:val="auto"/>
          <w:spacing w:val="-4"/>
          <w:sz w:val="32"/>
          <w:szCs w:val="32"/>
          <w:highlight w:val="none"/>
        </w:rPr>
      </w:pPr>
      <w:r>
        <w:rPr>
          <w:rFonts w:ascii="仿宋_GB2312" w:hAnsi="仿宋" w:eastAsia="仿宋_GB2312" w:cs="仿宋"/>
          <w:color w:val="auto"/>
          <w:spacing w:val="-4"/>
          <w:sz w:val="32"/>
          <w:szCs w:val="32"/>
          <w:highlight w:val="none"/>
        </w:rPr>
        <w:t>固定资产台账未及时与账面资产金额对账且末与实物进行清点及及时清理处置报废资产导致资产台账与账面资产金额存在差异,固定资产管理继续加强中。</w:t>
      </w:r>
    </w:p>
    <w:p>
      <w:pPr>
        <w:pStyle w:val="14"/>
        <w:spacing w:line="560" w:lineRule="exact"/>
        <w:ind w:firstLine="624"/>
        <w:rPr>
          <w:rStyle w:val="12"/>
          <w:rFonts w:ascii="黑体" w:hAnsi="黑体" w:eastAsia="黑体" w:cs="Times New Roman"/>
          <w:b w:val="0"/>
          <w:color w:val="auto"/>
          <w:spacing w:val="-4"/>
          <w:sz w:val="32"/>
          <w:szCs w:val="32"/>
          <w:highlight w:val="none"/>
        </w:rPr>
      </w:pPr>
      <w:r>
        <w:rPr>
          <w:rStyle w:val="12"/>
          <w:rFonts w:hint="eastAsia" w:ascii="黑体" w:hAnsi="黑体" w:eastAsia="黑体" w:cs="Times New Roman"/>
          <w:b w:val="0"/>
          <w:color w:val="auto"/>
          <w:spacing w:val="-4"/>
          <w:sz w:val="32"/>
          <w:szCs w:val="32"/>
          <w:highlight w:val="none"/>
        </w:rPr>
        <w:t>七、改进措施和建议</w:t>
      </w:r>
    </w:p>
    <w:p>
      <w:pPr>
        <w:pStyle w:val="7"/>
        <w:widowControl/>
        <w:spacing w:before="0" w:beforeAutospacing="0" w:after="0" w:afterAutospacing="0" w:line="560" w:lineRule="exact"/>
        <w:ind w:firstLine="624" w:firstLineChars="200"/>
        <w:jc w:val="both"/>
        <w:rPr>
          <w:rFonts w:ascii="楷体" w:hAnsi="楷体" w:eastAsia="楷体" w:cs="仿宋"/>
          <w:color w:val="auto"/>
          <w:spacing w:val="-4"/>
          <w:sz w:val="32"/>
          <w:szCs w:val="32"/>
          <w:highlight w:val="none"/>
        </w:rPr>
      </w:pPr>
      <w:r>
        <w:rPr>
          <w:rFonts w:hint="eastAsia" w:ascii="楷体" w:hAnsi="楷体" w:eastAsia="楷体" w:cs="仿宋"/>
          <w:color w:val="auto"/>
          <w:spacing w:val="-4"/>
          <w:sz w:val="32"/>
          <w:szCs w:val="32"/>
          <w:highlight w:val="none"/>
        </w:rPr>
        <w:t>（一）</w:t>
      </w:r>
      <w:r>
        <w:rPr>
          <w:rFonts w:ascii="楷体" w:hAnsi="楷体" w:eastAsia="楷体" w:cs="仿宋"/>
          <w:color w:val="auto"/>
          <w:spacing w:val="-4"/>
          <w:sz w:val="32"/>
          <w:szCs w:val="32"/>
          <w:highlight w:val="none"/>
        </w:rPr>
        <w:t>加强新行政单位会计制度和新预算法学习培训</w:t>
      </w:r>
      <w:r>
        <w:rPr>
          <w:rFonts w:hint="eastAsia" w:ascii="楷体" w:hAnsi="楷体" w:eastAsia="楷体" w:cs="仿宋"/>
          <w:color w:val="auto"/>
          <w:spacing w:val="-4"/>
          <w:sz w:val="32"/>
          <w:szCs w:val="32"/>
          <w:highlight w:val="none"/>
        </w:rPr>
        <w:t>，</w:t>
      </w:r>
      <w:r>
        <w:rPr>
          <w:rFonts w:ascii="楷体" w:hAnsi="楷体" w:eastAsia="楷体" w:cs="仿宋"/>
          <w:color w:val="auto"/>
          <w:spacing w:val="-4"/>
          <w:sz w:val="32"/>
          <w:szCs w:val="32"/>
          <w:highlight w:val="none"/>
        </w:rPr>
        <w:t>规范账务处理</w:t>
      </w:r>
      <w:r>
        <w:rPr>
          <w:rFonts w:hint="eastAsia" w:ascii="楷体" w:hAnsi="楷体" w:eastAsia="楷体" w:cs="仿宋"/>
          <w:color w:val="auto"/>
          <w:spacing w:val="-4"/>
          <w:sz w:val="32"/>
          <w:szCs w:val="32"/>
          <w:highlight w:val="none"/>
        </w:rPr>
        <w:t>，</w:t>
      </w:r>
      <w:r>
        <w:rPr>
          <w:rFonts w:ascii="楷体" w:hAnsi="楷体" w:eastAsia="楷体" w:cs="仿宋"/>
          <w:color w:val="auto"/>
          <w:spacing w:val="-4"/>
          <w:sz w:val="32"/>
          <w:szCs w:val="32"/>
          <w:highlight w:val="none"/>
        </w:rPr>
        <w:t>加强新《预算法》、《行政单位会计制度》 、《会计法》 、《行政单位财务规则》等学习培训,规范</w:t>
      </w:r>
      <w:r>
        <w:rPr>
          <w:rFonts w:hint="eastAsia" w:ascii="楷体" w:hAnsi="楷体" w:eastAsia="楷体" w:cs="仿宋"/>
          <w:color w:val="auto"/>
          <w:spacing w:val="-4"/>
          <w:sz w:val="32"/>
          <w:szCs w:val="32"/>
          <w:highlight w:val="none"/>
          <w:lang w:eastAsia="zh-CN"/>
        </w:rPr>
        <w:t>单位</w:t>
      </w:r>
      <w:r>
        <w:rPr>
          <w:rFonts w:ascii="楷体" w:hAnsi="楷体" w:eastAsia="楷体" w:cs="仿宋"/>
          <w:color w:val="auto"/>
          <w:spacing w:val="-4"/>
          <w:sz w:val="32"/>
          <w:szCs w:val="32"/>
          <w:highlight w:val="none"/>
        </w:rPr>
        <w:t>预算收支核算</w:t>
      </w:r>
      <w:r>
        <w:rPr>
          <w:rFonts w:hint="eastAsia" w:ascii="楷体" w:hAnsi="楷体" w:eastAsia="楷体" w:cs="仿宋"/>
          <w:color w:val="auto"/>
          <w:spacing w:val="-4"/>
          <w:sz w:val="32"/>
          <w:szCs w:val="32"/>
          <w:highlight w:val="none"/>
        </w:rPr>
        <w:t>。</w:t>
      </w:r>
      <w:r>
        <w:rPr>
          <w:rFonts w:ascii="楷体" w:hAnsi="楷体" w:eastAsia="楷体" w:cs="仿宋"/>
          <w:color w:val="auto"/>
          <w:spacing w:val="-4"/>
          <w:sz w:val="32"/>
          <w:szCs w:val="32"/>
          <w:highlight w:val="none"/>
        </w:rPr>
        <w:t>制定和完善基本支出、项目支出等各项支出标准,严格按项目和进度执行预算, 增强预算的约束力和严肃性</w:t>
      </w:r>
      <w:r>
        <w:rPr>
          <w:rFonts w:hint="eastAsia" w:ascii="楷体" w:hAnsi="楷体" w:eastAsia="楷体" w:cs="仿宋"/>
          <w:color w:val="auto"/>
          <w:spacing w:val="-4"/>
          <w:sz w:val="32"/>
          <w:szCs w:val="32"/>
          <w:highlight w:val="none"/>
        </w:rPr>
        <w:t>；</w:t>
      </w:r>
      <w:r>
        <w:rPr>
          <w:rFonts w:ascii="楷体" w:hAnsi="楷体" w:eastAsia="楷体" w:cs="仿宋"/>
          <w:color w:val="auto"/>
          <w:spacing w:val="-4"/>
          <w:sz w:val="32"/>
          <w:szCs w:val="32"/>
          <w:highlight w:val="none"/>
        </w:rPr>
        <w:t>落实预算执行分析,及时了解预算执行差异,合理调整、纠正预算执行偏差，切实提高</w:t>
      </w:r>
      <w:r>
        <w:rPr>
          <w:rFonts w:hint="eastAsia" w:ascii="楷体" w:hAnsi="楷体" w:eastAsia="楷体" w:cs="仿宋"/>
          <w:color w:val="auto"/>
          <w:spacing w:val="-4"/>
          <w:sz w:val="32"/>
          <w:szCs w:val="32"/>
          <w:highlight w:val="none"/>
          <w:lang w:eastAsia="zh-CN"/>
        </w:rPr>
        <w:t>单位</w:t>
      </w:r>
      <w:r>
        <w:rPr>
          <w:rFonts w:ascii="楷体" w:hAnsi="楷体" w:eastAsia="楷体" w:cs="仿宋"/>
          <w:color w:val="auto"/>
          <w:spacing w:val="-4"/>
          <w:sz w:val="32"/>
          <w:szCs w:val="32"/>
          <w:highlight w:val="none"/>
        </w:rPr>
        <w:t>预算收支管理水平。尽可能地做到决算与预算相衔接。</w:t>
      </w:r>
    </w:p>
    <w:p>
      <w:pPr>
        <w:pStyle w:val="7"/>
        <w:widowControl/>
        <w:spacing w:before="0" w:beforeAutospacing="0" w:after="0" w:afterAutospacing="0" w:line="560" w:lineRule="exact"/>
        <w:ind w:firstLine="624" w:firstLineChars="200"/>
        <w:jc w:val="both"/>
        <w:rPr>
          <w:rFonts w:ascii="楷体" w:hAnsi="楷体" w:eastAsia="楷体" w:cs="仿宋"/>
          <w:color w:val="auto"/>
          <w:spacing w:val="-4"/>
          <w:sz w:val="32"/>
          <w:szCs w:val="32"/>
          <w:highlight w:val="none"/>
        </w:rPr>
      </w:pPr>
      <w:r>
        <w:rPr>
          <w:rFonts w:hint="eastAsia" w:ascii="楷体" w:hAnsi="楷体" w:eastAsia="楷体" w:cs="仿宋"/>
          <w:color w:val="auto"/>
          <w:spacing w:val="-4"/>
          <w:sz w:val="32"/>
          <w:szCs w:val="32"/>
          <w:highlight w:val="none"/>
        </w:rPr>
        <w:t>（二）</w:t>
      </w:r>
      <w:r>
        <w:rPr>
          <w:rFonts w:ascii="楷体" w:hAnsi="楷体" w:eastAsia="楷体" w:cs="仿宋"/>
          <w:color w:val="auto"/>
          <w:spacing w:val="-4"/>
          <w:sz w:val="32"/>
          <w:szCs w:val="32"/>
          <w:highlight w:val="none"/>
        </w:rPr>
        <w:t>完善管理制度,进</w:t>
      </w:r>
      <w:r>
        <w:rPr>
          <w:rFonts w:hint="eastAsia" w:ascii="楷体" w:hAnsi="楷体" w:eastAsia="楷体" w:cs="仿宋"/>
          <w:color w:val="auto"/>
          <w:spacing w:val="-4"/>
          <w:sz w:val="32"/>
          <w:szCs w:val="32"/>
          <w:highlight w:val="none"/>
          <w:lang w:val="en-US" w:eastAsia="zh-CN"/>
        </w:rPr>
        <w:t>一步</w:t>
      </w:r>
      <w:r>
        <w:rPr>
          <w:rFonts w:ascii="楷体" w:hAnsi="楷体" w:eastAsia="楷体" w:cs="仿宋"/>
          <w:color w:val="auto"/>
          <w:spacing w:val="-4"/>
          <w:sz w:val="32"/>
          <w:szCs w:val="32"/>
          <w:highlight w:val="none"/>
        </w:rPr>
        <w:t>加强资产管理</w:t>
      </w:r>
    </w:p>
    <w:p>
      <w:pPr>
        <w:pStyle w:val="7"/>
        <w:widowControl/>
        <w:spacing w:before="0" w:beforeAutospacing="0" w:after="0" w:afterAutospacing="0" w:line="560" w:lineRule="exact"/>
        <w:ind w:firstLine="624" w:firstLineChars="200"/>
        <w:jc w:val="both"/>
        <w:rPr>
          <w:rFonts w:ascii="仿宋_GB2312" w:hAnsi="仿宋" w:eastAsia="仿宋_GB2312" w:cs="仿宋"/>
          <w:color w:val="auto"/>
          <w:spacing w:val="-4"/>
          <w:sz w:val="32"/>
          <w:szCs w:val="32"/>
          <w:highlight w:val="none"/>
        </w:rPr>
      </w:pPr>
      <w:r>
        <w:rPr>
          <w:rFonts w:ascii="仿宋_GB2312" w:hAnsi="仿宋" w:eastAsia="仿宋_GB2312" w:cs="仿宋"/>
          <w:color w:val="auto"/>
          <w:spacing w:val="-4"/>
          <w:sz w:val="32"/>
          <w:szCs w:val="32"/>
          <w:highlight w:val="none"/>
        </w:rPr>
        <w:t>严格按照《固定资产管理办法》的规定加强固定资产管理,及时登记、更新台账，加强资产卡片管理,对各类实物资产进行全面盘点,确保账账、账实相符。</w:t>
      </w:r>
    </w:p>
    <w:p>
      <w:pPr>
        <w:pStyle w:val="7"/>
        <w:widowControl/>
        <w:spacing w:before="0" w:beforeAutospacing="0" w:after="0" w:afterAutospacing="0" w:line="560" w:lineRule="exact"/>
        <w:ind w:firstLine="624" w:firstLineChars="200"/>
        <w:jc w:val="both"/>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（三）加强学习如何科学合理制定绩效目标及考核体系，充分发挥绩效工作效用</w:t>
      </w:r>
      <w:r>
        <w:rPr>
          <w:rFonts w:hint="eastAsia" w:ascii="楷体" w:hAnsi="楷体" w:eastAsia="楷体" w:cs="仿宋"/>
          <w:color w:val="auto"/>
          <w:spacing w:val="-4"/>
          <w:sz w:val="32"/>
          <w:szCs w:val="32"/>
          <w:highlight w:val="none"/>
        </w:rPr>
        <w:t>。</w:t>
      </w:r>
    </w:p>
    <w:p>
      <w:pPr>
        <w:pStyle w:val="7"/>
        <w:widowControl/>
        <w:spacing w:before="0" w:beforeAutospacing="0" w:after="0" w:afterAutospacing="0" w:line="560" w:lineRule="exact"/>
        <w:ind w:firstLine="624" w:firstLineChars="200"/>
        <w:jc w:val="both"/>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（四）财务上，会计核算要更加详细，为本单位各项工作的开展、总结、评估提供有效数据资料支撑,为各项业务工作更好的开展提供帮助。</w:t>
      </w:r>
    </w:p>
    <w:p>
      <w:pPr>
        <w:pStyle w:val="7"/>
        <w:widowControl/>
        <w:spacing w:before="0" w:beforeAutospacing="0" w:after="0" w:afterAutospacing="0" w:line="560" w:lineRule="exact"/>
        <w:ind w:firstLine="624" w:firstLineChars="200"/>
        <w:jc w:val="both"/>
        <w:rPr>
          <w:rFonts w:hint="eastAsia"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（五）从源头上强化对专项资金预算管理</w:t>
      </w:r>
    </w:p>
    <w:p>
      <w:pPr>
        <w:pStyle w:val="7"/>
        <w:widowControl/>
        <w:spacing w:before="0" w:beforeAutospacing="0" w:after="0" w:afterAutospacing="0" w:line="560" w:lineRule="exact"/>
        <w:ind w:firstLine="624" w:firstLineChars="200"/>
        <w:jc w:val="both"/>
        <w:rPr>
          <w:rFonts w:ascii="仿宋_GB2312" w:hAnsi="楷体" w:eastAsia="仿宋_GB2312" w:cs="仿宋"/>
          <w:color w:val="auto"/>
          <w:spacing w:val="-4"/>
          <w:sz w:val="32"/>
          <w:szCs w:val="32"/>
          <w:highlight w:val="none"/>
        </w:rPr>
      </w:pPr>
      <w:r>
        <w:rPr>
          <w:rFonts w:ascii="仿宋_GB2312" w:hAnsi="楷体" w:eastAsia="仿宋_GB2312" w:cs="仿宋"/>
          <w:color w:val="auto"/>
          <w:spacing w:val="-4"/>
          <w:sz w:val="32"/>
          <w:szCs w:val="32"/>
          <w:highlight w:val="none"/>
        </w:rPr>
        <w:t>实行专项资金预算管理， 结合单位实际, 按轻重缓急统筹安排编制预算,提高预算编制科学性和合理性,优化资金结构。</w:t>
      </w:r>
    </w:p>
    <w:p>
      <w:pPr>
        <w:pStyle w:val="7"/>
        <w:widowControl/>
        <w:spacing w:before="0" w:beforeAutospacing="0" w:after="0" w:afterAutospacing="0" w:line="560" w:lineRule="exact"/>
        <w:ind w:firstLine="624" w:firstLineChars="200"/>
        <w:jc w:val="both"/>
        <w:rPr>
          <w:rFonts w:hint="eastAsia"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（六）按时间进度分解资金使用计划</w:t>
      </w:r>
    </w:p>
    <w:p>
      <w:pPr>
        <w:pStyle w:val="7"/>
        <w:widowControl/>
        <w:spacing w:before="0" w:beforeAutospacing="0" w:after="0" w:afterAutospacing="0" w:line="560" w:lineRule="exact"/>
        <w:ind w:firstLine="624" w:firstLineChars="200"/>
        <w:jc w:val="both"/>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专项资金的使用，要事前做计划，事中进行控制，事后总结提高。合理安排资金使用,充分体现资金投向的目标和效益。</w:t>
      </w:r>
    </w:p>
    <w:p>
      <w:pPr>
        <w:pStyle w:val="7"/>
        <w:widowControl/>
        <w:spacing w:before="0" w:beforeAutospacing="0" w:after="0" w:afterAutospacing="0" w:line="560" w:lineRule="exact"/>
        <w:ind w:firstLine="624" w:firstLineChars="200"/>
        <w:jc w:val="both"/>
        <w:rPr>
          <w:rFonts w:hint="eastAsia"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（七）进一步提高绩效管理水平</w:t>
      </w:r>
    </w:p>
    <w:p>
      <w:pPr>
        <w:pStyle w:val="7"/>
        <w:widowControl/>
        <w:spacing w:before="0" w:beforeAutospacing="0" w:after="0" w:afterAutospacing="0" w:line="560" w:lineRule="exact"/>
        <w:ind w:firstLine="624" w:firstLineChars="200"/>
        <w:jc w:val="both"/>
        <w:rPr>
          <w:rFonts w:ascii="仿宋_GB2312" w:hAnsi="楷体" w:eastAsia="仿宋_GB2312" w:cs="仿宋"/>
          <w:color w:val="auto"/>
          <w:spacing w:val="-4"/>
          <w:sz w:val="32"/>
          <w:szCs w:val="32"/>
          <w:highlight w:val="none"/>
        </w:rPr>
      </w:pPr>
      <w:r>
        <w:rPr>
          <w:rFonts w:ascii="仿宋_GB2312" w:hAnsi="楷体" w:eastAsia="仿宋_GB2312" w:cs="仿宋"/>
          <w:color w:val="auto"/>
          <w:spacing w:val="-4"/>
          <w:sz w:val="32"/>
          <w:szCs w:val="32"/>
          <w:highlight w:val="none"/>
        </w:rPr>
        <w:t>由于目前的预算管理在编制和实施中还存在编制不细、预算调整较多、追加预算比重较大等现象,因此项目预算执行的准确性还有待加强,同时分析手段和技术水平上还有待完善。在今后的工作中,我们将加强与财政</w:t>
      </w:r>
      <w:r>
        <w:rPr>
          <w:rFonts w:hint="eastAsia" w:ascii="仿宋_GB2312" w:hAnsi="楷体" w:eastAsia="仿宋_GB2312" w:cs="仿宋"/>
          <w:color w:val="auto"/>
          <w:spacing w:val="-4"/>
          <w:sz w:val="32"/>
          <w:szCs w:val="32"/>
          <w:highlight w:val="none"/>
          <w:lang w:eastAsia="zh-CN"/>
        </w:rPr>
        <w:t>单位</w:t>
      </w:r>
      <w:r>
        <w:rPr>
          <w:rFonts w:ascii="仿宋_GB2312" w:hAnsi="楷体" w:eastAsia="仿宋_GB2312" w:cs="仿宋"/>
          <w:color w:val="auto"/>
          <w:spacing w:val="-4"/>
          <w:sz w:val="32"/>
          <w:szCs w:val="32"/>
          <w:highlight w:val="none"/>
        </w:rPr>
        <w:t>的紧密配合,开展好整体支出及项目资金绩效管理工作,运用好绩 效评价的结果,不断提升预算管理水平。</w:t>
      </w:r>
    </w:p>
    <w:p>
      <w:pPr>
        <w:rPr>
          <w:rFonts w:ascii="仿宋" w:hAnsi="仿宋" w:eastAsia="仿宋" w:cs="Times New Roman"/>
          <w:bCs/>
          <w:color w:val="auto"/>
          <w:sz w:val="32"/>
          <w:szCs w:val="32"/>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华文中宋">
    <w:altName w:val="宋体"/>
    <w:panose1 w:val="02010600040101010101"/>
    <w:charset w:val="86"/>
    <w:family w:val="auto"/>
    <w:pitch w:val="default"/>
    <w:sig w:usb0="00000000" w:usb1="00000000" w:usb2="00000000" w:usb3="00000000" w:csb0="0004009F" w:csb1="DFD70000"/>
  </w:font>
  <w:font w:name="方正小标宋简体">
    <w:panose1 w:val="02010601030101010101"/>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楷体简体">
    <w:panose1 w:val="02010601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714EA0"/>
    <w:multiLevelType w:val="singleLevel"/>
    <w:tmpl w:val="8E714EA0"/>
    <w:lvl w:ilvl="0" w:tentative="0">
      <w:start w:val="2"/>
      <w:numFmt w:val="chineseCounting"/>
      <w:suff w:val="nothing"/>
      <w:lvlText w:val="（%1）"/>
      <w:lvlJc w:val="left"/>
      <w:rPr>
        <w:rFonts w:hint="eastAsia"/>
      </w:rPr>
    </w:lvl>
  </w:abstractNum>
  <w:abstractNum w:abstractNumId="1">
    <w:nsid w:val="D9C8D791"/>
    <w:multiLevelType w:val="singleLevel"/>
    <w:tmpl w:val="D9C8D791"/>
    <w:lvl w:ilvl="0" w:tentative="0">
      <w:start w:val="3"/>
      <w:numFmt w:val="decimal"/>
      <w:suff w:val="nothing"/>
      <w:lvlText w:val="（%1）"/>
      <w:lvlJc w:val="left"/>
    </w:lvl>
  </w:abstractNum>
  <w:abstractNum w:abstractNumId="2">
    <w:nsid w:val="70181AF2"/>
    <w:multiLevelType w:val="singleLevel"/>
    <w:tmpl w:val="70181AF2"/>
    <w:lvl w:ilvl="0" w:tentative="0">
      <w:start w:val="2"/>
      <w:numFmt w:val="decimal"/>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2YyNTkwNWNkMTgyZTBiMDM2MTcxYTg3YjgwNzNiYzkifQ=="/>
  </w:docVars>
  <w:rsids>
    <w:rsidRoot w:val="077D059C"/>
    <w:rsid w:val="00032827"/>
    <w:rsid w:val="0003628E"/>
    <w:rsid w:val="00064105"/>
    <w:rsid w:val="000930E8"/>
    <w:rsid w:val="00094B04"/>
    <w:rsid w:val="000F213A"/>
    <w:rsid w:val="00114469"/>
    <w:rsid w:val="00161FE4"/>
    <w:rsid w:val="001D2D87"/>
    <w:rsid w:val="001F16BE"/>
    <w:rsid w:val="00285A2B"/>
    <w:rsid w:val="002B33B0"/>
    <w:rsid w:val="002C64D8"/>
    <w:rsid w:val="002F1909"/>
    <w:rsid w:val="00334F2A"/>
    <w:rsid w:val="00351339"/>
    <w:rsid w:val="00357899"/>
    <w:rsid w:val="003627C2"/>
    <w:rsid w:val="0038074D"/>
    <w:rsid w:val="003E6C3C"/>
    <w:rsid w:val="0040128E"/>
    <w:rsid w:val="00416ED7"/>
    <w:rsid w:val="004354C6"/>
    <w:rsid w:val="00480171"/>
    <w:rsid w:val="004A57C6"/>
    <w:rsid w:val="004E42D8"/>
    <w:rsid w:val="00503F5B"/>
    <w:rsid w:val="005459D8"/>
    <w:rsid w:val="00551905"/>
    <w:rsid w:val="00562D25"/>
    <w:rsid w:val="00575F6F"/>
    <w:rsid w:val="005A357B"/>
    <w:rsid w:val="005B5DDF"/>
    <w:rsid w:val="00640053"/>
    <w:rsid w:val="006621C7"/>
    <w:rsid w:val="00681470"/>
    <w:rsid w:val="006A06F4"/>
    <w:rsid w:val="006B155A"/>
    <w:rsid w:val="006F10B3"/>
    <w:rsid w:val="006F771C"/>
    <w:rsid w:val="00706F76"/>
    <w:rsid w:val="00716B70"/>
    <w:rsid w:val="007B1454"/>
    <w:rsid w:val="00853B21"/>
    <w:rsid w:val="00863FC9"/>
    <w:rsid w:val="00883847"/>
    <w:rsid w:val="008B1251"/>
    <w:rsid w:val="008C3FD6"/>
    <w:rsid w:val="008F7F32"/>
    <w:rsid w:val="0093103B"/>
    <w:rsid w:val="00944DB3"/>
    <w:rsid w:val="00967BDC"/>
    <w:rsid w:val="0097474F"/>
    <w:rsid w:val="00987C00"/>
    <w:rsid w:val="00993D14"/>
    <w:rsid w:val="009B7014"/>
    <w:rsid w:val="009C796F"/>
    <w:rsid w:val="009F3852"/>
    <w:rsid w:val="00A126A9"/>
    <w:rsid w:val="00A31366"/>
    <w:rsid w:val="00A5128A"/>
    <w:rsid w:val="00A63A7B"/>
    <w:rsid w:val="00A662E5"/>
    <w:rsid w:val="00AD5912"/>
    <w:rsid w:val="00B022E4"/>
    <w:rsid w:val="00B039E5"/>
    <w:rsid w:val="00B25AE7"/>
    <w:rsid w:val="00B43522"/>
    <w:rsid w:val="00B932F9"/>
    <w:rsid w:val="00BD3E7B"/>
    <w:rsid w:val="00BE39EF"/>
    <w:rsid w:val="00BE6315"/>
    <w:rsid w:val="00C268B3"/>
    <w:rsid w:val="00C347AA"/>
    <w:rsid w:val="00C4558D"/>
    <w:rsid w:val="00C71999"/>
    <w:rsid w:val="00C740EA"/>
    <w:rsid w:val="00CA54F5"/>
    <w:rsid w:val="00CD5CE7"/>
    <w:rsid w:val="00CD5DAB"/>
    <w:rsid w:val="00CF196B"/>
    <w:rsid w:val="00CF34F0"/>
    <w:rsid w:val="00DA1586"/>
    <w:rsid w:val="00DC0678"/>
    <w:rsid w:val="00DD22AD"/>
    <w:rsid w:val="00DD318F"/>
    <w:rsid w:val="00E11E58"/>
    <w:rsid w:val="00E13362"/>
    <w:rsid w:val="00E57229"/>
    <w:rsid w:val="00EE085E"/>
    <w:rsid w:val="00EE5C91"/>
    <w:rsid w:val="00EF3361"/>
    <w:rsid w:val="00F15416"/>
    <w:rsid w:val="00F15474"/>
    <w:rsid w:val="00F24CC9"/>
    <w:rsid w:val="00F40BA7"/>
    <w:rsid w:val="00F52551"/>
    <w:rsid w:val="00F859B3"/>
    <w:rsid w:val="00FA3BED"/>
    <w:rsid w:val="00FA5960"/>
    <w:rsid w:val="00FB5140"/>
    <w:rsid w:val="029972F2"/>
    <w:rsid w:val="02AD1B48"/>
    <w:rsid w:val="077D059C"/>
    <w:rsid w:val="085A7547"/>
    <w:rsid w:val="097807C5"/>
    <w:rsid w:val="0A531B8B"/>
    <w:rsid w:val="0E2D1421"/>
    <w:rsid w:val="0F484CBE"/>
    <w:rsid w:val="11970B0A"/>
    <w:rsid w:val="13EC7005"/>
    <w:rsid w:val="141C6243"/>
    <w:rsid w:val="1A7D2E72"/>
    <w:rsid w:val="1ACC0302"/>
    <w:rsid w:val="1C025D48"/>
    <w:rsid w:val="1CEF2574"/>
    <w:rsid w:val="202E5E18"/>
    <w:rsid w:val="21796F8B"/>
    <w:rsid w:val="227375DB"/>
    <w:rsid w:val="29F9207F"/>
    <w:rsid w:val="2F187AB3"/>
    <w:rsid w:val="2F2E1EC8"/>
    <w:rsid w:val="30E07F90"/>
    <w:rsid w:val="330746BC"/>
    <w:rsid w:val="34344B9A"/>
    <w:rsid w:val="3455214F"/>
    <w:rsid w:val="353C0AD7"/>
    <w:rsid w:val="3B2B6289"/>
    <w:rsid w:val="3CCA3DC7"/>
    <w:rsid w:val="3E8A309F"/>
    <w:rsid w:val="3FA96963"/>
    <w:rsid w:val="49E31DDF"/>
    <w:rsid w:val="4D457C38"/>
    <w:rsid w:val="4E31105E"/>
    <w:rsid w:val="4ECD6109"/>
    <w:rsid w:val="517E1B32"/>
    <w:rsid w:val="555C287A"/>
    <w:rsid w:val="55D03A95"/>
    <w:rsid w:val="56644BBB"/>
    <w:rsid w:val="58A75755"/>
    <w:rsid w:val="599F2F96"/>
    <w:rsid w:val="5D1B2306"/>
    <w:rsid w:val="5D4C17A0"/>
    <w:rsid w:val="5D6176A7"/>
    <w:rsid w:val="600320B7"/>
    <w:rsid w:val="616E0F8F"/>
    <w:rsid w:val="61DE3486"/>
    <w:rsid w:val="625F26CE"/>
    <w:rsid w:val="63BA6ABF"/>
    <w:rsid w:val="66540FAC"/>
    <w:rsid w:val="68150768"/>
    <w:rsid w:val="6FE15325"/>
    <w:rsid w:val="73AB01D2"/>
    <w:rsid w:val="75D3608E"/>
    <w:rsid w:val="7810477E"/>
    <w:rsid w:val="7D086F90"/>
    <w:rsid w:val="7F706E75"/>
    <w:rsid w:val="7FDF36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11">
    <w:name w:val="Default Paragraph Font"/>
    <w:unhideWhenUsed/>
    <w:qFormat/>
    <w:uiPriority w:val="1"/>
  </w:style>
  <w:style w:type="table" w:default="1" w:styleId="9">
    <w:name w:val="Normal Table"/>
    <w:unhideWhenUsed/>
    <w:qFormat/>
    <w:uiPriority w:val="99"/>
    <w:tblPr>
      <w:tblCellMar>
        <w:top w:w="0" w:type="dxa"/>
        <w:left w:w="108" w:type="dxa"/>
        <w:bottom w:w="0" w:type="dxa"/>
        <w:right w:w="108" w:type="dxa"/>
      </w:tblCellMar>
    </w:tblPr>
  </w:style>
  <w:style w:type="paragraph" w:styleId="3">
    <w:name w:val="annotation text"/>
    <w:basedOn w:val="1"/>
    <w:unhideWhenUsed/>
    <w:qFormat/>
    <w:uiPriority w:val="99"/>
    <w:pPr>
      <w:jc w:val="left"/>
    </w:pPr>
  </w:style>
  <w:style w:type="paragraph" w:styleId="4">
    <w:name w:val="Body Text Indent"/>
    <w:basedOn w:val="1"/>
    <w:qFormat/>
    <w:uiPriority w:val="0"/>
    <w:pPr>
      <w:spacing w:line="400" w:lineRule="exact"/>
      <w:ind w:left="1050" w:leftChars="150" w:hanging="735" w:hangingChars="350"/>
    </w:pPr>
  </w:style>
  <w:style w:type="paragraph" w:styleId="5">
    <w:name w:val="footer"/>
    <w:basedOn w:val="1"/>
    <w:link w:val="16"/>
    <w:qFormat/>
    <w:uiPriority w:val="0"/>
    <w:pPr>
      <w:tabs>
        <w:tab w:val="center" w:pos="4153"/>
        <w:tab w:val="right" w:pos="8306"/>
      </w:tabs>
      <w:snapToGrid w:val="0"/>
      <w:jc w:val="left"/>
    </w:pPr>
    <w:rPr>
      <w:sz w:val="18"/>
      <w:szCs w:val="18"/>
    </w:rPr>
  </w:style>
  <w:style w:type="paragraph" w:styleId="6">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spacing w:before="100" w:beforeAutospacing="1" w:after="100" w:afterAutospacing="1"/>
      <w:jc w:val="left"/>
    </w:pPr>
    <w:rPr>
      <w:rFonts w:cs="Times New Roman"/>
      <w:sz w:val="24"/>
    </w:rPr>
  </w:style>
  <w:style w:type="paragraph" w:styleId="8">
    <w:name w:val="Body Text First Indent 2"/>
    <w:basedOn w:val="4"/>
    <w:qFormat/>
    <w:uiPriority w:val="0"/>
    <w:pPr>
      <w:ind w:firstLine="420" w:firstLineChars="200"/>
    </w:p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basedOn w:val="11"/>
    <w:qFormat/>
    <w:uiPriority w:val="0"/>
    <w:rPr>
      <w:b/>
      <w:bCs/>
    </w:rPr>
  </w:style>
  <w:style w:type="character" w:styleId="13">
    <w:name w:val="annotation reference"/>
    <w:basedOn w:val="11"/>
    <w:unhideWhenUsed/>
    <w:qFormat/>
    <w:uiPriority w:val="99"/>
    <w:rPr>
      <w:sz w:val="21"/>
      <w:szCs w:val="21"/>
    </w:rPr>
  </w:style>
  <w:style w:type="paragraph" w:customStyle="1" w:styleId="14">
    <w:name w:val="List Paragraph"/>
    <w:basedOn w:val="1"/>
    <w:qFormat/>
    <w:uiPriority w:val="99"/>
    <w:pPr>
      <w:ind w:firstLine="420" w:firstLineChars="200"/>
    </w:pPr>
  </w:style>
  <w:style w:type="character" w:customStyle="1" w:styleId="15">
    <w:name w:val="页眉 Char"/>
    <w:basedOn w:val="11"/>
    <w:link w:val="6"/>
    <w:qFormat/>
    <w:uiPriority w:val="0"/>
    <w:rPr>
      <w:rFonts w:asciiTheme="minorHAnsi" w:hAnsiTheme="minorHAnsi" w:eastAsiaTheme="minorEastAsia" w:cstheme="minorBidi"/>
      <w:kern w:val="2"/>
      <w:sz w:val="18"/>
      <w:szCs w:val="18"/>
    </w:rPr>
  </w:style>
  <w:style w:type="character" w:customStyle="1" w:styleId="16">
    <w:name w:val="页脚 Char"/>
    <w:basedOn w:val="11"/>
    <w:link w:val="5"/>
    <w:qFormat/>
    <w:uiPriority w:val="0"/>
    <w:rPr>
      <w:rFonts w:asciiTheme="minorHAnsi" w:hAnsiTheme="minorHAnsi" w:eastAsiaTheme="minorEastAsia" w:cstheme="minorBidi"/>
      <w:kern w:val="2"/>
      <w:sz w:val="18"/>
      <w:szCs w:val="18"/>
    </w:rPr>
  </w:style>
  <w:style w:type="paragraph" w:customStyle="1" w:styleId="17">
    <w:name w:val="正文A"/>
    <w:basedOn w:val="1"/>
    <w:qFormat/>
    <w:uiPriority w:val="4"/>
    <w:pPr>
      <w:widowControl/>
      <w:spacing w:line="580" w:lineRule="exact"/>
      <w:ind w:firstLine="640"/>
      <w:jc w:val="left"/>
    </w:pPr>
    <w:rPr>
      <w:rFonts w:ascii="仿宋_GB2312" w:hAnsi="仿宋_GB2312" w:eastAsia="仿宋_GB2312" w:cs="宋体"/>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19</Pages>
  <Words>7924</Words>
  <Characters>8437</Characters>
  <Lines>58</Lines>
  <Paragraphs>16</Paragraphs>
  <TotalTime>5</TotalTime>
  <ScaleCrop>false</ScaleCrop>
  <LinksUpToDate>false</LinksUpToDate>
  <CharactersWithSpaces>8469</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2020-02-09T05:06:00Z</dcterms:created>
  <dc:creator>普天鹏华郭丽娜</dc:creator>
  <cp:lastModifiedBy>清烟一缕</cp:lastModifiedBy>
  <dcterms:modified xsi:type="dcterms:W3CDTF">2022-08-31T03:39:22Z</dcterms:modified>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KSOSaveFontToCloudKey">
    <vt:lpwstr>405071676_stopsync</vt:lpwstr>
  </property>
  <property fmtid="{D5CDD505-2E9C-101B-9397-08002B2CF9AE}" pid="4" name="ICV">
    <vt:lpwstr>B97F772AD34546D294CAEEC88B538755</vt:lpwstr>
  </property>
</Properties>
</file>