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和田市友谊幼儿园</w:t>
      </w:r>
      <w:r>
        <w:rPr>
          <w:rFonts w:hint="eastAsia" w:ascii="方正小标宋_GBK" w:hAnsi="华文中宋" w:eastAsia="方正小标宋_GBK" w:cs="宋体"/>
          <w:b/>
          <w:color w:val="auto"/>
          <w:kern w:val="0"/>
          <w:sz w:val="44"/>
          <w:szCs w:val="44"/>
          <w:highlight w:val="none"/>
        </w:rPr>
        <w:t>单位整体支出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default"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和田市友谊幼儿园</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01</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10</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和田市友谊幼儿园成立于2019年9月，上级主管单位为和田市教育局，为副科级全额拨款事业单位。主要职能如下：</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（1）认真贯彻执行党和国家的有关法律法规、方针、 政策，坚持民主管理，依法办园，执行上级主管部门的指示和决定。</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 xml:space="preserve">（2）实行保育和教育相结合的原则，对幼儿实施体、智、 德、美诸方面全面发展的教育，促进其身心和谐发展。 </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 xml:space="preserve">（3）合理组织幼儿一日生活活动和其它活动，促进幼儿体 智德美等和谐发展，全面实施素质教育。 </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 xml:space="preserve">（4）严格执行幼儿园安全、卫生保健制度，保证幼儿身心 健康和生命安全。 </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（5）密切与家长配合，发挥示范辐射作用。</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和田市友谊幼儿园属独立编制机构，核算机构1个。人员编制1个，实有</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人，其中专业技术岗</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人。和田市友谊幼儿园下设 7个处室，分别是：</w:t>
      </w:r>
      <w:r>
        <w:rPr>
          <w:rFonts w:hint="eastAsia" w:ascii="仿宋_GB2312" w:hAnsi="黑体" w:eastAsia="仿宋_GB2312" w:cs="宋体"/>
          <w:bCs/>
          <w:color w:val="auto"/>
          <w:kern w:val="0"/>
          <w:sz w:val="32"/>
          <w:szCs w:val="32"/>
          <w:highlight w:val="none"/>
        </w:rPr>
        <w:t>党支部、工会、团支部、园务委员会、办公室、后勤及财务室</w:t>
      </w:r>
      <w:r>
        <w:rPr>
          <w:rFonts w:hint="eastAsia" w:ascii="仿宋_GB2312" w:hAnsi="仿宋" w:eastAsia="仿宋_GB2312" w:cs="Times New Roman"/>
          <w:bCs/>
          <w:color w:val="auto"/>
          <w:sz w:val="32"/>
          <w:szCs w:val="32"/>
          <w:highlight w:val="none"/>
        </w:rPr>
        <w:t>。</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spacing w:line="560" w:lineRule="exact"/>
        <w:ind w:firstLine="640" w:firstLineChars="20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（1）创设健康、丰富的环境，强化幼儿国语学习以环境促教育，保证幼儿身心和谐</w:t>
      </w:r>
      <w:bookmarkStart w:id="0" w:name="_GoBack"/>
      <w:bookmarkEnd w:id="0"/>
      <w:r>
        <w:rPr>
          <w:rFonts w:hint="eastAsia" w:ascii="仿宋_GB2312" w:hAnsi="仿宋" w:eastAsia="仿宋_GB2312" w:cs="Times New Roman"/>
          <w:bCs/>
          <w:color w:val="auto"/>
          <w:sz w:val="32"/>
          <w:szCs w:val="32"/>
          <w:highlight w:val="none"/>
        </w:rPr>
        <w:t>发展，关注幼儿社会性的发展，促进幼儿良好个性的发展。</w:t>
      </w:r>
    </w:p>
    <w:p>
      <w:pPr>
        <w:spacing w:line="560" w:lineRule="exact"/>
        <w:ind w:firstLine="640" w:firstLineChars="20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（2）运用家长资源，配合幼儿园做好保教工作。</w:t>
      </w:r>
    </w:p>
    <w:p>
      <w:pPr>
        <w:spacing w:line="560" w:lineRule="exact"/>
        <w:ind w:firstLine="640" w:firstLineChars="200"/>
        <w:rPr>
          <w:color w:val="auto"/>
          <w:highlight w:val="none"/>
        </w:rPr>
      </w:pPr>
      <w:r>
        <w:rPr>
          <w:rFonts w:hint="eastAsia" w:ascii="仿宋_GB2312" w:hAnsi="仿宋" w:eastAsia="仿宋_GB2312" w:cs="Times New Roman"/>
          <w:bCs/>
          <w:color w:val="auto"/>
          <w:sz w:val="32"/>
          <w:szCs w:val="32"/>
          <w:highlight w:val="none"/>
        </w:rPr>
        <w:t>（3）根据教育教学需要和日常后勤保障需求购置部分设备、优化育人环境，逐步提高教育教学质量。</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的项目立项符合相关法规政策及</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职责，依据充分；项目按照规定的程序申请设立；审批文件、材料符合相关要求；项目前期已经经过必要的可行性研究、专家论证、风险评估、绩效评估、集体决策。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和田市友谊幼儿园</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230.17</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197.43</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85.8</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153.9</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76.27</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33.1</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人员变动及专项资金相比去年下拨较多</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103.38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103.38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57.4</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45.98</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126.79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94.05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74.2</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水费、电费、邮电费、取暖费、差旅费、维修（护）费、培训费、专用材料费、劳务费、工会经费、福利费、其他交通费用、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和田市友谊幼儿园</w:t>
      </w:r>
      <w:r>
        <w:rPr>
          <w:rFonts w:hint="eastAsia" w:hAnsi="方正楷体简体"/>
          <w:color w:val="auto"/>
          <w:highlight w:val="none"/>
        </w:rPr>
        <w:t>项目支出共涉及</w:t>
      </w:r>
      <w:r>
        <w:rPr>
          <w:rFonts w:hint="eastAsia" w:hAnsi="方正楷体简体"/>
          <w:color w:val="auto"/>
          <w:highlight w:val="none"/>
          <w:lang w:val="en-US" w:eastAsia="zh-CN"/>
        </w:rPr>
        <w:t>5</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保安人员工资补助</w:t>
            </w:r>
          </w:p>
        </w:tc>
        <w:tc>
          <w:tcPr>
            <w:tcW w:w="4261" w:type="dxa"/>
            <w:vAlign w:val="center"/>
          </w:tcPr>
          <w:p>
            <w:pPr>
              <w:keepNext w:val="0"/>
              <w:keepLines w:val="0"/>
              <w:widowControl/>
              <w:suppressLineNumbers w:val="0"/>
              <w:jc w:val="center"/>
              <w:textAlignment w:val="center"/>
              <w:rPr>
                <w:rFonts w:hint="default"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5.47万元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自治区学前教育发展保障经费（经费补助）</w:t>
            </w:r>
          </w:p>
        </w:tc>
        <w:tc>
          <w:tcPr>
            <w:tcW w:w="4261" w:type="dxa"/>
            <w:vAlign w:val="center"/>
          </w:tcPr>
          <w:p>
            <w:pPr>
              <w:keepNext w:val="0"/>
              <w:keepLines w:val="0"/>
              <w:widowControl/>
              <w:suppressLineNumbers w:val="0"/>
              <w:jc w:val="center"/>
              <w:textAlignment w:val="center"/>
              <w:rPr>
                <w:rFonts w:hint="default"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34.2万元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农村学前三年免费教育保障机制经费（保教费及取暖费）</w:t>
            </w:r>
          </w:p>
        </w:tc>
        <w:tc>
          <w:tcPr>
            <w:tcW w:w="4261" w:type="dxa"/>
            <w:vAlign w:val="center"/>
          </w:tcPr>
          <w:p>
            <w:pPr>
              <w:keepNext w:val="0"/>
              <w:keepLines w:val="0"/>
              <w:widowControl/>
              <w:suppressLineNumbers w:val="0"/>
              <w:jc w:val="center"/>
              <w:textAlignment w:val="center"/>
              <w:rPr>
                <w:rFonts w:hint="default"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25.94万元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农村学前三年免费教育保障机制经费（经费补助）</w:t>
            </w:r>
          </w:p>
        </w:tc>
        <w:tc>
          <w:tcPr>
            <w:tcW w:w="4261" w:type="dxa"/>
            <w:vAlign w:val="center"/>
          </w:tcPr>
          <w:p>
            <w:pPr>
              <w:keepNext w:val="0"/>
              <w:keepLines w:val="0"/>
              <w:widowControl/>
              <w:suppressLineNumbers w:val="0"/>
              <w:jc w:val="center"/>
              <w:textAlignment w:val="center"/>
              <w:rPr>
                <w:rFonts w:hint="default"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17.64万元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自治区学前教育发展保障经费（保教费及取暖费）</w:t>
            </w:r>
          </w:p>
        </w:tc>
        <w:tc>
          <w:tcPr>
            <w:tcW w:w="4261" w:type="dxa"/>
            <w:vAlign w:val="center"/>
          </w:tcPr>
          <w:p>
            <w:pPr>
              <w:keepNext w:val="0"/>
              <w:keepLines w:val="0"/>
              <w:widowControl/>
              <w:suppressLineNumbers w:val="0"/>
              <w:jc w:val="center"/>
              <w:textAlignment w:val="center"/>
              <w:rPr>
                <w:rFonts w:hint="default" w:ascii="仿宋_GB2312" w:hAnsi="方正楷体简体" w:eastAsia="仿宋_GB2312" w:cs="宋体"/>
                <w:color w:val="auto"/>
                <w:kern w:val="2"/>
                <w:sz w:val="32"/>
                <w:szCs w:val="32"/>
                <w:highlight w:val="none"/>
                <w:lang w:val="en-US" w:eastAsia="zh-CN" w:bidi="ar-SA"/>
              </w:rPr>
            </w:pPr>
            <w:r>
              <w:rPr>
                <w:rFonts w:hint="eastAsia" w:ascii="仿宋_GB2312" w:hAnsi="方正楷体简体" w:eastAsia="仿宋_GB2312" w:cs="宋体"/>
                <w:color w:val="auto"/>
                <w:kern w:val="2"/>
                <w:sz w:val="32"/>
                <w:szCs w:val="32"/>
                <w:highlight w:val="none"/>
                <w:lang w:val="en-US" w:eastAsia="zh-CN" w:bidi="ar-SA"/>
              </w:rPr>
              <w:t>43.54万元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幼儿园收支管理制度》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年度本单位无“三公"经费支出。</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val="en-US" w:eastAsia="zh-CN"/>
        </w:rPr>
        <w:t>和田市友谊幼儿园</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103.38</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103.38</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103.38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本单位无公务用车、公务接待及因公出国费用预算安排， 2020年度全年“三公”经费支出为0万元。</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126.79</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94.05</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74.2</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2</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3</w:t>
      </w:r>
      <w:r>
        <w:rPr>
          <w:rFonts w:hint="eastAsia" w:ascii="仿宋_GB2312" w:hAnsi="方正楷体简体" w:eastAsia="仿宋_GB2312" w:cs="宋体"/>
          <w:color w:val="auto"/>
          <w:sz w:val="32"/>
          <w:szCs w:val="32"/>
          <w:highlight w:val="none"/>
        </w:rPr>
        <w:t>个、结转项目个。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057"/>
        <w:gridCol w:w="1134"/>
        <w:gridCol w:w="1134"/>
        <w:gridCol w:w="2035"/>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057"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保安人员工资补助</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val="en-US" w:eastAsia="zh-CN"/>
              </w:rPr>
              <w:t>5.47万元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5.47</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640" w:firstLineChars="200"/>
              <w:rPr>
                <w:rFonts w:hint="eastAsia" w:ascii="仿宋_GB2312" w:hAnsi="方正楷体简体" w:eastAsia="仿宋_GB2312" w:cs="宋体"/>
                <w:color w:val="auto"/>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自治区学前教育发展保障经费（经费补助）</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34.2万元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14.93</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43.65%</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640" w:firstLineChars="200"/>
              <w:rPr>
                <w:rFonts w:hint="eastAsia" w:ascii="仿宋_GB2312" w:hAnsi="方正楷体简体" w:eastAsia="仿宋_GB2312" w:cs="宋体"/>
                <w:color w:val="auto"/>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农村学前三年免费教育保障机制经费（保教费及取暖费）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25.94万元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25.94</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640" w:firstLineChars="200"/>
              <w:rPr>
                <w:rFonts w:hint="eastAsia" w:ascii="仿宋_GB2312" w:hAnsi="方正楷体简体" w:eastAsia="仿宋_GB2312" w:cs="宋体"/>
                <w:color w:val="auto"/>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农村学前三年免费教育保障机制经费（经费补助）</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17.64万元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12.31</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67.78%</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640" w:firstLineChars="200"/>
              <w:rPr>
                <w:rFonts w:hint="eastAsia" w:ascii="仿宋_GB2312" w:hAnsi="方正楷体简体" w:eastAsia="仿宋_GB2312" w:cs="宋体"/>
                <w:color w:val="auto"/>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自治区学前教育发展保障经费（保教费及取暖费）</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43.54万元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35.4</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81.3%</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val="en-US" w:eastAsia="zh-CN"/>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640" w:firstLineChars="200"/>
              <w:rPr>
                <w:rFonts w:hint="eastAsia" w:ascii="仿宋_GB2312" w:hAnsi="方正楷体简体" w:eastAsia="仿宋_GB2312" w:cs="宋体"/>
                <w:color w:val="auto"/>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126.79万元</w:t>
            </w:r>
          </w:p>
        </w:tc>
        <w:tc>
          <w:tcPr>
            <w:tcW w:w="1057"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94.05万元</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val="en-US" w:eastAsia="zh-CN"/>
              </w:rPr>
              <w:t>74.2%</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　</w:t>
            </w:r>
          </w:p>
        </w:tc>
      </w:tr>
    </w:tbl>
    <w:p>
      <w:pPr>
        <w:spacing w:line="560" w:lineRule="exact"/>
        <w:ind w:firstLine="640" w:firstLineChars="200"/>
        <w:rPr>
          <w:color w:val="auto"/>
          <w:highlight w:val="none"/>
        </w:rPr>
      </w:pPr>
      <w:r>
        <w:rPr>
          <w:rFonts w:hint="eastAsia" w:ascii="仿宋_GB2312" w:hAnsi="方正楷体简体" w:eastAsia="仿宋_GB2312" w:cs="宋体"/>
          <w:color w:val="auto"/>
          <w:sz w:val="32"/>
          <w:szCs w:val="32"/>
          <w:highlight w:val="none"/>
        </w:rPr>
        <w:tab/>
      </w:r>
      <w:r>
        <w:rPr>
          <w:rFonts w:hint="eastAsia" w:ascii="仿宋_GB2312" w:hAnsi="方正楷体简体" w:eastAsia="仿宋_GB2312" w:cs="宋体"/>
          <w:color w:val="auto"/>
          <w:sz w:val="32"/>
          <w:szCs w:val="32"/>
          <w:highlight w:val="none"/>
        </w:rPr>
        <w:tab/>
      </w:r>
      <w:r>
        <w:rPr>
          <w:rFonts w:hint="eastAsia" w:ascii="仿宋_GB2312" w:hAnsi="方正楷体简体" w:eastAsia="仿宋_GB2312" w:cs="宋体"/>
          <w:color w:val="auto"/>
          <w:sz w:val="32"/>
          <w:szCs w:val="32"/>
          <w:highlight w:val="none"/>
        </w:rPr>
        <w:tab/>
      </w:r>
      <w:r>
        <w:rPr>
          <w:rFonts w:hint="eastAsia" w:ascii="仿宋_GB2312" w:hAnsi="方正楷体简体" w:eastAsia="仿宋_GB2312" w:cs="宋体"/>
          <w:color w:val="auto"/>
          <w:sz w:val="32"/>
          <w:szCs w:val="32"/>
          <w:highlight w:val="none"/>
        </w:rPr>
        <w:tab/>
      </w:r>
    </w:p>
    <w:p>
      <w:pPr>
        <w:pStyle w:val="12"/>
        <w:spacing w:line="560" w:lineRule="exact"/>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126.79</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126.79</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94.05</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74.2</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实施进度：我单位共有5个项目，5个项目均在项目计划期间完成，项目按期完成及时率100%。完成质量：我单位共有5个项目，5个项目均验收完成，验收合格率100%。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（3）项目效益性分析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仿宋_GB2312" w:cs="宋体"/>
          <w:color w:val="auto"/>
          <w:kern w:val="0"/>
          <w:sz w:val="24"/>
          <w:highlight w:val="none"/>
          <w:lang w:eastAsia="zh-CN"/>
        </w:rPr>
      </w:pPr>
      <w:r>
        <w:rPr>
          <w:rFonts w:hint="eastAsia" w:ascii="仿宋_GB2312" w:hAnsi="方正楷体简体" w:eastAsia="仿宋_GB2312" w:cs="宋体"/>
          <w:color w:val="auto"/>
          <w:sz w:val="32"/>
          <w:szCs w:val="32"/>
          <w:highlight w:val="none"/>
        </w:rPr>
        <w:t>2021年度本单位实</w:t>
      </w:r>
      <w:r>
        <w:rPr>
          <w:rStyle w:val="10"/>
          <w:rFonts w:hint="eastAsia" w:ascii="仿宋_GB2312" w:hAnsi="黑体" w:eastAsia="仿宋_GB2312" w:cs="Times New Roman"/>
          <w:b w:val="0"/>
          <w:color w:val="auto"/>
          <w:spacing w:val="-4"/>
          <w:sz w:val="32"/>
          <w:szCs w:val="32"/>
          <w:highlight w:val="none"/>
        </w:rPr>
        <w:t>施5个项目，通过项目的实施带来的效益：有效保障单位正常运转,</w:t>
      </w:r>
      <w:r>
        <w:rPr>
          <w:rFonts w:hint="eastAsia"/>
          <w:color w:val="auto"/>
          <w:highlight w:val="none"/>
        </w:rPr>
        <w:t xml:space="preserve"> </w:t>
      </w:r>
      <w:r>
        <w:rPr>
          <w:rStyle w:val="10"/>
          <w:rFonts w:hint="eastAsia" w:ascii="仿宋_GB2312" w:hAnsi="黑体" w:eastAsia="仿宋_GB2312" w:cs="Times New Roman"/>
          <w:b w:val="0"/>
          <w:color w:val="auto"/>
          <w:spacing w:val="-4"/>
          <w:sz w:val="32"/>
          <w:szCs w:val="32"/>
          <w:highlight w:val="none"/>
        </w:rPr>
        <w:t>持续为群众提供公共服务能力</w:t>
      </w:r>
      <w:r>
        <w:rPr>
          <w:rStyle w:val="10"/>
          <w:rFonts w:hint="eastAsia" w:ascii="仿宋_GB2312" w:hAnsi="黑体" w:eastAsia="仿宋_GB2312" w:cs="Times New Roman"/>
          <w:b w:val="0"/>
          <w:color w:val="auto"/>
          <w:spacing w:val="-4"/>
          <w:sz w:val="32"/>
          <w:szCs w:val="32"/>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11</w:t>
      </w:r>
      <w:r>
        <w:rPr>
          <w:rFonts w:hint="eastAsia" w:ascii="仿宋_GB2312" w:hAnsi="仿宋" w:eastAsia="仿宋_GB2312" w:cs="Times New Roman"/>
          <w:bCs/>
          <w:color w:val="auto"/>
          <w:sz w:val="32"/>
          <w:szCs w:val="32"/>
          <w:highlight w:val="none"/>
        </w:rPr>
        <w:t>个，其中已完成三级指</w:t>
      </w:r>
      <w:r>
        <w:rPr>
          <w:rFonts w:hint="eastAsia" w:ascii="仿宋_GB2312" w:hAnsi="仿宋" w:eastAsia="仿宋_GB2312" w:cs="Times New Roman"/>
          <w:bCs/>
          <w:color w:val="auto"/>
          <w:sz w:val="32"/>
          <w:szCs w:val="32"/>
          <w:highlight w:val="none"/>
          <w:lang w:val="en-US" w:eastAsia="zh-CN"/>
        </w:rPr>
        <w:t>11</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100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40" w:firstLineChars="200"/>
        <w:rPr>
          <w:rFonts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（1）数量指标：</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hAnsi="仿宋" w:eastAsia="仿宋_GB2312" w:cstheme="minorBidi"/>
          <w:b w:val="0"/>
          <w:bCs w:val="0"/>
          <w:color w:val="auto"/>
          <w:kern w:val="2"/>
          <w:sz w:val="32"/>
          <w:szCs w:val="32"/>
          <w:highlight w:val="none"/>
          <w:lang w:val="en-US" w:eastAsia="zh-CN" w:bidi="ar-SA"/>
        </w:rPr>
        <w:t>保障单位干部职工工资正常发放人数，预期值为等于1人，实际完成值为1人，完成率为100%。达到预期目标。</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仿宋_GB2312" w:eastAsia="仿宋_GB2312" w:hAnsiTheme="minorEastAsia"/>
          <w:color w:val="auto"/>
          <w:sz w:val="32"/>
          <w:szCs w:val="32"/>
          <w:highlight w:val="none"/>
          <w:lang w:val="en-US"/>
        </w:rPr>
      </w:pPr>
      <w:r>
        <w:rPr>
          <w:rFonts w:hint="eastAsia" w:ascii="仿宋_GB2312" w:hAnsi="仿宋" w:eastAsia="仿宋_GB2312" w:cstheme="minorBidi"/>
          <w:b w:val="0"/>
          <w:bCs w:val="0"/>
          <w:color w:val="auto"/>
          <w:kern w:val="2"/>
          <w:sz w:val="32"/>
          <w:szCs w:val="32"/>
          <w:highlight w:val="none"/>
          <w:lang w:val="en-US" w:eastAsia="zh-CN" w:bidi="ar-SA"/>
        </w:rPr>
        <w:t>数量指标共计1个，完成1个，达到预期目标，数量指标完成。</w:t>
      </w:r>
    </w:p>
    <w:p>
      <w:pPr>
        <w:spacing w:line="560" w:lineRule="exact"/>
        <w:ind w:firstLine="640" w:firstLineChars="200"/>
        <w:rPr>
          <w:rFonts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（2）质量指标：</w:t>
      </w:r>
    </w:p>
    <w:p>
      <w:pPr>
        <w:spacing w:line="560" w:lineRule="exact"/>
        <w:ind w:firstLine="640" w:firstLineChars="200"/>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eastAsia="仿宋_GB2312" w:hAnsiTheme="minorEastAsia"/>
          <w:color w:val="auto"/>
          <w:sz w:val="32"/>
          <w:szCs w:val="32"/>
          <w:highlight w:val="none"/>
        </w:rPr>
        <w:t>工资及社保等各项缴费发放准确率，预期值为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stheme="minorBidi"/>
          <w:b w:val="0"/>
          <w:bCs w:val="0"/>
          <w:color w:val="auto"/>
          <w:kern w:val="2"/>
          <w:sz w:val="32"/>
          <w:szCs w:val="32"/>
          <w:highlight w:val="none"/>
          <w:lang w:val="en-US" w:eastAsia="zh-CN" w:bidi="ar-SA"/>
        </w:rPr>
        <w:t>达到预期目标。</w:t>
      </w:r>
    </w:p>
    <w:p>
      <w:pPr>
        <w:spacing w:line="560" w:lineRule="exact"/>
        <w:ind w:firstLine="640" w:firstLineChars="200"/>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质量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质量指标完成。</w:t>
      </w:r>
    </w:p>
    <w:p>
      <w:pPr>
        <w:spacing w:line="560" w:lineRule="exact"/>
        <w:ind w:firstLine="640" w:firstLineChars="200"/>
        <w:rPr>
          <w:rFonts w:hint="eastAsia" w:ascii="仿宋_GB2312" w:hAnsi="仿宋" w:eastAsia="仿宋_GB2312" w:cstheme="minorBidi"/>
          <w:b w:val="0"/>
          <w:bCs w:val="0"/>
          <w:color w:val="auto"/>
          <w:kern w:val="2"/>
          <w:sz w:val="32"/>
          <w:szCs w:val="32"/>
          <w:highlight w:val="none"/>
          <w:lang w:val="en-US" w:eastAsia="zh-CN" w:bidi="ar-SA"/>
        </w:rPr>
      </w:pP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（3）时效指标</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工资及社保等各项缴费发放及时率，预期值为</w:t>
      </w:r>
      <w:r>
        <w:rPr>
          <w:rFonts w:hint="eastAsia" w:ascii="仿宋_GB2312" w:eastAsia="仿宋_GB2312" w:hAnsiTheme="minorEastAsia"/>
          <w:color w:val="auto"/>
          <w:sz w:val="32"/>
          <w:szCs w:val="32"/>
          <w:highlight w:val="none"/>
          <w:lang w:val="en-US" w:eastAsia="zh-CN"/>
        </w:rPr>
        <w:t>大于等于95%</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95%</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eastAsia="仿宋_GB2312" w:hAnsiTheme="minorEastAsia"/>
          <w:color w:val="auto"/>
          <w:sz w:val="32"/>
          <w:szCs w:val="32"/>
          <w:highlight w:val="none"/>
        </w:rPr>
        <w:t>项目完成时间</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等于2021年12月</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2021年12月</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eastAsia="仿宋_GB2312" w:hAnsiTheme="minorEastAsia"/>
          <w:color w:val="auto"/>
          <w:sz w:val="32"/>
          <w:szCs w:val="32"/>
          <w:highlight w:val="none"/>
          <w:lang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（4）成本指标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临时工工资人均成本各项工资、福利、补助费用人均成本</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小于等于19.19万元</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19.19万元</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w:t>
      </w:r>
      <w:r>
        <w:rPr>
          <w:rFonts w:hint="eastAsia" w:ascii="仿宋_GB2312" w:eastAsia="仿宋_GB2312" w:hAnsiTheme="minorEastAsia"/>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对个人和家庭补助成本</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小于等于11.51万元</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11.51</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eastAsia="仿宋_GB2312" w:hAnsiTheme="minorEastAsia" w:cstheme="minorBidi"/>
          <w:b w:val="0"/>
          <w:bCs w:val="0"/>
          <w:color w:val="auto"/>
          <w:kern w:val="2"/>
          <w:sz w:val="32"/>
          <w:szCs w:val="32"/>
          <w:highlight w:val="none"/>
          <w:lang w:val="en-US" w:eastAsia="zh-CN" w:bidi="ar-SA"/>
        </w:rPr>
      </w:pPr>
      <w:r>
        <w:rPr>
          <w:rFonts w:hint="eastAsia" w:ascii="仿宋_GB2312" w:eastAsia="仿宋_GB2312" w:hAnsiTheme="minorEastAsia" w:cstheme="minorBidi"/>
          <w:b w:val="0"/>
          <w:bCs w:val="0"/>
          <w:color w:val="auto"/>
          <w:kern w:val="2"/>
          <w:sz w:val="32"/>
          <w:szCs w:val="32"/>
          <w:highlight w:val="none"/>
          <w:lang w:val="en-US" w:eastAsia="zh-CN" w:bidi="ar-SA"/>
        </w:rPr>
        <w:t>正常运转支出成本，预期值为小于等于26.7万元，实际完成值为26.7，完成率为100%。达到预期目标。</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eastAsia="仿宋_GB2312" w:hAnsiTheme="minorEastAsia"/>
          <w:color w:val="auto"/>
          <w:sz w:val="32"/>
          <w:szCs w:val="32"/>
          <w:highlight w:val="none"/>
          <w:lang w:eastAsia="zh-CN"/>
        </w:rPr>
      </w:pPr>
      <w:r>
        <w:rPr>
          <w:rFonts w:hint="eastAsia" w:ascii="仿宋_GB2312" w:hAnsi="仿宋" w:eastAsia="仿宋_GB2312" w:cstheme="minorBidi"/>
          <w:b w:val="0"/>
          <w:bCs w:val="0"/>
          <w:color w:val="auto"/>
          <w:kern w:val="2"/>
          <w:sz w:val="32"/>
          <w:szCs w:val="32"/>
          <w:highlight w:val="none"/>
          <w:lang w:val="en-US" w:eastAsia="zh-CN" w:bidi="ar-SA"/>
        </w:rPr>
        <w:t>成本指标共计3个，完成3个，达到预期目标，成本指标完成。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ascii="仿宋_GB2312" w:eastAsia="仿宋_GB2312"/>
          <w:color w:val="auto"/>
          <w:sz w:val="32"/>
          <w:szCs w:val="32"/>
          <w:highlight w:val="none"/>
        </w:rPr>
      </w:pPr>
      <w:r>
        <w:rPr>
          <w:rFonts w:hint="eastAsia" w:ascii="仿宋_GB2312" w:hAnsi="仿宋" w:eastAsia="仿宋_GB2312"/>
          <w:color w:val="auto"/>
          <w:sz w:val="32"/>
          <w:szCs w:val="32"/>
          <w:highlight w:val="none"/>
        </w:rPr>
        <w:t>无。</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保障单位正常运转，预期指标有效保障，实际完成值是有效保障，指标完成率是有效保障，达到预期目标。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社会效益指标共计1个，完成1个，达到预期目标，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无。</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持续为群众提供公共服务能力，预期指标长期，实际完成值是长期，指标完成率是100%，达到预期目标。</w:t>
      </w:r>
    </w:p>
    <w:p>
      <w:pPr>
        <w:spacing w:line="560" w:lineRule="exact"/>
        <w:ind w:firstLine="624" w:firstLineChars="200"/>
        <w:rPr>
          <w:rFonts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可持续指标共计1个，完成1个，达到预期目标，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教职工满意度，预期指标是大于等于95%，实际完成值是95%，指标完成率是100%，达到预期目标。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受益群众满意度</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预期指标是大于等于95%，实际完成值是95%，指标完成率是100%。达到预期目标。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满意度指标共计2个，完成2个，达到预期目标，服务对象满意度指标完成。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经济性评价：单位年度任务在预算资金额度内完成，并通过规范的资金管理及其他创新的管理措施实现了资金的节约。</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效益性评价：预期的经济效益、社会效益、可持续影响产生，教职工满意度达到95%，受益群众满意度达到95%，满意度指标完成。</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无。</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A8E4E01"/>
    <w:rsid w:val="0DBE38B4"/>
    <w:rsid w:val="0E2D1421"/>
    <w:rsid w:val="0F484CBE"/>
    <w:rsid w:val="11970B0A"/>
    <w:rsid w:val="12FE1910"/>
    <w:rsid w:val="141C6243"/>
    <w:rsid w:val="1A7D2E72"/>
    <w:rsid w:val="1ACC0302"/>
    <w:rsid w:val="1B0B6E96"/>
    <w:rsid w:val="1CEF2574"/>
    <w:rsid w:val="227375DB"/>
    <w:rsid w:val="29F9207F"/>
    <w:rsid w:val="2CE16488"/>
    <w:rsid w:val="2F187AB3"/>
    <w:rsid w:val="2F2E1EC8"/>
    <w:rsid w:val="30E07F90"/>
    <w:rsid w:val="327D5A75"/>
    <w:rsid w:val="3455214F"/>
    <w:rsid w:val="353C0AD7"/>
    <w:rsid w:val="36E2391E"/>
    <w:rsid w:val="3B2B6289"/>
    <w:rsid w:val="3CCA3DC7"/>
    <w:rsid w:val="3D773783"/>
    <w:rsid w:val="47BA16DA"/>
    <w:rsid w:val="495416DD"/>
    <w:rsid w:val="4B19062F"/>
    <w:rsid w:val="4D457C38"/>
    <w:rsid w:val="4E31105E"/>
    <w:rsid w:val="4ECD6109"/>
    <w:rsid w:val="517E1B32"/>
    <w:rsid w:val="553E47A4"/>
    <w:rsid w:val="555C287A"/>
    <w:rsid w:val="55D03A95"/>
    <w:rsid w:val="599F2F96"/>
    <w:rsid w:val="5D6176A7"/>
    <w:rsid w:val="616E0F8F"/>
    <w:rsid w:val="64627401"/>
    <w:rsid w:val="66540FAC"/>
    <w:rsid w:val="6FE15325"/>
    <w:rsid w:val="7810477E"/>
    <w:rsid w:val="783E0D91"/>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6572</Words>
  <Characters>6913</Characters>
  <Lines>58</Lines>
  <Paragraphs>16</Paragraphs>
  <TotalTime>0</TotalTime>
  <ScaleCrop>false</ScaleCrop>
  <LinksUpToDate>false</LinksUpToDate>
  <CharactersWithSpaces>6939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2022-08-31T11:40:34Z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