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9BE73" w14:textId="77777777" w:rsidR="009F05F4" w:rsidRDefault="009F05F4"/>
    <w:p w14:paraId="69ABFCD2" w14:textId="77777777" w:rsidR="009F05F4" w:rsidRDefault="009F05F4"/>
    <w:p w14:paraId="060EE33A" w14:textId="77777777" w:rsidR="009F05F4" w:rsidRDefault="009F05F4"/>
    <w:p w14:paraId="042FE0DF" w14:textId="77777777" w:rsidR="009F05F4" w:rsidRDefault="009F05F4">
      <w:pPr>
        <w:spacing w:line="540" w:lineRule="exact"/>
        <w:jc w:val="center"/>
        <w:rPr>
          <w:rFonts w:ascii="方正小标宋_GBK" w:eastAsia="方正小标宋_GBK" w:hAnsi="华文中宋" w:cs="宋体" w:hint="eastAsia"/>
          <w:b/>
          <w:kern w:val="0"/>
          <w:sz w:val="48"/>
          <w:szCs w:val="48"/>
        </w:rPr>
      </w:pPr>
    </w:p>
    <w:p w14:paraId="3BD2725A" w14:textId="77777777" w:rsidR="009F05F4" w:rsidRDefault="00000000">
      <w:pPr>
        <w:spacing w:line="600" w:lineRule="exact"/>
        <w:jc w:val="center"/>
        <w:rPr>
          <w:rFonts w:ascii="方正小标宋_GBK" w:eastAsia="方正小标宋_GBK" w:hAnsi="华文中宋" w:cs="宋体" w:hint="eastAsia"/>
          <w:b/>
          <w:kern w:val="0"/>
          <w:sz w:val="44"/>
          <w:szCs w:val="44"/>
        </w:rPr>
      </w:pPr>
      <w:r>
        <w:rPr>
          <w:rFonts w:ascii="方正小标宋_GBK" w:eastAsia="方正小标宋_GBK" w:hAnsi="华文中宋" w:cs="宋体" w:hint="eastAsia"/>
          <w:b/>
          <w:kern w:val="0"/>
          <w:sz w:val="44"/>
          <w:szCs w:val="44"/>
        </w:rPr>
        <w:t>和田市努尔巴格街道办事处单位整体支出</w:t>
      </w:r>
    </w:p>
    <w:p w14:paraId="1379A809" w14:textId="77777777" w:rsidR="009F05F4" w:rsidRDefault="00000000">
      <w:pPr>
        <w:spacing w:line="600" w:lineRule="exact"/>
        <w:jc w:val="center"/>
        <w:rPr>
          <w:rFonts w:ascii="方正小标宋_GBK" w:eastAsia="方正小标宋_GBK" w:hAnsi="华文中宋" w:cs="宋体" w:hint="eastAsia"/>
          <w:b/>
          <w:kern w:val="0"/>
          <w:sz w:val="44"/>
          <w:szCs w:val="44"/>
        </w:rPr>
      </w:pPr>
      <w:r>
        <w:rPr>
          <w:rFonts w:ascii="方正小标宋_GBK" w:eastAsia="方正小标宋_GBK" w:hAnsi="华文中宋" w:cs="宋体" w:hint="eastAsia"/>
          <w:b/>
          <w:kern w:val="0"/>
          <w:sz w:val="44"/>
          <w:szCs w:val="44"/>
        </w:rPr>
        <w:t>绩效自评报告</w:t>
      </w:r>
    </w:p>
    <w:p w14:paraId="3D3023BB" w14:textId="77777777" w:rsidR="009F05F4" w:rsidRDefault="009F05F4">
      <w:pPr>
        <w:spacing w:line="540" w:lineRule="exact"/>
        <w:jc w:val="center"/>
        <w:rPr>
          <w:rFonts w:ascii="Times New Roman" w:eastAsia="仿宋_GB2312" w:hAnsi="宋体" w:cs="宋体" w:hint="eastAsia"/>
          <w:kern w:val="0"/>
          <w:sz w:val="36"/>
          <w:szCs w:val="36"/>
        </w:rPr>
      </w:pPr>
    </w:p>
    <w:p w14:paraId="7AD79B31" w14:textId="77777777" w:rsidR="009F05F4" w:rsidRDefault="00000000">
      <w:pPr>
        <w:jc w:val="center"/>
        <w:rPr>
          <w:rFonts w:ascii="仿宋_GB2312" w:eastAsia="仿宋_GB2312" w:hAnsi="宋体" w:cs="宋体" w:hint="eastAsia"/>
          <w:kern w:val="0"/>
          <w:sz w:val="36"/>
          <w:szCs w:val="36"/>
        </w:rPr>
      </w:pPr>
      <w:r>
        <w:rPr>
          <w:rFonts w:ascii="仿宋_GB2312" w:eastAsia="仿宋_GB2312" w:hAnsi="宋体" w:cs="宋体" w:hint="eastAsia"/>
          <w:kern w:val="0"/>
          <w:sz w:val="36"/>
          <w:szCs w:val="36"/>
        </w:rPr>
        <w:t>（2021年度）</w:t>
      </w:r>
    </w:p>
    <w:p w14:paraId="3C6993F9" w14:textId="77777777" w:rsidR="009F05F4" w:rsidRDefault="009F05F4"/>
    <w:p w14:paraId="395E83F6" w14:textId="77777777" w:rsidR="009F05F4" w:rsidRDefault="009F05F4"/>
    <w:p w14:paraId="79F9394C" w14:textId="77777777" w:rsidR="009F05F4" w:rsidRDefault="009F05F4"/>
    <w:p w14:paraId="69181D01" w14:textId="77777777" w:rsidR="009F05F4" w:rsidRDefault="009F05F4"/>
    <w:p w14:paraId="5D1DAE11" w14:textId="77777777" w:rsidR="009F05F4" w:rsidRDefault="009F05F4"/>
    <w:p w14:paraId="56ABA1EF" w14:textId="77777777" w:rsidR="009F05F4" w:rsidRDefault="009F05F4"/>
    <w:p w14:paraId="11702CE9" w14:textId="77777777" w:rsidR="009F05F4" w:rsidRDefault="009F05F4"/>
    <w:p w14:paraId="1777AD61" w14:textId="77777777" w:rsidR="009F05F4" w:rsidRDefault="009F05F4"/>
    <w:p w14:paraId="654327B2" w14:textId="77777777" w:rsidR="009F05F4" w:rsidRDefault="009F05F4"/>
    <w:p w14:paraId="5C56C01D" w14:textId="77777777" w:rsidR="009F05F4" w:rsidRDefault="009F05F4"/>
    <w:p w14:paraId="0714FA52" w14:textId="77777777" w:rsidR="009F05F4" w:rsidRDefault="009F05F4"/>
    <w:p w14:paraId="4AD3D0D7" w14:textId="77777777" w:rsidR="009F05F4" w:rsidRDefault="009F05F4"/>
    <w:p w14:paraId="3AFF92A9" w14:textId="77777777" w:rsidR="009F05F4" w:rsidRDefault="009F05F4"/>
    <w:p w14:paraId="79AA2CF7" w14:textId="77777777" w:rsidR="009F05F4" w:rsidRDefault="009F05F4"/>
    <w:p w14:paraId="108BFC31" w14:textId="77777777" w:rsidR="009F05F4" w:rsidRDefault="009F05F4"/>
    <w:p w14:paraId="65568C09" w14:textId="77777777" w:rsidR="009F05F4" w:rsidRDefault="009F05F4"/>
    <w:p w14:paraId="444723DD" w14:textId="77777777" w:rsidR="009F05F4" w:rsidRDefault="009F05F4"/>
    <w:p w14:paraId="7837B304" w14:textId="77777777" w:rsidR="009F05F4" w:rsidRDefault="009F05F4"/>
    <w:p w14:paraId="0BDBA993" w14:textId="77777777" w:rsidR="009F05F4" w:rsidRDefault="00000000">
      <w:pPr>
        <w:rPr>
          <w:rFonts w:ascii="Times New Roman" w:eastAsia="仿宋_GB2312" w:hAnsi="宋体" w:cs="宋体" w:hint="eastAsia"/>
          <w:kern w:val="0"/>
          <w:sz w:val="36"/>
          <w:szCs w:val="36"/>
        </w:rPr>
      </w:pPr>
      <w:r>
        <w:rPr>
          <w:rFonts w:ascii="Times New Roman" w:eastAsia="仿宋_GB2312" w:hAnsi="宋体" w:cs="宋体" w:hint="eastAsia"/>
          <w:kern w:val="0"/>
          <w:sz w:val="36"/>
          <w:szCs w:val="36"/>
        </w:rPr>
        <w:t>单位名称（公章）：和田市努尔巴格街道办事处</w:t>
      </w:r>
    </w:p>
    <w:p w14:paraId="05052F78" w14:textId="77777777" w:rsidR="009F05F4" w:rsidRDefault="00000000">
      <w:pPr>
        <w:rPr>
          <w:rFonts w:ascii="Times New Roman" w:eastAsia="仿宋_GB2312" w:hAnsi="宋体" w:cs="宋体" w:hint="eastAsia"/>
          <w:kern w:val="0"/>
          <w:sz w:val="36"/>
          <w:szCs w:val="36"/>
        </w:rPr>
      </w:pPr>
      <w:r>
        <w:rPr>
          <w:rFonts w:ascii="Times New Roman" w:eastAsia="仿宋_GB2312" w:hAnsi="宋体" w:cs="宋体" w:hint="eastAsia"/>
          <w:kern w:val="0"/>
          <w:sz w:val="36"/>
          <w:szCs w:val="36"/>
        </w:rPr>
        <w:t>填报时间：</w:t>
      </w:r>
      <w:r>
        <w:rPr>
          <w:rFonts w:ascii="Times New Roman" w:eastAsia="仿宋_GB2312" w:hAnsi="宋体" w:cs="宋体" w:hint="eastAsia"/>
          <w:kern w:val="0"/>
          <w:sz w:val="36"/>
          <w:szCs w:val="36"/>
        </w:rPr>
        <w:t>2022</w:t>
      </w:r>
      <w:r>
        <w:rPr>
          <w:rFonts w:ascii="Times New Roman" w:eastAsia="仿宋_GB2312" w:hAnsi="宋体" w:cs="宋体" w:hint="eastAsia"/>
          <w:kern w:val="0"/>
          <w:sz w:val="36"/>
          <w:szCs w:val="36"/>
        </w:rPr>
        <w:t>年</w:t>
      </w:r>
      <w:r>
        <w:rPr>
          <w:rFonts w:ascii="Times New Roman" w:eastAsia="仿宋_GB2312" w:hAnsi="宋体" w:cs="宋体" w:hint="eastAsia"/>
          <w:kern w:val="0"/>
          <w:sz w:val="36"/>
          <w:szCs w:val="36"/>
        </w:rPr>
        <w:t xml:space="preserve"> 1</w:t>
      </w:r>
      <w:r>
        <w:rPr>
          <w:rFonts w:ascii="Times New Roman" w:eastAsia="仿宋_GB2312" w:hAnsi="宋体" w:cs="宋体" w:hint="eastAsia"/>
          <w:kern w:val="0"/>
          <w:sz w:val="36"/>
          <w:szCs w:val="36"/>
        </w:rPr>
        <w:t>月</w:t>
      </w:r>
      <w:r>
        <w:rPr>
          <w:rFonts w:ascii="Times New Roman" w:eastAsia="仿宋_GB2312" w:hAnsi="宋体" w:cs="宋体" w:hint="eastAsia"/>
          <w:kern w:val="0"/>
          <w:sz w:val="36"/>
          <w:szCs w:val="36"/>
        </w:rPr>
        <w:t>12</w:t>
      </w:r>
      <w:r>
        <w:rPr>
          <w:rFonts w:ascii="Times New Roman" w:eastAsia="仿宋_GB2312" w:hAnsi="宋体" w:cs="宋体" w:hint="eastAsia"/>
          <w:kern w:val="0"/>
          <w:sz w:val="36"/>
          <w:szCs w:val="36"/>
        </w:rPr>
        <w:t>日</w:t>
      </w:r>
    </w:p>
    <w:p w14:paraId="32FAB183" w14:textId="77777777" w:rsidR="009F05F4" w:rsidRDefault="009F05F4">
      <w:pPr>
        <w:rPr>
          <w:rFonts w:ascii="Times New Roman" w:eastAsia="仿宋_GB2312" w:hAnsi="宋体" w:cs="宋体" w:hint="eastAsia"/>
          <w:kern w:val="0"/>
          <w:sz w:val="36"/>
          <w:szCs w:val="36"/>
        </w:rPr>
      </w:pPr>
    </w:p>
    <w:p w14:paraId="5678BACA" w14:textId="77777777" w:rsidR="009F05F4" w:rsidRDefault="009F05F4">
      <w:pPr>
        <w:rPr>
          <w:rFonts w:ascii="方正小标宋简体" w:eastAsia="方正小标宋简体" w:hAnsi="宋体" w:cs="宋体" w:hint="eastAsia"/>
          <w:kern w:val="0"/>
          <w:sz w:val="36"/>
          <w:szCs w:val="36"/>
        </w:rPr>
      </w:pPr>
    </w:p>
    <w:p w14:paraId="70A2CD2B" w14:textId="77777777" w:rsidR="009F05F4" w:rsidRDefault="009F05F4">
      <w:pPr>
        <w:pStyle w:val="3"/>
      </w:pPr>
    </w:p>
    <w:p w14:paraId="30A5D924" w14:textId="77777777" w:rsidR="009F05F4" w:rsidRDefault="009F05F4"/>
    <w:p w14:paraId="658810EB" w14:textId="77777777" w:rsidR="009F05F4" w:rsidRDefault="009F05F4"/>
    <w:p w14:paraId="2FFDF538" w14:textId="77777777" w:rsidR="009F05F4" w:rsidRDefault="00000000">
      <w:pPr>
        <w:pStyle w:val="ad"/>
        <w:spacing w:line="560" w:lineRule="exact"/>
        <w:ind w:firstLine="624"/>
        <w:rPr>
          <w:rStyle w:val="ab"/>
          <w:rFonts w:ascii="黑体" w:eastAsia="黑体" w:hAnsi="黑体" w:cs="Times New Roman" w:hint="eastAsia"/>
          <w:b w:val="0"/>
          <w:spacing w:val="-4"/>
          <w:sz w:val="32"/>
          <w:szCs w:val="32"/>
        </w:rPr>
      </w:pPr>
      <w:r>
        <w:rPr>
          <w:rStyle w:val="ab"/>
          <w:rFonts w:ascii="黑体" w:eastAsia="黑体" w:hAnsi="黑体" w:cs="Times New Roman" w:hint="eastAsia"/>
          <w:b w:val="0"/>
          <w:spacing w:val="-4"/>
          <w:sz w:val="32"/>
          <w:szCs w:val="32"/>
        </w:rPr>
        <w:lastRenderedPageBreak/>
        <w:t>一、基本概况</w:t>
      </w:r>
    </w:p>
    <w:p w14:paraId="3CB523C2" w14:textId="77777777" w:rsidR="009F05F4" w:rsidRDefault="00000000">
      <w:pPr>
        <w:spacing w:line="560" w:lineRule="exact"/>
        <w:ind w:firstLineChars="200"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（一）单位基本情况</w:t>
      </w:r>
    </w:p>
    <w:p w14:paraId="0C29AF15" w14:textId="77777777" w:rsidR="009F05F4" w:rsidRDefault="00000000">
      <w:pPr>
        <w:pStyle w:val="a9"/>
        <w:spacing w:before="0" w:beforeAutospacing="0" w:after="0" w:afterAutospacing="0" w:line="560" w:lineRule="exact"/>
        <w:ind w:firstLine="641"/>
        <w:rPr>
          <w:rFonts w:ascii="仿宋_GB2312" w:eastAsia="仿宋_GB2312" w:hAnsi="仿宋" w:hint="eastAsia"/>
          <w:bCs/>
          <w:sz w:val="32"/>
          <w:szCs w:val="32"/>
        </w:rPr>
      </w:pPr>
      <w:r>
        <w:rPr>
          <w:rFonts w:ascii="仿宋_GB2312" w:eastAsia="仿宋_GB2312" w:hAnsi="仿宋" w:hint="eastAsia"/>
          <w:bCs/>
          <w:sz w:val="32"/>
          <w:szCs w:val="32"/>
        </w:rPr>
        <w:t>1．单位主要职能</w:t>
      </w:r>
      <w:r>
        <w:rPr>
          <w:rFonts w:ascii="仿宋" w:eastAsia="仿宋" w:hAnsi="仿宋" w:cs="仿宋" w:hint="eastAsia"/>
          <w:sz w:val="32"/>
          <w:szCs w:val="32"/>
        </w:rPr>
        <w:t>街道办事处是人民政府的派出机关，由市人民政府领导，依据法律、法规的规定，在本辖区内行使相应的政府管理职能。具体为：指导、帮助社区居委会开展组织建设、制度建设和其它工作；负责本辖区社区建设、管理和服务工作；做好社会救助和其他社会保障工作；执行本辖区内经济和社会发展计划、财政预算，管理本辖区内的社会事务管理、劳动和社会保障、计划生育、环境保护、文化、卫生、安全生产、计划生育等行政工作；负责维护本辖区内社会秩序稳定，做好社会治安综合治理和人民调解工作；维护老年人、未成年人、妇女、残疾人等的合法权益；开展拥军优属，做好国防动员和兵役工作；配合做好防灾救灾工作；向区人民政府反映居民的意见和要求，处理群众来信来访事项以及办理人民政府交办的事项。</w:t>
      </w:r>
    </w:p>
    <w:p w14:paraId="362E77CB" w14:textId="77777777" w:rsidR="009F05F4" w:rsidRDefault="00000000">
      <w:pPr>
        <w:widowControl/>
        <w:spacing w:line="560" w:lineRule="exact"/>
        <w:ind w:firstLineChars="200" w:firstLine="640"/>
        <w:jc w:val="left"/>
        <w:rPr>
          <w:rFonts w:ascii="仿宋" w:eastAsia="仿宋" w:hAnsi="仿宋" w:cs="仿宋" w:hint="eastAsia"/>
          <w:kern w:val="0"/>
          <w:sz w:val="32"/>
          <w:szCs w:val="32"/>
        </w:rPr>
      </w:pPr>
      <w:r>
        <w:rPr>
          <w:rFonts w:ascii="仿宋_GB2312" w:eastAsia="仿宋_GB2312" w:hAnsi="仿宋" w:cs="Times New Roman" w:hint="eastAsia"/>
          <w:bCs/>
          <w:sz w:val="32"/>
          <w:szCs w:val="32"/>
        </w:rPr>
        <w:t>2．单位机构设置及人员构成</w:t>
      </w:r>
      <w:r>
        <w:rPr>
          <w:rFonts w:ascii="仿宋" w:eastAsia="仿宋" w:hAnsi="仿宋" w:cs="仿宋" w:hint="eastAsia"/>
          <w:kern w:val="0"/>
          <w:sz w:val="32"/>
          <w:szCs w:val="32"/>
        </w:rPr>
        <w:t>和田市努尔巴格街道办事处单位无下属预算单位，下设 14个社区居民委员会，分别是托格拉克阿勒迪社区居民委员会、纳尔巴格社区居民委员会、英巴扎社区居民委员会、乌鲁木齐北路社区居民委员会、沙驼社区居民委员会、英巴格社区居民委员会、亚格买里社区居民委员会、友谊社区居民委员会、古再勒社区居民委员会、民乐社区居民委员会、团结社区居民委员会、玉泉北社区居民委员会、和平社区居民委员会、敬老路社区居民委员会。</w:t>
      </w:r>
    </w:p>
    <w:p w14:paraId="2FB6854F" w14:textId="77777777" w:rsidR="009F05F4" w:rsidRDefault="00000000">
      <w:pPr>
        <w:widowControl/>
        <w:spacing w:line="560" w:lineRule="exact"/>
        <w:ind w:firstLineChars="200" w:firstLine="640"/>
        <w:jc w:val="left"/>
        <w:rPr>
          <w:rFonts w:ascii="仿宋_GB2312" w:eastAsia="仿宋_GB2312" w:hAnsi="仿宋" w:cs="Times New Roman" w:hint="eastAsia"/>
          <w:bCs/>
          <w:sz w:val="32"/>
          <w:szCs w:val="32"/>
        </w:rPr>
      </w:pPr>
      <w:r>
        <w:rPr>
          <w:rFonts w:ascii="仿宋_GB2312" w:eastAsia="仿宋_GB2312" w:hAnsi="宋体" w:hint="eastAsia"/>
          <w:kern w:val="0"/>
          <w:sz w:val="32"/>
          <w:szCs w:val="32"/>
        </w:rPr>
        <w:lastRenderedPageBreak/>
        <w:t>和田市努尔巴格街道办事处</w:t>
      </w:r>
      <w:r>
        <w:rPr>
          <w:rFonts w:ascii="仿宋_GB2312" w:eastAsia="仿宋_GB2312" w:hAnsi="宋体" w:cs="宋体" w:hint="eastAsia"/>
          <w:kern w:val="0"/>
          <w:sz w:val="32"/>
          <w:szCs w:val="32"/>
        </w:rPr>
        <w:t>单位编制数94人，实有人数***人，其中：在职***人，增加*人； 退休**人，增加*人；离休*人，增加或减少*人。</w:t>
      </w:r>
    </w:p>
    <w:p w14:paraId="0824E405" w14:textId="77777777" w:rsidR="009F05F4" w:rsidRDefault="00000000">
      <w:pPr>
        <w:pStyle w:val="ad"/>
        <w:spacing w:line="560" w:lineRule="exact"/>
        <w:ind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 xml:space="preserve">3．2021年度单位重点工作计划 </w:t>
      </w:r>
    </w:p>
    <w:p w14:paraId="0A4C4FC3" w14:textId="77777777" w:rsidR="009F05F4" w:rsidRDefault="00000000">
      <w:pPr>
        <w:pStyle w:val="3"/>
        <w:spacing w:before="0" w:after="0" w:line="560" w:lineRule="exact"/>
        <w:ind w:firstLineChars="200" w:firstLine="640"/>
        <w:rPr>
          <w:rFonts w:ascii="仿宋" w:eastAsia="仿宋_GB2312" w:hAnsi="仿宋" w:cs="宋体" w:hint="eastAsia"/>
        </w:rPr>
      </w:pPr>
      <w:r>
        <w:rPr>
          <w:rFonts w:ascii="仿宋_GB2312" w:eastAsia="仿宋_GB2312" w:hAnsi="仿宋" w:cs="Times New Roman" w:hint="eastAsia"/>
          <w:b w:val="0"/>
        </w:rPr>
        <w:t>（1）机关业务工作。常态化开展值班备勤及社会面防控巡逻工作。加强出租房流动人口及重点人群的管理等工作。保障街道4辆公务用车的运行，街道干部***人就餐，各类宣传教育培训活动正常开展。加大了对辖区人员密集所及居民用电用水的宣传及检查，对辖区高层的安全消防设施达准情况进行督查，家属院及街面消防通道保持畅通，排除各种安全隐患，保证辖区安全。</w:t>
      </w:r>
    </w:p>
    <w:p w14:paraId="2C9CAB4E" w14:textId="77777777" w:rsidR="009F05F4" w:rsidRDefault="00000000">
      <w:pPr>
        <w:spacing w:line="560" w:lineRule="exact"/>
        <w:ind w:firstLineChars="200" w:firstLine="640"/>
        <w:rPr>
          <w:rFonts w:ascii="仿宋" w:eastAsia="仿宋_GB2312" w:hAnsi="仿宋" w:cs="Times New Roman" w:hint="eastAsia"/>
          <w:bCs/>
          <w:sz w:val="32"/>
          <w:szCs w:val="32"/>
        </w:rPr>
      </w:pPr>
      <w:r>
        <w:rPr>
          <w:rFonts w:ascii="仿宋" w:eastAsia="仿宋" w:hAnsi="仿宋" w:cs="Times New Roman" w:hint="eastAsia"/>
          <w:bCs/>
          <w:sz w:val="32"/>
          <w:szCs w:val="32"/>
        </w:rPr>
        <w:t>（2）社区业务工作。</w:t>
      </w:r>
      <w:r>
        <w:rPr>
          <w:rFonts w:ascii="仿宋_GB2312" w:eastAsia="仿宋_GB2312" w:hint="eastAsia"/>
          <w:sz w:val="32"/>
          <w:szCs w:val="32"/>
        </w:rPr>
        <w:t>大力推进城市社区建设，新形势下</w:t>
      </w:r>
      <w:r>
        <w:rPr>
          <w:rFonts w:ascii="仿宋_GB2312" w:eastAsia="仿宋_GB2312"/>
          <w:sz w:val="32"/>
          <w:szCs w:val="32"/>
        </w:rPr>
        <w:t>做好群众工作和加强基层政权建设</w:t>
      </w:r>
      <w:r>
        <w:rPr>
          <w:rFonts w:ascii="仿宋_GB2312" w:eastAsia="仿宋_GB2312" w:hint="eastAsia"/>
          <w:sz w:val="32"/>
          <w:szCs w:val="32"/>
        </w:rPr>
        <w:t>。加强社区建设，保障街道14个社区日常工作正常运转，保证各项服务正常与健康发展，切实提升社区居民群众的满意度。</w:t>
      </w:r>
    </w:p>
    <w:p w14:paraId="1164A369" w14:textId="77777777" w:rsidR="009F05F4" w:rsidRDefault="00000000">
      <w:pPr>
        <w:pStyle w:val="3"/>
        <w:spacing w:before="0" w:after="0" w:line="560" w:lineRule="exact"/>
        <w:rPr>
          <w:rFonts w:ascii="仿宋_GB2312" w:eastAsia="仿宋_GB2312" w:hAnsi="仿宋" w:cs="Times New Roman" w:hint="eastAsia"/>
          <w:b w:val="0"/>
        </w:rPr>
      </w:pPr>
      <w:r>
        <w:rPr>
          <w:rFonts w:ascii="仿宋" w:eastAsia="仿宋" w:hAnsi="仿宋" w:cs="Times New Roman" w:hint="eastAsia"/>
        </w:rPr>
        <w:t xml:space="preserve">    </w:t>
      </w:r>
      <w:r>
        <w:rPr>
          <w:rFonts w:ascii="仿宋_GB2312" w:eastAsia="仿宋_GB2312" w:hAnsi="仿宋" w:cs="Times New Roman" w:hint="eastAsia"/>
          <w:b w:val="0"/>
        </w:rPr>
        <w:t>（3）疫情防控工作。常态化做好疫情防控防护知识的宣传，发挥城市协管员作用做好街面人群的引导；严格按照防疫要求，做好辖区人员的核酸检测及回流人员的服务工作；保障了13个社区防疫物资的供应。</w:t>
      </w:r>
    </w:p>
    <w:p w14:paraId="5CDD9EFA" w14:textId="77777777" w:rsidR="009F05F4" w:rsidRDefault="00000000">
      <w:pPr>
        <w:spacing w:line="560" w:lineRule="exact"/>
        <w:ind w:firstLineChars="200"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（二）决策过程</w:t>
      </w:r>
    </w:p>
    <w:p w14:paraId="3D28C0A0" w14:textId="77777777" w:rsidR="009F05F4" w:rsidRDefault="00000000">
      <w:pPr>
        <w:pStyle w:val="ad"/>
        <w:spacing w:line="560" w:lineRule="exact"/>
        <w:ind w:firstLine="640"/>
        <w:rPr>
          <w:rFonts w:ascii="仿宋" w:eastAsia="仿宋" w:hAnsi="仿宋" w:cs="宋体" w:hint="eastAsia"/>
          <w:sz w:val="32"/>
          <w:szCs w:val="32"/>
        </w:rPr>
      </w:pPr>
      <w:r>
        <w:rPr>
          <w:rFonts w:ascii="仿宋" w:eastAsia="仿宋" w:hAnsi="仿宋" w:cs="宋体" w:hint="eastAsia"/>
          <w:sz w:val="32"/>
          <w:szCs w:val="32"/>
        </w:rPr>
        <w:t>本单位的项目立项符合相关法规政策及单位职责，依据充分；项目按照规定的程序申请设立；审批文件、材料符合相关要求；项目前期已经经过必要的绩效评估、集体决策。</w:t>
      </w:r>
    </w:p>
    <w:p w14:paraId="5F7291DD" w14:textId="77777777" w:rsidR="009F05F4" w:rsidRDefault="00000000">
      <w:pPr>
        <w:spacing w:line="560" w:lineRule="exact"/>
        <w:ind w:firstLineChars="200"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（三）资金分配</w:t>
      </w:r>
    </w:p>
    <w:p w14:paraId="4952C006" w14:textId="77777777" w:rsidR="009F05F4" w:rsidRDefault="00000000">
      <w:pPr>
        <w:pStyle w:val="ad"/>
        <w:spacing w:line="560" w:lineRule="exact"/>
        <w:ind w:firstLine="640"/>
        <w:rPr>
          <w:rFonts w:ascii="仿宋" w:eastAsia="仿宋" w:hAnsi="仿宋" w:cs="宋体" w:hint="eastAsia"/>
          <w:sz w:val="32"/>
          <w:szCs w:val="32"/>
        </w:rPr>
      </w:pPr>
      <w:r>
        <w:rPr>
          <w:rFonts w:ascii="仿宋" w:eastAsia="仿宋" w:hAnsi="仿宋" w:cs="宋体" w:hint="eastAsia"/>
          <w:sz w:val="32"/>
          <w:szCs w:val="32"/>
        </w:rPr>
        <w:lastRenderedPageBreak/>
        <w:t>在资金投入方面，预算编制经过科学论证、有明确标准，资金额度与年度目标一致，用以反映和考核项目预算编制的科学性、合理性情况。本年度合理安排重点项目与单位项目资金，根据相关文件要求设置了绩效目标，项目绩效目标基本合理，与实际工作内容相关；项目预期产出效益和效果符合正常的业绩水平；与预算确定的项目投资额或资金量相匹配；已将项目绩效目标细化分解为具体的绩效指标；通过清晰、可衡量的指标值予以体现；已与项目目标任务数或计划数相对应，有效提升了单位履行主要职能及完成重点任务的保障程度。</w:t>
      </w:r>
    </w:p>
    <w:p w14:paraId="069D7FDF" w14:textId="77777777" w:rsidR="009F05F4" w:rsidRDefault="00000000">
      <w:pPr>
        <w:spacing w:line="560" w:lineRule="exact"/>
        <w:ind w:firstLineChars="200"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（四）单位整体支出规模、使用方法、主要内容及涉及范围</w:t>
      </w:r>
    </w:p>
    <w:p w14:paraId="633F51BF" w14:textId="77777777" w:rsidR="009F05F4"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1．单位整体支出规模</w:t>
      </w:r>
    </w:p>
    <w:p w14:paraId="0F2FEE06"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 xml:space="preserve">2021年度和田市努尔巴格街道办事处单位整体支出全年预算总额为3933.1万元，资金执行数3643.48万元，执行率92.6%；全年预算总额较上年4070.54万元减少137.44万元，减幅：3.4%，变动主要原因是追加项目减少。 </w:t>
      </w:r>
    </w:p>
    <w:p w14:paraId="3CCB034B"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（1）基本支出情况</w:t>
      </w:r>
    </w:p>
    <w:p w14:paraId="534A270A"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截至12月31日，基本支出全年预算数3455.84万元，资金执行数3307.12万元，执行率95.7%；其中，年初单位预算批复的整体支出绩效目标表中，基本支出预算数3445.84万元，年中追加基本支出预算数10万元。</w:t>
      </w:r>
    </w:p>
    <w:p w14:paraId="5EC89FD2"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（2）单位预算项目支出情况</w:t>
      </w:r>
    </w:p>
    <w:p w14:paraId="51A8186D"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截至12月31日，单位预算项目支出数共计4个，全年</w:t>
      </w:r>
      <w:r>
        <w:rPr>
          <w:rFonts w:ascii="仿宋_GB2312" w:eastAsia="仿宋_GB2312" w:hAnsi="方正楷体简体" w:cs="宋体" w:hint="eastAsia"/>
          <w:sz w:val="32"/>
          <w:szCs w:val="32"/>
        </w:rPr>
        <w:lastRenderedPageBreak/>
        <w:t>预算数254.26万元，资金执行数227.36万元，执行率89.42%；其中，年初单位预算批复的整体支出绩效目标表中，项目支出预算数231.78万元，资金执行数207.77元，年中追加项目支出预算数22.48万元，资金执行数19.59万元，绩效结果应用调整项目支出预算数0万元。</w:t>
      </w:r>
    </w:p>
    <w:p w14:paraId="38BDDEF8"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（3）专项资金项目支出情况</w:t>
      </w:r>
      <w:r>
        <w:rPr>
          <w:rFonts w:ascii="仿宋_GB2312" w:eastAsia="仿宋_GB2312" w:hAnsi="方正楷体简体" w:cs="宋体" w:hint="eastAsia"/>
          <w:sz w:val="32"/>
          <w:szCs w:val="32"/>
        </w:rPr>
        <w:tab/>
      </w:r>
    </w:p>
    <w:p w14:paraId="671FB3F9"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截至12月31日，上级专项资金项目共计1个，全年预算数223万元，资金执行数140.55万元，执行率63%。</w:t>
      </w:r>
    </w:p>
    <w:p w14:paraId="4648362B" w14:textId="77777777" w:rsidR="009F05F4"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2．使用方法</w:t>
      </w:r>
    </w:p>
    <w:p w14:paraId="5B52D9E0" w14:textId="77777777" w:rsidR="009F05F4" w:rsidRDefault="00000000">
      <w:pPr>
        <w:spacing w:line="560" w:lineRule="exact"/>
        <w:ind w:firstLineChars="200" w:firstLine="640"/>
        <w:rPr>
          <w:rFonts w:ascii="仿宋_GB2312" w:eastAsia="仿宋_GB2312" w:hAnsi="方正楷体简体" w:cs="宋体" w:hint="eastAsia"/>
          <w:b/>
          <w:bCs/>
          <w:sz w:val="32"/>
          <w:szCs w:val="32"/>
        </w:rPr>
      </w:pPr>
      <w:r>
        <w:rPr>
          <w:rFonts w:ascii="仿宋_GB2312" w:eastAsia="仿宋_GB2312" w:hAnsi="方正楷体简体" w:cs="宋体" w:hint="eastAsia"/>
          <w:sz w:val="32"/>
          <w:szCs w:val="32"/>
        </w:rPr>
        <w:t>基本支出由财政单位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14:paraId="147D4071" w14:textId="77777777" w:rsidR="009F05F4" w:rsidRDefault="00000000">
      <w:pPr>
        <w:tabs>
          <w:tab w:val="left" w:pos="312"/>
        </w:tabs>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3．主要内容及涉及范围</w:t>
      </w:r>
    </w:p>
    <w:p w14:paraId="241DEF44" w14:textId="77777777" w:rsidR="009F05F4" w:rsidRDefault="00000000">
      <w:pPr>
        <w:pStyle w:val="Ae"/>
        <w:spacing w:line="560" w:lineRule="exact"/>
        <w:ind w:firstLineChars="200"/>
        <w:jc w:val="both"/>
        <w:rPr>
          <w:rFonts w:hAnsi="方正楷体简体" w:hint="eastAsia"/>
        </w:rPr>
      </w:pPr>
      <w:r>
        <w:rPr>
          <w:rFonts w:hAnsi="方正楷体简体" w:hint="eastAsia"/>
        </w:rPr>
        <w:t>（1）基本支出包括人员经费和公用经费。公用经费主要包括：办公费、印刷费、手续费、水费、电费、邮电费、取暖费差旅费、维修（护）费、租赁费、劳务费公务用车运行维护费、其他交通费用、税金及附加费用、其他商品和服务支出、办公设备购置、专用设备购置等。</w:t>
      </w:r>
    </w:p>
    <w:p w14:paraId="2B70D0BB" w14:textId="77777777" w:rsidR="009F05F4" w:rsidRDefault="00000000">
      <w:pPr>
        <w:pStyle w:val="Ae"/>
        <w:spacing w:line="560" w:lineRule="exact"/>
        <w:ind w:firstLineChars="200"/>
        <w:jc w:val="both"/>
        <w:rPr>
          <w:rFonts w:hAnsi="方正楷体简体" w:hint="eastAsia"/>
          <w:b/>
        </w:rPr>
      </w:pPr>
      <w:r>
        <w:rPr>
          <w:rFonts w:hAnsi="方正楷体简体" w:hint="eastAsia"/>
        </w:rPr>
        <w:t>（2）2021年度努尔巴格街道办事处单位项目支出共涉及5个项目，分别为：</w:t>
      </w:r>
    </w:p>
    <w:tbl>
      <w:tblPr>
        <w:tblStyle w:val="aa"/>
        <w:tblW w:w="8522" w:type="dxa"/>
        <w:tblLayout w:type="fixed"/>
        <w:tblLook w:val="04A0" w:firstRow="1" w:lastRow="0" w:firstColumn="1" w:lastColumn="0" w:noHBand="0" w:noVBand="1"/>
      </w:tblPr>
      <w:tblGrid>
        <w:gridCol w:w="4261"/>
        <w:gridCol w:w="4261"/>
      </w:tblGrid>
      <w:tr w:rsidR="009F05F4" w14:paraId="460D94A4" w14:textId="77777777">
        <w:trPr>
          <w:trHeight w:val="865"/>
        </w:trPr>
        <w:tc>
          <w:tcPr>
            <w:tcW w:w="4261" w:type="dxa"/>
            <w:vAlign w:val="center"/>
          </w:tcPr>
          <w:p w14:paraId="22046549" w14:textId="77777777" w:rsidR="009F05F4" w:rsidRDefault="00000000">
            <w:pPr>
              <w:pStyle w:val="ad"/>
              <w:spacing w:line="560" w:lineRule="exact"/>
              <w:ind w:firstLineChars="0" w:firstLine="200"/>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lastRenderedPageBreak/>
              <w:t>项目名称</w:t>
            </w:r>
          </w:p>
        </w:tc>
        <w:tc>
          <w:tcPr>
            <w:tcW w:w="4261" w:type="dxa"/>
            <w:vAlign w:val="center"/>
          </w:tcPr>
          <w:p w14:paraId="1DAE62B6" w14:textId="77777777" w:rsidR="009F05F4" w:rsidRDefault="00000000">
            <w:pPr>
              <w:pStyle w:val="ad"/>
              <w:spacing w:line="560" w:lineRule="exact"/>
              <w:ind w:firstLineChars="0" w:firstLine="200"/>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总预算</w:t>
            </w:r>
          </w:p>
        </w:tc>
      </w:tr>
      <w:tr w:rsidR="009F05F4" w14:paraId="44344068" w14:textId="77777777">
        <w:tc>
          <w:tcPr>
            <w:tcW w:w="4261" w:type="dxa"/>
            <w:vAlign w:val="center"/>
          </w:tcPr>
          <w:p w14:paraId="120C3E15" w14:textId="77777777" w:rsidR="009F05F4" w:rsidRDefault="00000000">
            <w:pPr>
              <w:widowControl/>
              <w:jc w:val="left"/>
              <w:textAlignment w:val="center"/>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机关业务经费项目</w:t>
            </w:r>
          </w:p>
        </w:tc>
        <w:tc>
          <w:tcPr>
            <w:tcW w:w="4261" w:type="dxa"/>
            <w:vAlign w:val="center"/>
          </w:tcPr>
          <w:p w14:paraId="7AB671AF" w14:textId="77777777" w:rsidR="009F05F4" w:rsidRDefault="00000000">
            <w:pPr>
              <w:widowControl/>
              <w:jc w:val="center"/>
              <w:textAlignment w:val="center"/>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10.78万元</w:t>
            </w:r>
          </w:p>
        </w:tc>
      </w:tr>
      <w:tr w:rsidR="009F05F4" w14:paraId="70B94808" w14:textId="77777777">
        <w:tc>
          <w:tcPr>
            <w:tcW w:w="4261" w:type="dxa"/>
            <w:vAlign w:val="center"/>
          </w:tcPr>
          <w:p w14:paraId="2397BD1C" w14:textId="77777777" w:rsidR="009F05F4" w:rsidRDefault="00000000">
            <w:pPr>
              <w:widowControl/>
              <w:jc w:val="left"/>
              <w:textAlignment w:val="center"/>
              <w:rPr>
                <w:rFonts w:ascii="仿宋_GB2312" w:eastAsia="仿宋_GB2312" w:hAnsi="方正楷体简体" w:cs="宋体" w:hint="eastAsia"/>
                <w:sz w:val="32"/>
                <w:szCs w:val="32"/>
              </w:rPr>
            </w:pPr>
            <w:r>
              <w:rPr>
                <w:rFonts w:ascii="仿宋_GB2312" w:eastAsia="仿宋_GB2312" w:hAnsi="方正楷体简体" w:cs="宋体" w:hint="eastAsia"/>
                <w:sz w:val="32"/>
                <w:szCs w:val="32"/>
              </w:rPr>
              <w:t>社区业务经费项目</w:t>
            </w:r>
          </w:p>
        </w:tc>
        <w:tc>
          <w:tcPr>
            <w:tcW w:w="4261" w:type="dxa"/>
            <w:vAlign w:val="center"/>
          </w:tcPr>
          <w:p w14:paraId="0F3EA129" w14:textId="77777777" w:rsidR="009F05F4" w:rsidRDefault="00000000">
            <w:pPr>
              <w:widowControl/>
              <w:jc w:val="center"/>
              <w:textAlignment w:val="center"/>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221万元</w:t>
            </w:r>
          </w:p>
        </w:tc>
      </w:tr>
      <w:tr w:rsidR="009F05F4" w14:paraId="5ABB5A5D" w14:textId="77777777">
        <w:tc>
          <w:tcPr>
            <w:tcW w:w="4261" w:type="dxa"/>
            <w:vAlign w:val="center"/>
          </w:tcPr>
          <w:p w14:paraId="0F0D4635" w14:textId="77777777" w:rsidR="009F05F4" w:rsidRDefault="00000000">
            <w:pPr>
              <w:widowControl/>
              <w:jc w:val="left"/>
              <w:textAlignment w:val="center"/>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执纪审查调查办案点改建欠款项目</w:t>
            </w:r>
          </w:p>
        </w:tc>
        <w:tc>
          <w:tcPr>
            <w:tcW w:w="4261" w:type="dxa"/>
            <w:vAlign w:val="center"/>
          </w:tcPr>
          <w:p w14:paraId="0B4B16EE" w14:textId="77777777" w:rsidR="009F05F4" w:rsidRDefault="00000000">
            <w:pPr>
              <w:widowControl/>
              <w:jc w:val="center"/>
              <w:textAlignment w:val="center"/>
              <w:rPr>
                <w:rFonts w:ascii="仿宋_GB2312" w:eastAsia="仿宋_GB2312" w:hAnsi="方正楷体简体" w:cs="宋体" w:hint="eastAsia"/>
                <w:sz w:val="32"/>
                <w:szCs w:val="32"/>
              </w:rPr>
            </w:pPr>
            <w:r>
              <w:rPr>
                <w:rFonts w:ascii="仿宋_GB2312" w:eastAsia="仿宋_GB2312" w:hAnsi="方正楷体简体" w:cs="宋体" w:hint="eastAsia"/>
                <w:sz w:val="32"/>
                <w:szCs w:val="32"/>
              </w:rPr>
              <w:t>7.48万元</w:t>
            </w:r>
          </w:p>
        </w:tc>
      </w:tr>
      <w:tr w:rsidR="009F05F4" w14:paraId="3D36F308" w14:textId="77777777">
        <w:tc>
          <w:tcPr>
            <w:tcW w:w="4261" w:type="dxa"/>
            <w:vAlign w:val="center"/>
          </w:tcPr>
          <w:p w14:paraId="60867A93" w14:textId="77777777" w:rsidR="009F05F4" w:rsidRDefault="00000000">
            <w:pPr>
              <w:widowControl/>
              <w:jc w:val="left"/>
              <w:textAlignment w:val="center"/>
              <w:rPr>
                <w:rFonts w:ascii="仿宋_GB2312" w:eastAsia="仿宋_GB2312" w:hAnsi="方正楷体简体" w:cs="宋体" w:hint="eastAsia"/>
                <w:sz w:val="32"/>
                <w:szCs w:val="32"/>
              </w:rPr>
            </w:pPr>
            <w:r>
              <w:rPr>
                <w:rFonts w:ascii="仿宋_GB2312" w:eastAsia="仿宋_GB2312" w:hAnsi="方正楷体简体" w:cs="宋体" w:hint="eastAsia"/>
                <w:sz w:val="32"/>
                <w:szCs w:val="32"/>
              </w:rPr>
              <w:t>访惠聚工作经费</w:t>
            </w:r>
          </w:p>
        </w:tc>
        <w:tc>
          <w:tcPr>
            <w:tcW w:w="4261" w:type="dxa"/>
            <w:vAlign w:val="center"/>
          </w:tcPr>
          <w:p w14:paraId="22193C9C" w14:textId="77777777" w:rsidR="009F05F4" w:rsidRDefault="00000000">
            <w:pPr>
              <w:widowControl/>
              <w:jc w:val="center"/>
              <w:textAlignment w:val="center"/>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223万元</w:t>
            </w:r>
          </w:p>
        </w:tc>
      </w:tr>
      <w:tr w:rsidR="009F05F4" w14:paraId="2DCE3F71" w14:textId="77777777">
        <w:tc>
          <w:tcPr>
            <w:tcW w:w="4261" w:type="dxa"/>
            <w:vAlign w:val="center"/>
          </w:tcPr>
          <w:p w14:paraId="001642E4" w14:textId="77777777" w:rsidR="009F05F4" w:rsidRDefault="00000000">
            <w:pPr>
              <w:widowControl/>
              <w:jc w:val="left"/>
              <w:textAlignment w:val="center"/>
              <w:rPr>
                <w:rFonts w:ascii="仿宋_GB2312" w:eastAsia="仿宋_GB2312" w:hAnsi="方正楷体简体" w:cs="宋体" w:hint="eastAsia"/>
                <w:sz w:val="32"/>
                <w:szCs w:val="32"/>
              </w:rPr>
            </w:pPr>
            <w:r>
              <w:rPr>
                <w:rFonts w:ascii="仿宋_GB2312" w:eastAsia="仿宋_GB2312" w:hAnsi="方正楷体简体" w:cs="宋体" w:hint="eastAsia"/>
                <w:sz w:val="32"/>
                <w:szCs w:val="32"/>
              </w:rPr>
              <w:t>职工宿舍楼装修经费</w:t>
            </w:r>
          </w:p>
        </w:tc>
        <w:tc>
          <w:tcPr>
            <w:tcW w:w="4261" w:type="dxa"/>
            <w:vAlign w:val="center"/>
          </w:tcPr>
          <w:p w14:paraId="7110D527" w14:textId="77777777" w:rsidR="009F05F4" w:rsidRDefault="00000000">
            <w:pPr>
              <w:widowControl/>
              <w:jc w:val="center"/>
              <w:textAlignment w:val="center"/>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15万元</w:t>
            </w:r>
          </w:p>
        </w:tc>
      </w:tr>
    </w:tbl>
    <w:p w14:paraId="5C64A67E" w14:textId="77777777" w:rsidR="009F05F4" w:rsidRDefault="00000000">
      <w:pPr>
        <w:pStyle w:val="ad"/>
        <w:spacing w:line="560" w:lineRule="exact"/>
        <w:ind w:firstLine="624"/>
        <w:rPr>
          <w:rStyle w:val="ab"/>
          <w:rFonts w:ascii="黑体" w:eastAsia="黑体" w:hAnsi="黑体" w:cs="Times New Roman" w:hint="eastAsia"/>
          <w:b w:val="0"/>
          <w:spacing w:val="-4"/>
          <w:sz w:val="32"/>
          <w:szCs w:val="32"/>
        </w:rPr>
      </w:pPr>
      <w:r>
        <w:rPr>
          <w:rStyle w:val="ab"/>
          <w:rFonts w:ascii="黑体" w:eastAsia="黑体" w:hAnsi="黑体" w:cs="Times New Roman" w:hint="eastAsia"/>
          <w:b w:val="0"/>
          <w:spacing w:val="-4"/>
          <w:sz w:val="32"/>
          <w:szCs w:val="32"/>
        </w:rPr>
        <w:t>二、单位整体支出管理及使用情况</w:t>
      </w:r>
    </w:p>
    <w:p w14:paraId="1C5424D0" w14:textId="77777777" w:rsidR="009F05F4" w:rsidRDefault="00000000">
      <w:pPr>
        <w:spacing w:line="560" w:lineRule="exact"/>
        <w:ind w:firstLineChars="200" w:firstLine="624"/>
        <w:rPr>
          <w:rStyle w:val="ab"/>
          <w:rFonts w:ascii="楷体" w:eastAsia="楷体" w:hAnsi="楷体" w:cs="Times New Roman" w:hint="eastAsia"/>
          <w:b w:val="0"/>
          <w:bCs w:val="0"/>
          <w:spacing w:val="-4"/>
        </w:rPr>
      </w:pPr>
      <w:r>
        <w:rPr>
          <w:rStyle w:val="ab"/>
          <w:rFonts w:ascii="楷体" w:eastAsia="楷体" w:hAnsi="楷体" w:cs="Times New Roman" w:hint="eastAsia"/>
          <w:b w:val="0"/>
          <w:bCs w:val="0"/>
          <w:spacing w:val="-4"/>
          <w:sz w:val="32"/>
          <w:szCs w:val="32"/>
        </w:rPr>
        <w:t>（一）资金管理情况</w:t>
      </w:r>
    </w:p>
    <w:p w14:paraId="63150EC3"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我单位严格按照国家财经法规、预算资金管理办法、财务管理制度以及专项资金管理办法的规定，建立了项目资金管理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14:paraId="39E42874" w14:textId="77777777" w:rsidR="009F05F4" w:rsidRDefault="00000000">
      <w:pPr>
        <w:spacing w:line="560" w:lineRule="exact"/>
        <w:ind w:firstLineChars="200"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（二）基本支出管理、支出情况、“三公”经费控制情况</w:t>
      </w:r>
    </w:p>
    <w:p w14:paraId="00F0CD46" w14:textId="77777777" w:rsidR="009F05F4"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1．基本支出管理</w:t>
      </w:r>
    </w:p>
    <w:p w14:paraId="30FFB5D2"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基本支出主要用于日常工作运转开支,包括人员的工资</w:t>
      </w:r>
      <w:r>
        <w:rPr>
          <w:rFonts w:ascii="仿宋_GB2312" w:eastAsia="仿宋_GB2312" w:hAnsi="方正楷体简体" w:cs="宋体" w:hint="eastAsia"/>
          <w:sz w:val="32"/>
          <w:szCs w:val="32"/>
        </w:rPr>
        <w:lastRenderedPageBreak/>
        <w:t>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w:t>
      </w:r>
    </w:p>
    <w:p w14:paraId="5CEF0664" w14:textId="77777777" w:rsidR="009F05F4"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2．基本支出情况</w:t>
      </w:r>
    </w:p>
    <w:p w14:paraId="58D50C25"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2021年和田市努尔巴格街道办事处基本支出预算总额3445.84万元，其中人员经费3399.57万元，公用经费56.27万元。实际支出3307.12万元，预算执行率95.7%。</w:t>
      </w:r>
    </w:p>
    <w:p w14:paraId="003FD97D" w14:textId="77777777" w:rsidR="009F05F4"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3．“三公”经费控制情况</w:t>
      </w:r>
    </w:p>
    <w:p w14:paraId="2C872F0F"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 xml:space="preserve">我单位认真贯彻落实中央关于厉行节约的有关规定，严格执行《党政机关厉行节约反对浪费条例》和《机关公务接待管理办法》，全年大幅度压缩了因公出国（境）及公务接待费用支出。全年“三公”经费支出为5万元。 </w:t>
      </w:r>
    </w:p>
    <w:p w14:paraId="59251117"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2021年“三公”经费预算数为5万元，其中，公务用车运行维护费5万元。全年“三公”经费支出1.85万元，其中公务用车运行维护费1.85万元，较2020年“三公”经费决算1.85万元相等。</w:t>
      </w:r>
    </w:p>
    <w:p w14:paraId="7E0D81E2" w14:textId="77777777" w:rsidR="009F05F4" w:rsidRDefault="00000000">
      <w:pPr>
        <w:spacing w:line="560" w:lineRule="exact"/>
        <w:ind w:firstLineChars="200"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（三）专项资金支出预算安排及支出情况</w:t>
      </w:r>
    </w:p>
    <w:p w14:paraId="673CB5D5"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2021年专项支出预算总额223万元，实际支出140.55万元，预算执行率63%。</w:t>
      </w:r>
    </w:p>
    <w:p w14:paraId="1F189A9A" w14:textId="77777777" w:rsidR="009F05F4" w:rsidRDefault="00000000">
      <w:pPr>
        <w:spacing w:line="560" w:lineRule="exact"/>
        <w:ind w:firstLineChars="200" w:firstLine="640"/>
        <w:rPr>
          <w:rFonts w:ascii="仿宋" w:eastAsia="仿宋" w:hAnsi="仿宋" w:cs="Times New Roman" w:hint="eastAsia"/>
          <w:bCs/>
          <w:sz w:val="32"/>
          <w:szCs w:val="32"/>
        </w:rPr>
      </w:pPr>
      <w:r>
        <w:rPr>
          <w:rFonts w:ascii="仿宋_GB2312" w:eastAsia="仿宋_GB2312" w:hAnsi="方正楷体简体" w:cs="宋体" w:hint="eastAsia"/>
          <w:sz w:val="32"/>
          <w:szCs w:val="32"/>
        </w:rPr>
        <w:t>2021年共有1个专项资金项目，其中已完成项目0个、未完成项目1个、结转项目0个。2021年度项目预算及执行情况见下表：</w:t>
      </w:r>
    </w:p>
    <w:tbl>
      <w:tblPr>
        <w:tblW w:w="8522" w:type="dxa"/>
        <w:tblLayout w:type="fixed"/>
        <w:tblLook w:val="04A0" w:firstRow="1" w:lastRow="0" w:firstColumn="1" w:lastColumn="0" w:noHBand="0" w:noVBand="1"/>
      </w:tblPr>
      <w:tblGrid>
        <w:gridCol w:w="1581"/>
        <w:gridCol w:w="1581"/>
        <w:gridCol w:w="1497"/>
        <w:gridCol w:w="1125"/>
        <w:gridCol w:w="1095"/>
        <w:gridCol w:w="1643"/>
      </w:tblGrid>
      <w:tr w:rsidR="009F05F4" w14:paraId="4D063315" w14:textId="77777777">
        <w:trPr>
          <w:trHeight w:val="283"/>
          <w:tblHeader/>
        </w:trPr>
        <w:tc>
          <w:tcPr>
            <w:tcW w:w="1581" w:type="dxa"/>
            <w:tcBorders>
              <w:top w:val="single" w:sz="8" w:space="0" w:color="auto"/>
              <w:left w:val="single" w:sz="8" w:space="0" w:color="auto"/>
              <w:bottom w:val="single" w:sz="8" w:space="0" w:color="auto"/>
              <w:right w:val="single" w:sz="8" w:space="0" w:color="auto"/>
            </w:tcBorders>
            <w:shd w:val="clear" w:color="auto" w:fill="auto"/>
            <w:vAlign w:val="center"/>
          </w:tcPr>
          <w:p w14:paraId="0DEFC0D8" w14:textId="77777777" w:rsidR="009F05F4"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lastRenderedPageBreak/>
              <w:t>项目名称</w:t>
            </w:r>
          </w:p>
        </w:tc>
        <w:tc>
          <w:tcPr>
            <w:tcW w:w="1581" w:type="dxa"/>
            <w:tcBorders>
              <w:top w:val="single" w:sz="8" w:space="0" w:color="auto"/>
              <w:left w:val="nil"/>
              <w:bottom w:val="single" w:sz="8" w:space="0" w:color="auto"/>
              <w:right w:val="single" w:sz="8" w:space="0" w:color="auto"/>
            </w:tcBorders>
            <w:shd w:val="clear" w:color="auto" w:fill="auto"/>
            <w:vAlign w:val="center"/>
          </w:tcPr>
          <w:p w14:paraId="41C5C91A" w14:textId="77777777" w:rsidR="009F05F4"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预算金额（调整后）</w:t>
            </w:r>
          </w:p>
        </w:tc>
        <w:tc>
          <w:tcPr>
            <w:tcW w:w="1497" w:type="dxa"/>
            <w:tcBorders>
              <w:top w:val="single" w:sz="8" w:space="0" w:color="auto"/>
              <w:left w:val="nil"/>
              <w:bottom w:val="single" w:sz="8" w:space="0" w:color="auto"/>
              <w:right w:val="single" w:sz="8" w:space="0" w:color="auto"/>
            </w:tcBorders>
            <w:shd w:val="clear" w:color="auto" w:fill="auto"/>
            <w:vAlign w:val="center"/>
          </w:tcPr>
          <w:p w14:paraId="5BC0D1D8" w14:textId="77777777" w:rsidR="009F05F4"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执行金额</w:t>
            </w:r>
          </w:p>
        </w:tc>
        <w:tc>
          <w:tcPr>
            <w:tcW w:w="1125" w:type="dxa"/>
            <w:tcBorders>
              <w:top w:val="single" w:sz="8" w:space="0" w:color="auto"/>
              <w:left w:val="nil"/>
              <w:bottom w:val="single" w:sz="8" w:space="0" w:color="auto"/>
              <w:right w:val="single" w:sz="8" w:space="0" w:color="auto"/>
            </w:tcBorders>
            <w:shd w:val="clear" w:color="auto" w:fill="auto"/>
            <w:vAlign w:val="center"/>
          </w:tcPr>
          <w:p w14:paraId="0F3F3EC9" w14:textId="77777777" w:rsidR="009F05F4"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执行率</w:t>
            </w:r>
          </w:p>
        </w:tc>
        <w:tc>
          <w:tcPr>
            <w:tcW w:w="1095" w:type="dxa"/>
            <w:tcBorders>
              <w:top w:val="single" w:sz="8" w:space="0" w:color="auto"/>
              <w:left w:val="nil"/>
              <w:bottom w:val="single" w:sz="8" w:space="0" w:color="auto"/>
              <w:right w:val="single" w:sz="8" w:space="0" w:color="auto"/>
            </w:tcBorders>
            <w:shd w:val="clear" w:color="auto" w:fill="auto"/>
            <w:vAlign w:val="center"/>
          </w:tcPr>
          <w:p w14:paraId="08586D67" w14:textId="77777777" w:rsidR="009F05F4"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项目类型</w:t>
            </w:r>
          </w:p>
        </w:tc>
        <w:tc>
          <w:tcPr>
            <w:tcW w:w="1643" w:type="dxa"/>
            <w:tcBorders>
              <w:top w:val="single" w:sz="8" w:space="0" w:color="auto"/>
              <w:left w:val="nil"/>
              <w:bottom w:val="single" w:sz="8" w:space="0" w:color="auto"/>
              <w:right w:val="single" w:sz="8" w:space="0" w:color="auto"/>
            </w:tcBorders>
            <w:shd w:val="clear" w:color="auto" w:fill="auto"/>
            <w:vAlign w:val="center"/>
          </w:tcPr>
          <w:p w14:paraId="4369CDBA" w14:textId="77777777" w:rsidR="009F05F4"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备注（对预算调整情况进行说明）</w:t>
            </w:r>
          </w:p>
        </w:tc>
      </w:tr>
      <w:tr w:rsidR="009F05F4" w14:paraId="3291F994" w14:textId="77777777">
        <w:trPr>
          <w:trHeight w:val="283"/>
          <w:tblHeader/>
        </w:trPr>
        <w:tc>
          <w:tcPr>
            <w:tcW w:w="1581" w:type="dxa"/>
            <w:tcBorders>
              <w:top w:val="nil"/>
              <w:left w:val="single" w:sz="8" w:space="0" w:color="auto"/>
              <w:bottom w:val="single" w:sz="8" w:space="0" w:color="auto"/>
              <w:right w:val="single" w:sz="8" w:space="0" w:color="auto"/>
            </w:tcBorders>
            <w:shd w:val="clear" w:color="auto" w:fill="auto"/>
            <w:vAlign w:val="center"/>
          </w:tcPr>
          <w:p w14:paraId="01E296A8" w14:textId="77777777" w:rsidR="009F05F4" w:rsidRDefault="00000000">
            <w:pPr>
              <w:spacing w:line="560" w:lineRule="exact"/>
              <w:jc w:val="center"/>
              <w:rPr>
                <w:rFonts w:ascii="仿宋_GB2312" w:eastAsia="仿宋_GB2312" w:hAnsi="仿宋" w:cs="宋体" w:hint="eastAsia"/>
                <w:kern w:val="0"/>
                <w:sz w:val="32"/>
                <w:szCs w:val="32"/>
              </w:rPr>
            </w:pPr>
            <w:r>
              <w:rPr>
                <w:rFonts w:ascii="仿宋_GB2312" w:eastAsia="仿宋_GB2312" w:hAnsi="方正楷体简体" w:cs="宋体" w:hint="eastAsia"/>
                <w:sz w:val="32"/>
                <w:szCs w:val="32"/>
              </w:rPr>
              <w:t>访惠聚</w:t>
            </w:r>
            <w:r>
              <w:rPr>
                <w:rFonts w:ascii="仿宋_GB2312" w:eastAsia="仿宋_GB2312" w:hAnsi="仿宋" w:cs="宋体" w:hint="eastAsia"/>
                <w:kern w:val="0"/>
                <w:sz w:val="32"/>
                <w:szCs w:val="32"/>
              </w:rPr>
              <w:t>工作经费</w:t>
            </w:r>
          </w:p>
        </w:tc>
        <w:tc>
          <w:tcPr>
            <w:tcW w:w="1581" w:type="dxa"/>
            <w:tcBorders>
              <w:top w:val="nil"/>
              <w:left w:val="nil"/>
              <w:bottom w:val="single" w:sz="8" w:space="0" w:color="auto"/>
              <w:right w:val="single" w:sz="8" w:space="0" w:color="auto"/>
            </w:tcBorders>
            <w:shd w:val="clear" w:color="auto" w:fill="auto"/>
            <w:vAlign w:val="center"/>
          </w:tcPr>
          <w:p w14:paraId="6CBA5F54" w14:textId="77777777" w:rsidR="009F05F4" w:rsidRDefault="00000000">
            <w:pPr>
              <w:spacing w:line="560" w:lineRule="exact"/>
              <w:jc w:val="center"/>
              <w:rPr>
                <w:rFonts w:ascii="仿宋_GB2312" w:eastAsia="仿宋_GB2312" w:hAnsi="仿宋" w:cs="宋体" w:hint="eastAsia"/>
                <w:kern w:val="0"/>
                <w:sz w:val="32"/>
                <w:szCs w:val="32"/>
              </w:rPr>
            </w:pPr>
            <w:r>
              <w:rPr>
                <w:rFonts w:ascii="仿宋_GB2312" w:eastAsia="仿宋_GB2312" w:hAnsi="仿宋" w:cs="宋体" w:hint="eastAsia"/>
                <w:kern w:val="0"/>
                <w:sz w:val="32"/>
                <w:szCs w:val="32"/>
              </w:rPr>
              <w:t>223万元</w:t>
            </w:r>
          </w:p>
        </w:tc>
        <w:tc>
          <w:tcPr>
            <w:tcW w:w="1497" w:type="dxa"/>
            <w:tcBorders>
              <w:top w:val="nil"/>
              <w:left w:val="nil"/>
              <w:bottom w:val="single" w:sz="8" w:space="0" w:color="auto"/>
              <w:right w:val="single" w:sz="8" w:space="0" w:color="auto"/>
            </w:tcBorders>
            <w:shd w:val="clear" w:color="auto" w:fill="auto"/>
            <w:vAlign w:val="center"/>
          </w:tcPr>
          <w:p w14:paraId="44E8117A" w14:textId="77777777" w:rsidR="009F05F4" w:rsidRDefault="00000000">
            <w:pPr>
              <w:spacing w:line="560" w:lineRule="exact"/>
              <w:jc w:val="center"/>
              <w:rPr>
                <w:rFonts w:ascii="仿宋_GB2312" w:eastAsia="仿宋_GB2312" w:hAnsi="仿宋" w:cs="宋体" w:hint="eastAsia"/>
                <w:kern w:val="0"/>
                <w:sz w:val="32"/>
                <w:szCs w:val="32"/>
              </w:rPr>
            </w:pPr>
            <w:r>
              <w:rPr>
                <w:rFonts w:ascii="仿宋_GB2312" w:eastAsia="仿宋_GB2312" w:hAnsi="仿宋" w:cs="宋体" w:hint="eastAsia"/>
                <w:kern w:val="0"/>
                <w:sz w:val="32"/>
                <w:szCs w:val="32"/>
              </w:rPr>
              <w:t>140.55万元</w:t>
            </w:r>
          </w:p>
        </w:tc>
        <w:tc>
          <w:tcPr>
            <w:tcW w:w="1125" w:type="dxa"/>
            <w:tcBorders>
              <w:top w:val="nil"/>
              <w:left w:val="nil"/>
              <w:bottom w:val="single" w:sz="8" w:space="0" w:color="auto"/>
              <w:right w:val="single" w:sz="8" w:space="0" w:color="auto"/>
            </w:tcBorders>
            <w:shd w:val="clear" w:color="auto" w:fill="auto"/>
            <w:vAlign w:val="center"/>
          </w:tcPr>
          <w:p w14:paraId="15F35EBF" w14:textId="77777777" w:rsidR="009F05F4" w:rsidRDefault="00000000">
            <w:pPr>
              <w:tabs>
                <w:tab w:val="center" w:pos="459"/>
              </w:tabs>
              <w:spacing w:line="560" w:lineRule="exact"/>
              <w:jc w:val="center"/>
              <w:rPr>
                <w:rFonts w:ascii="仿宋_GB2312" w:eastAsia="仿宋_GB2312" w:hAnsi="仿宋" w:cs="宋体" w:hint="eastAsia"/>
                <w:kern w:val="0"/>
                <w:sz w:val="32"/>
                <w:szCs w:val="32"/>
              </w:rPr>
            </w:pPr>
            <w:r>
              <w:rPr>
                <w:rFonts w:ascii="仿宋_GB2312" w:eastAsia="仿宋_GB2312" w:hAnsi="仿宋" w:cs="宋体" w:hint="eastAsia"/>
                <w:kern w:val="0"/>
                <w:sz w:val="32"/>
                <w:szCs w:val="32"/>
              </w:rPr>
              <w:t>63%</w:t>
            </w:r>
          </w:p>
        </w:tc>
        <w:tc>
          <w:tcPr>
            <w:tcW w:w="1095" w:type="dxa"/>
            <w:tcBorders>
              <w:top w:val="nil"/>
              <w:left w:val="nil"/>
              <w:bottom w:val="single" w:sz="8" w:space="0" w:color="auto"/>
              <w:right w:val="single" w:sz="8" w:space="0" w:color="auto"/>
            </w:tcBorders>
            <w:shd w:val="clear" w:color="auto" w:fill="auto"/>
            <w:vAlign w:val="center"/>
          </w:tcPr>
          <w:p w14:paraId="34868EAB" w14:textId="77777777" w:rsidR="009F05F4" w:rsidRDefault="00000000">
            <w:pPr>
              <w:spacing w:line="560" w:lineRule="exact"/>
              <w:jc w:val="center"/>
              <w:rPr>
                <w:rFonts w:ascii="仿宋_GB2312" w:eastAsia="仿宋_GB2312" w:hAnsi="仿宋" w:cs="宋体" w:hint="eastAsia"/>
                <w:kern w:val="0"/>
                <w:sz w:val="32"/>
                <w:szCs w:val="32"/>
              </w:rPr>
            </w:pPr>
            <w:r>
              <w:rPr>
                <w:rFonts w:ascii="仿宋_GB2312" w:eastAsia="仿宋_GB2312" w:hAnsi="仿宋" w:cs="宋体" w:hint="eastAsia"/>
                <w:kern w:val="0"/>
                <w:sz w:val="32"/>
                <w:szCs w:val="32"/>
              </w:rPr>
              <w:t>补助类</w:t>
            </w:r>
          </w:p>
        </w:tc>
        <w:tc>
          <w:tcPr>
            <w:tcW w:w="1643" w:type="dxa"/>
            <w:tcBorders>
              <w:top w:val="nil"/>
              <w:left w:val="nil"/>
              <w:bottom w:val="single" w:sz="8" w:space="0" w:color="auto"/>
              <w:right w:val="single" w:sz="8" w:space="0" w:color="auto"/>
            </w:tcBorders>
            <w:shd w:val="clear" w:color="auto" w:fill="auto"/>
            <w:vAlign w:val="center"/>
          </w:tcPr>
          <w:p w14:paraId="291C0253" w14:textId="77777777" w:rsidR="009F05F4" w:rsidRDefault="009F05F4">
            <w:pPr>
              <w:spacing w:line="560" w:lineRule="exact"/>
              <w:ind w:firstLine="200"/>
              <w:jc w:val="center"/>
              <w:rPr>
                <w:rFonts w:ascii="仿宋_GB2312" w:eastAsia="仿宋_GB2312" w:hAnsi="仿宋" w:cs="宋体" w:hint="eastAsia"/>
                <w:kern w:val="0"/>
                <w:sz w:val="32"/>
                <w:szCs w:val="32"/>
              </w:rPr>
            </w:pPr>
          </w:p>
        </w:tc>
      </w:tr>
      <w:tr w:rsidR="009F05F4" w14:paraId="7AA2FEED" w14:textId="77777777">
        <w:trPr>
          <w:trHeight w:val="283"/>
          <w:tblHeader/>
        </w:trPr>
        <w:tc>
          <w:tcPr>
            <w:tcW w:w="1581" w:type="dxa"/>
            <w:tcBorders>
              <w:top w:val="nil"/>
              <w:left w:val="single" w:sz="8" w:space="0" w:color="auto"/>
              <w:bottom w:val="single" w:sz="8" w:space="0" w:color="auto"/>
              <w:right w:val="single" w:sz="8" w:space="0" w:color="auto"/>
            </w:tcBorders>
            <w:shd w:val="clear" w:color="auto" w:fill="auto"/>
            <w:vAlign w:val="center"/>
          </w:tcPr>
          <w:p w14:paraId="25206AEC" w14:textId="77777777" w:rsidR="009F05F4" w:rsidRDefault="00000000">
            <w:pPr>
              <w:spacing w:line="560" w:lineRule="exact"/>
              <w:ind w:firstLine="200"/>
              <w:rPr>
                <w:rFonts w:ascii="仿宋_GB2312" w:eastAsia="仿宋_GB2312" w:hAnsi="仿宋" w:cs="宋体" w:hint="eastAsia"/>
                <w:b/>
                <w:bCs/>
                <w:kern w:val="0"/>
                <w:sz w:val="32"/>
                <w:szCs w:val="32"/>
              </w:rPr>
            </w:pPr>
            <w:r>
              <w:rPr>
                <w:rFonts w:ascii="仿宋_GB2312" w:eastAsia="仿宋_GB2312" w:hAnsi="仿宋" w:cs="宋体" w:hint="eastAsia"/>
                <w:kern w:val="0"/>
                <w:sz w:val="32"/>
                <w:szCs w:val="32"/>
              </w:rPr>
              <w:t>合计</w:t>
            </w:r>
          </w:p>
        </w:tc>
        <w:tc>
          <w:tcPr>
            <w:tcW w:w="1581" w:type="dxa"/>
            <w:tcBorders>
              <w:top w:val="nil"/>
              <w:left w:val="nil"/>
              <w:bottom w:val="single" w:sz="8" w:space="0" w:color="auto"/>
              <w:right w:val="single" w:sz="8" w:space="0" w:color="auto"/>
            </w:tcBorders>
            <w:shd w:val="clear" w:color="auto" w:fill="auto"/>
            <w:vAlign w:val="center"/>
          </w:tcPr>
          <w:p w14:paraId="67B2B680" w14:textId="77777777" w:rsidR="009F05F4" w:rsidRDefault="00000000">
            <w:pPr>
              <w:spacing w:line="560" w:lineRule="exact"/>
              <w:jc w:val="center"/>
              <w:rPr>
                <w:rFonts w:ascii="仿宋_GB2312" w:eastAsia="仿宋_GB2312" w:hAnsi="仿宋" w:cs="宋体" w:hint="eastAsia"/>
                <w:kern w:val="0"/>
                <w:sz w:val="32"/>
                <w:szCs w:val="32"/>
              </w:rPr>
            </w:pPr>
            <w:r>
              <w:rPr>
                <w:rFonts w:ascii="仿宋_GB2312" w:eastAsia="仿宋_GB2312" w:hAnsi="仿宋" w:cs="宋体" w:hint="eastAsia"/>
                <w:kern w:val="0"/>
                <w:sz w:val="32"/>
                <w:szCs w:val="32"/>
              </w:rPr>
              <w:t>223万元</w:t>
            </w:r>
          </w:p>
        </w:tc>
        <w:tc>
          <w:tcPr>
            <w:tcW w:w="1497" w:type="dxa"/>
            <w:tcBorders>
              <w:top w:val="nil"/>
              <w:left w:val="nil"/>
              <w:bottom w:val="single" w:sz="8" w:space="0" w:color="auto"/>
              <w:right w:val="single" w:sz="8" w:space="0" w:color="auto"/>
            </w:tcBorders>
            <w:shd w:val="clear" w:color="auto" w:fill="auto"/>
            <w:vAlign w:val="center"/>
          </w:tcPr>
          <w:p w14:paraId="4E103360" w14:textId="77777777" w:rsidR="009F05F4" w:rsidRDefault="00000000">
            <w:pPr>
              <w:spacing w:line="560" w:lineRule="exact"/>
              <w:jc w:val="center"/>
              <w:rPr>
                <w:rFonts w:ascii="仿宋_GB2312" w:eastAsia="仿宋_GB2312" w:hAnsi="仿宋" w:cs="宋体" w:hint="eastAsia"/>
                <w:kern w:val="0"/>
                <w:sz w:val="32"/>
                <w:szCs w:val="32"/>
              </w:rPr>
            </w:pPr>
            <w:r>
              <w:rPr>
                <w:rFonts w:ascii="仿宋_GB2312" w:eastAsia="仿宋_GB2312" w:hAnsi="仿宋" w:cs="宋体" w:hint="eastAsia"/>
                <w:kern w:val="0"/>
                <w:sz w:val="32"/>
                <w:szCs w:val="32"/>
              </w:rPr>
              <w:t>140.55万元</w:t>
            </w:r>
          </w:p>
        </w:tc>
        <w:tc>
          <w:tcPr>
            <w:tcW w:w="1125" w:type="dxa"/>
            <w:tcBorders>
              <w:top w:val="nil"/>
              <w:left w:val="nil"/>
              <w:bottom w:val="single" w:sz="8" w:space="0" w:color="auto"/>
              <w:right w:val="single" w:sz="8" w:space="0" w:color="auto"/>
            </w:tcBorders>
            <w:shd w:val="clear" w:color="auto" w:fill="auto"/>
            <w:vAlign w:val="center"/>
          </w:tcPr>
          <w:p w14:paraId="5E8FD2C6" w14:textId="77777777" w:rsidR="009F05F4" w:rsidRDefault="009F05F4">
            <w:pPr>
              <w:tabs>
                <w:tab w:val="center" w:pos="459"/>
              </w:tabs>
              <w:spacing w:line="560" w:lineRule="exact"/>
              <w:jc w:val="center"/>
              <w:rPr>
                <w:rFonts w:ascii="仿宋_GB2312" w:eastAsia="仿宋_GB2312" w:hAnsi="仿宋" w:cs="宋体" w:hint="eastAsia"/>
                <w:kern w:val="0"/>
                <w:sz w:val="32"/>
                <w:szCs w:val="32"/>
              </w:rPr>
            </w:pPr>
          </w:p>
        </w:tc>
        <w:tc>
          <w:tcPr>
            <w:tcW w:w="1095" w:type="dxa"/>
            <w:tcBorders>
              <w:top w:val="nil"/>
              <w:left w:val="nil"/>
              <w:bottom w:val="single" w:sz="8" w:space="0" w:color="auto"/>
              <w:right w:val="single" w:sz="8" w:space="0" w:color="auto"/>
            </w:tcBorders>
            <w:shd w:val="clear" w:color="auto" w:fill="auto"/>
            <w:vAlign w:val="center"/>
          </w:tcPr>
          <w:p w14:paraId="4E95DB28" w14:textId="77777777" w:rsidR="009F05F4" w:rsidRDefault="00000000">
            <w:pPr>
              <w:spacing w:line="560" w:lineRule="exact"/>
              <w:ind w:firstLine="200"/>
              <w:rPr>
                <w:rFonts w:ascii="仿宋_GB2312" w:eastAsia="仿宋_GB2312" w:hAnsi="仿宋" w:cs="宋体" w:hint="eastAsia"/>
                <w:kern w:val="0"/>
                <w:sz w:val="32"/>
                <w:szCs w:val="32"/>
              </w:rPr>
            </w:pPr>
            <w:r>
              <w:rPr>
                <w:rFonts w:ascii="仿宋_GB2312" w:eastAsia="仿宋_GB2312" w:hAnsi="仿宋" w:cs="宋体" w:hint="eastAsia"/>
                <w:kern w:val="0"/>
                <w:sz w:val="32"/>
                <w:szCs w:val="32"/>
              </w:rPr>
              <w:t xml:space="preserve">　</w:t>
            </w:r>
          </w:p>
        </w:tc>
        <w:tc>
          <w:tcPr>
            <w:tcW w:w="1643" w:type="dxa"/>
            <w:tcBorders>
              <w:top w:val="nil"/>
              <w:left w:val="nil"/>
              <w:bottom w:val="single" w:sz="8" w:space="0" w:color="auto"/>
              <w:right w:val="single" w:sz="8" w:space="0" w:color="auto"/>
            </w:tcBorders>
            <w:shd w:val="clear" w:color="auto" w:fill="auto"/>
            <w:vAlign w:val="center"/>
          </w:tcPr>
          <w:p w14:paraId="66057694" w14:textId="77777777" w:rsidR="009F05F4" w:rsidRDefault="00000000">
            <w:pPr>
              <w:spacing w:line="560" w:lineRule="exact"/>
              <w:ind w:firstLine="200"/>
              <w:rPr>
                <w:rFonts w:ascii="仿宋_GB2312" w:eastAsia="仿宋_GB2312" w:hAnsi="仿宋" w:cs="宋体" w:hint="eastAsia"/>
                <w:kern w:val="0"/>
                <w:sz w:val="32"/>
                <w:szCs w:val="32"/>
              </w:rPr>
            </w:pPr>
            <w:r>
              <w:rPr>
                <w:rFonts w:ascii="仿宋_GB2312" w:eastAsia="仿宋_GB2312" w:hAnsi="仿宋" w:cs="宋体" w:hint="eastAsia"/>
                <w:kern w:val="0"/>
                <w:sz w:val="32"/>
                <w:szCs w:val="32"/>
              </w:rPr>
              <w:t xml:space="preserve">　</w:t>
            </w:r>
          </w:p>
        </w:tc>
      </w:tr>
    </w:tbl>
    <w:p w14:paraId="5A1AD144" w14:textId="77777777" w:rsidR="009F05F4" w:rsidRDefault="00000000">
      <w:pPr>
        <w:spacing w:line="560" w:lineRule="exact"/>
        <w:ind w:firstLine="200"/>
        <w:rPr>
          <w:rFonts w:ascii="仿宋_GB2312" w:eastAsia="仿宋_GB2312"/>
          <w:sz w:val="32"/>
          <w:szCs w:val="32"/>
        </w:rPr>
      </w:pPr>
      <w:r>
        <w:rPr>
          <w:rFonts w:ascii="仿宋_GB2312" w:eastAsia="仿宋_GB2312" w:hint="eastAsia"/>
          <w:sz w:val="32"/>
          <w:szCs w:val="32"/>
        </w:rPr>
        <w:tab/>
      </w:r>
      <w:r>
        <w:rPr>
          <w:rFonts w:ascii="仿宋_GB2312" w:eastAsia="仿宋_GB2312" w:hint="eastAsia"/>
          <w:sz w:val="32"/>
          <w:szCs w:val="32"/>
        </w:rPr>
        <w:tab/>
      </w:r>
      <w:r>
        <w:rPr>
          <w:rFonts w:ascii="仿宋_GB2312" w:eastAsia="仿宋_GB2312" w:hint="eastAsia"/>
          <w:sz w:val="32"/>
          <w:szCs w:val="32"/>
        </w:rPr>
        <w:tab/>
        <w:t xml:space="preserve">　执行数与预算数存在差异的原因：因社区票据不全报帐不及时，导致部分资金未能及时支付。</w:t>
      </w:r>
    </w:p>
    <w:p w14:paraId="51DB119E" w14:textId="77777777" w:rsidR="009F05F4" w:rsidRDefault="00000000">
      <w:pPr>
        <w:pStyle w:val="ad"/>
        <w:spacing w:line="560" w:lineRule="exact"/>
        <w:ind w:firstLine="624"/>
        <w:rPr>
          <w:rFonts w:ascii="仿宋" w:eastAsia="仿宋" w:hAnsi="仿宋" w:cs="Times New Roman" w:hint="eastAsia"/>
          <w:bCs/>
          <w:sz w:val="32"/>
          <w:szCs w:val="32"/>
        </w:rPr>
      </w:pPr>
      <w:r>
        <w:rPr>
          <w:rStyle w:val="ab"/>
          <w:rFonts w:ascii="黑体" w:eastAsia="黑体" w:hAnsi="黑体" w:cs="Times New Roman" w:hint="eastAsia"/>
          <w:b w:val="0"/>
          <w:spacing w:val="-4"/>
          <w:sz w:val="32"/>
          <w:szCs w:val="32"/>
        </w:rPr>
        <w:t>三、单位专项组织实施情况</w:t>
      </w:r>
    </w:p>
    <w:p w14:paraId="5C3FB429" w14:textId="77777777" w:rsidR="009F05F4" w:rsidRDefault="00000000">
      <w:pPr>
        <w:spacing w:line="560" w:lineRule="exact"/>
        <w:ind w:firstLineChars="200"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（一）专项组织情况分析</w:t>
      </w:r>
      <w:r>
        <w:rPr>
          <w:rStyle w:val="ab"/>
          <w:rFonts w:ascii="楷体" w:eastAsia="楷体" w:hAnsi="楷体" w:cs="Times New Roman" w:hint="eastAsia"/>
          <w:b w:val="0"/>
          <w:bCs w:val="0"/>
          <w:spacing w:val="-4"/>
          <w:sz w:val="32"/>
          <w:szCs w:val="32"/>
        </w:rPr>
        <w:tab/>
      </w:r>
    </w:p>
    <w:p w14:paraId="12EF79F7" w14:textId="77777777" w:rsidR="009F05F4" w:rsidRDefault="00000000">
      <w:pPr>
        <w:spacing w:line="560" w:lineRule="exact"/>
        <w:ind w:firstLineChars="200" w:firstLine="627"/>
        <w:rPr>
          <w:rStyle w:val="ab"/>
          <w:rFonts w:ascii="仿宋_GB2312" w:eastAsia="仿宋_GB2312" w:hAnsi="黑体" w:cs="Times New Roman" w:hint="eastAsia"/>
          <w:bCs w:val="0"/>
          <w:spacing w:val="-4"/>
          <w:sz w:val="32"/>
          <w:szCs w:val="32"/>
        </w:rPr>
      </w:pPr>
      <w:r>
        <w:rPr>
          <w:rStyle w:val="ab"/>
          <w:rFonts w:ascii="仿宋_GB2312" w:eastAsia="仿宋_GB2312" w:hAnsi="黑体" w:cs="Times New Roman" w:hint="eastAsia"/>
          <w:bCs w:val="0"/>
          <w:spacing w:val="-4"/>
          <w:sz w:val="32"/>
          <w:szCs w:val="32"/>
        </w:rPr>
        <w:t>1．前期准备</w:t>
      </w:r>
    </w:p>
    <w:p w14:paraId="0826AFE2" w14:textId="77777777" w:rsidR="009F05F4" w:rsidRDefault="00000000">
      <w:pPr>
        <w:spacing w:line="560" w:lineRule="exact"/>
        <w:ind w:firstLineChars="200" w:firstLine="624"/>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我单位作为项目承担单位，组织实施单位开展项目前期准备工作，根据项目特点和内容组织项目小组，制定详细的项目计划和实施方案，并提请单位党组会议研究，待党组会议研究通过后项目实施单位方可实施。</w:t>
      </w:r>
    </w:p>
    <w:p w14:paraId="4F361897" w14:textId="77777777" w:rsidR="009F05F4" w:rsidRDefault="00000000">
      <w:pPr>
        <w:spacing w:line="560" w:lineRule="exact"/>
        <w:ind w:firstLineChars="200" w:firstLine="627"/>
        <w:rPr>
          <w:rStyle w:val="ab"/>
          <w:rFonts w:ascii="仿宋_GB2312" w:eastAsia="仿宋_GB2312" w:hAnsi="黑体" w:cs="Times New Roman" w:hint="eastAsia"/>
          <w:bCs w:val="0"/>
          <w:spacing w:val="-4"/>
          <w:sz w:val="32"/>
          <w:szCs w:val="32"/>
        </w:rPr>
      </w:pPr>
      <w:r>
        <w:rPr>
          <w:rStyle w:val="ab"/>
          <w:rFonts w:ascii="仿宋_GB2312" w:eastAsia="仿宋_GB2312" w:hAnsi="黑体" w:cs="Times New Roman" w:hint="eastAsia"/>
          <w:bCs w:val="0"/>
          <w:spacing w:val="-4"/>
          <w:sz w:val="32"/>
          <w:szCs w:val="32"/>
        </w:rPr>
        <w:t>2．组织实施</w:t>
      </w:r>
    </w:p>
    <w:p w14:paraId="695A2821" w14:textId="77777777" w:rsidR="009F05F4" w:rsidRDefault="00000000">
      <w:pPr>
        <w:spacing w:line="560" w:lineRule="exact"/>
        <w:ind w:firstLineChars="200" w:firstLine="624"/>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项目需根据前期制定的计划和实施方案进行实施。实施过程中，专项资金项目实施单位负责项目的实施、实施过程中的协调、重大事项的审批工作负责以及项目完成目标的验收工作。</w:t>
      </w:r>
    </w:p>
    <w:p w14:paraId="42C25A92" w14:textId="77777777" w:rsidR="009F05F4" w:rsidRDefault="00000000">
      <w:pPr>
        <w:pStyle w:val="ad"/>
        <w:numPr>
          <w:ilvl w:val="0"/>
          <w:numId w:val="1"/>
        </w:numPr>
        <w:spacing w:line="560" w:lineRule="exact"/>
        <w:ind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专项管理情况分析</w:t>
      </w:r>
    </w:p>
    <w:p w14:paraId="3519720D" w14:textId="77777777" w:rsidR="009F05F4" w:rsidRDefault="00000000">
      <w:pPr>
        <w:spacing w:line="560" w:lineRule="exact"/>
        <w:ind w:firstLineChars="200" w:firstLine="627"/>
        <w:rPr>
          <w:rStyle w:val="ab"/>
          <w:rFonts w:ascii="仿宋_GB2312" w:eastAsia="仿宋_GB2312" w:hAnsi="黑体" w:cs="Times New Roman" w:hint="eastAsia"/>
          <w:bCs w:val="0"/>
          <w:spacing w:val="-4"/>
          <w:sz w:val="32"/>
          <w:szCs w:val="32"/>
        </w:rPr>
      </w:pPr>
      <w:r>
        <w:rPr>
          <w:rStyle w:val="ab"/>
          <w:rFonts w:ascii="仿宋_GB2312" w:eastAsia="仿宋_GB2312" w:hAnsi="黑体" w:cs="Times New Roman" w:hint="eastAsia"/>
          <w:bCs w:val="0"/>
          <w:spacing w:val="-4"/>
          <w:sz w:val="32"/>
          <w:szCs w:val="32"/>
        </w:rPr>
        <w:t>1．项目资金情况分析</w:t>
      </w:r>
    </w:p>
    <w:p w14:paraId="2C391C7D" w14:textId="77777777" w:rsidR="009F05F4" w:rsidRDefault="00000000">
      <w:pPr>
        <w:spacing w:line="560" w:lineRule="exact"/>
        <w:ind w:firstLineChars="200" w:firstLine="624"/>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本单位2021年共有项目5个，项目总预算477.26万元，</w:t>
      </w:r>
      <w:r>
        <w:rPr>
          <w:rStyle w:val="ab"/>
          <w:rFonts w:ascii="仿宋_GB2312" w:eastAsia="仿宋_GB2312" w:hAnsi="黑体" w:cs="Times New Roman" w:hint="eastAsia"/>
          <w:b w:val="0"/>
          <w:spacing w:val="-4"/>
          <w:sz w:val="32"/>
          <w:szCs w:val="32"/>
        </w:rPr>
        <w:lastRenderedPageBreak/>
        <w:t>资金到位477.26资金执行数378.69万元，执行率79.35%；资金严格按照《财务管理制度》、《专项资金使用管理制度》、《内部控制管理制度》实行专款专用，在本年度审计和财政监督检查过程中未发现资金违规使用情况。</w:t>
      </w:r>
    </w:p>
    <w:p w14:paraId="2606B0FE" w14:textId="77777777" w:rsidR="009F05F4" w:rsidRDefault="00000000">
      <w:pPr>
        <w:spacing w:line="560" w:lineRule="exact"/>
        <w:ind w:firstLineChars="200" w:firstLine="627"/>
        <w:rPr>
          <w:rStyle w:val="ab"/>
          <w:rFonts w:ascii="仿宋_GB2312" w:eastAsia="仿宋_GB2312" w:hAnsi="黑体" w:cs="Times New Roman" w:hint="eastAsia"/>
          <w:bCs w:val="0"/>
          <w:spacing w:val="-4"/>
          <w:sz w:val="32"/>
          <w:szCs w:val="32"/>
        </w:rPr>
      </w:pPr>
      <w:r>
        <w:rPr>
          <w:rStyle w:val="ab"/>
          <w:rFonts w:ascii="仿宋_GB2312" w:eastAsia="仿宋_GB2312" w:hAnsi="黑体" w:cs="Times New Roman" w:hint="eastAsia"/>
          <w:bCs w:val="0"/>
          <w:spacing w:val="-4"/>
          <w:sz w:val="32"/>
          <w:szCs w:val="32"/>
        </w:rPr>
        <w:t>2．项目实施情况分析</w:t>
      </w:r>
    </w:p>
    <w:p w14:paraId="69C0C1FC"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（1）项目组织情况</w:t>
      </w:r>
    </w:p>
    <w:p w14:paraId="22DEC5DA" w14:textId="77777777" w:rsidR="009F05F4" w:rsidRDefault="00000000">
      <w:pPr>
        <w:spacing w:line="560" w:lineRule="exact"/>
        <w:ind w:firstLineChars="200" w:firstLine="624"/>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单位的监督下，按监控节点对项目执行情况进行监控，项目完成后，对项目进行绩效评价。</w:t>
      </w:r>
    </w:p>
    <w:p w14:paraId="575905D9"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（2）项目管理情况</w:t>
      </w:r>
    </w:p>
    <w:p w14:paraId="0D4244E1" w14:textId="77777777" w:rsidR="009F05F4" w:rsidRDefault="00000000">
      <w:pPr>
        <w:spacing w:line="560" w:lineRule="exact"/>
        <w:ind w:firstLineChars="200" w:firstLine="624"/>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按照项目工作内容、工作措施、工作时限和要达到的预期效果，进一步分解细化，将责任落实到岗位，形成完整的绩效管理工作方案和指标考核评价体系，使单位专项工作任务与绩效评价指标紧密结合起来，推动各项工作落实。</w:t>
      </w:r>
    </w:p>
    <w:p w14:paraId="4259268F" w14:textId="77777777" w:rsidR="009F05F4" w:rsidRDefault="00000000">
      <w:pPr>
        <w:spacing w:line="560" w:lineRule="exact"/>
        <w:ind w:firstLineChars="200" w:firstLine="624"/>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项目负责人根据各业务实际情况，向单位党组提出项目实施申请及具体开展计划措施。经会议研究通过后，根据计划开展工作。</w:t>
      </w:r>
    </w:p>
    <w:p w14:paraId="712905FA"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（3）项目监管情况</w:t>
      </w:r>
    </w:p>
    <w:p w14:paraId="4DD73358" w14:textId="77777777" w:rsidR="009F05F4" w:rsidRDefault="00000000">
      <w:pPr>
        <w:spacing w:line="560" w:lineRule="exact"/>
        <w:ind w:firstLineChars="200" w:firstLine="624"/>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项目经办人、负责人定期对项目执行及资金的使用情况进</w:t>
      </w:r>
      <w:r>
        <w:rPr>
          <w:rStyle w:val="ab"/>
          <w:rFonts w:ascii="仿宋_GB2312" w:eastAsia="仿宋_GB2312" w:hAnsi="黑体" w:cs="Times New Roman" w:hint="eastAsia"/>
          <w:b w:val="0"/>
          <w:spacing w:val="-4"/>
          <w:sz w:val="32"/>
          <w:szCs w:val="32"/>
        </w:rPr>
        <w:lastRenderedPageBreak/>
        <w:t>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全。</w:t>
      </w:r>
    </w:p>
    <w:p w14:paraId="53D9839F" w14:textId="77777777" w:rsidR="009F05F4" w:rsidRDefault="00000000">
      <w:pPr>
        <w:spacing w:line="560" w:lineRule="exact"/>
        <w:ind w:firstLineChars="200" w:firstLine="627"/>
        <w:rPr>
          <w:rStyle w:val="ab"/>
          <w:rFonts w:ascii="仿宋_GB2312" w:eastAsia="仿宋_GB2312" w:hAnsi="黑体" w:cs="Times New Roman" w:hint="eastAsia"/>
          <w:bCs w:val="0"/>
          <w:spacing w:val="-4"/>
          <w:sz w:val="32"/>
          <w:szCs w:val="32"/>
        </w:rPr>
      </w:pPr>
      <w:r>
        <w:rPr>
          <w:rStyle w:val="ab"/>
          <w:rFonts w:ascii="仿宋_GB2312" w:eastAsia="仿宋_GB2312" w:hAnsi="黑体" w:cs="Times New Roman" w:hint="eastAsia"/>
          <w:bCs w:val="0"/>
          <w:spacing w:val="-4"/>
          <w:sz w:val="32"/>
          <w:szCs w:val="32"/>
        </w:rPr>
        <w:t>3．项目绩效情况分析</w:t>
      </w:r>
    </w:p>
    <w:p w14:paraId="5A9B3DA2"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（1）项目成本控制及节约情况</w:t>
      </w:r>
    </w:p>
    <w:p w14:paraId="109845A6" w14:textId="77777777" w:rsidR="009F05F4" w:rsidRDefault="00000000">
      <w:pPr>
        <w:spacing w:line="560" w:lineRule="exact"/>
        <w:ind w:firstLineChars="200" w:firstLine="624"/>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14:paraId="3CB4A3F5" w14:textId="77777777" w:rsidR="009F05F4" w:rsidRDefault="00000000">
      <w:pPr>
        <w:spacing w:line="560" w:lineRule="exact"/>
        <w:ind w:firstLine="200"/>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成本节约：我单位5个项目成本均未超预算，预算执行率达79.35%。</w:t>
      </w:r>
      <w:r>
        <w:rPr>
          <w:rFonts w:ascii="仿宋_GB2312" w:eastAsia="仿宋_GB2312" w:hint="eastAsia"/>
          <w:sz w:val="32"/>
          <w:szCs w:val="32"/>
        </w:rPr>
        <w:t>因社区票据不全报帐不及时，导致部分资金未能及时支付。</w:t>
      </w:r>
    </w:p>
    <w:p w14:paraId="7902BFBF"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（2）项目效率性分析</w:t>
      </w:r>
    </w:p>
    <w:p w14:paraId="7983091B" w14:textId="77777777" w:rsidR="009F05F4" w:rsidRDefault="00000000">
      <w:pPr>
        <w:spacing w:line="560" w:lineRule="exact"/>
        <w:ind w:firstLine="200"/>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实施进度：我单位共有5个项目，1个项目均在项目计划期间完成，项目按期完成及时率20%。4个项目未完成，</w:t>
      </w:r>
      <w:r>
        <w:rPr>
          <w:rFonts w:ascii="仿宋_GB2312" w:eastAsia="仿宋_GB2312" w:hint="eastAsia"/>
          <w:sz w:val="32"/>
          <w:szCs w:val="32"/>
        </w:rPr>
        <w:t>因社区票据不全报帐不及时，导致部分资金未能及时支付。因质保金未支付。</w:t>
      </w:r>
    </w:p>
    <w:p w14:paraId="3301416D" w14:textId="77777777" w:rsidR="009F05F4" w:rsidRDefault="00000000">
      <w:pPr>
        <w:spacing w:line="560" w:lineRule="exact"/>
        <w:ind w:firstLineChars="200" w:firstLine="624"/>
        <w:rPr>
          <w:rStyle w:val="ab"/>
          <w:rFonts w:ascii="仿宋_GB2312" w:eastAsia="仿宋_GB2312" w:hAnsi="黑体" w:cs="Times New Roman" w:hint="eastAsia"/>
          <w:b w:val="0"/>
          <w:spacing w:val="-4"/>
          <w:sz w:val="32"/>
          <w:szCs w:val="32"/>
        </w:rPr>
      </w:pPr>
      <w:r>
        <w:rPr>
          <w:rStyle w:val="ab"/>
          <w:rFonts w:ascii="仿宋_GB2312" w:eastAsia="仿宋_GB2312" w:hAnsi="黑体" w:cs="Times New Roman" w:hint="eastAsia"/>
          <w:b w:val="0"/>
          <w:spacing w:val="-4"/>
          <w:sz w:val="32"/>
          <w:szCs w:val="32"/>
        </w:rPr>
        <w:t>完成质量：我单位共有5个项目，5个项目均验收完成，验收合格率100%。</w:t>
      </w:r>
    </w:p>
    <w:p w14:paraId="5237CCBC"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（3）项目效益性分析</w:t>
      </w:r>
    </w:p>
    <w:p w14:paraId="41B635D8" w14:textId="5AB81F0C" w:rsidR="009F05F4" w:rsidRDefault="00000000">
      <w:pPr>
        <w:spacing w:line="560" w:lineRule="exact"/>
        <w:ind w:firstLineChars="200" w:firstLine="640"/>
        <w:rPr>
          <w:rFonts w:ascii="仿宋_GB2312" w:eastAsia="仿宋_GB2312"/>
          <w:sz w:val="32"/>
          <w:szCs w:val="32"/>
        </w:rPr>
      </w:pPr>
      <w:r>
        <w:rPr>
          <w:rFonts w:ascii="仿宋_GB2312" w:eastAsia="仿宋_GB2312" w:hAnsi="方正楷体简体" w:cs="宋体" w:hint="eastAsia"/>
          <w:sz w:val="32"/>
          <w:szCs w:val="32"/>
        </w:rPr>
        <w:t>2021年度本单位实</w:t>
      </w:r>
      <w:r>
        <w:rPr>
          <w:rStyle w:val="ab"/>
          <w:rFonts w:ascii="仿宋_GB2312" w:eastAsia="仿宋_GB2312" w:hAnsi="黑体" w:cs="Times New Roman" w:hint="eastAsia"/>
          <w:b w:val="0"/>
          <w:spacing w:val="-4"/>
          <w:sz w:val="32"/>
          <w:szCs w:val="32"/>
        </w:rPr>
        <w:t>施5个项目，</w:t>
      </w:r>
      <w:r>
        <w:rPr>
          <w:rFonts w:ascii="仿宋_GB2312" w:eastAsia="仿宋_GB2312" w:hint="eastAsia"/>
          <w:sz w:val="32"/>
          <w:szCs w:val="32"/>
        </w:rPr>
        <w:t>有效维护辖区安全和稳</w:t>
      </w:r>
      <w:r>
        <w:rPr>
          <w:rFonts w:ascii="仿宋_GB2312" w:eastAsia="仿宋_GB2312" w:hint="eastAsia"/>
          <w:sz w:val="32"/>
          <w:szCs w:val="32"/>
        </w:rPr>
        <w:lastRenderedPageBreak/>
        <w:t>定，提高了干部职工伙食，宣传禁毒知识，为居民创造和谐安全的人居环境，为干部提供良好的后勤保障，增强社区与居民群众示威凝聚力和战斗力，有效提高了干部工作质量，项目实施旨在推进社区工作规范化建设，完善基层群众自治制度，健全基层管理和服务机制，进一步密切党群、干群关系，增强党和政府的凝聚力，加强社区服务、社区环境、公共设施管理等建设，</w:t>
      </w:r>
      <w:r w:rsidR="00836448">
        <w:rPr>
          <w:rFonts w:ascii="仿宋_GB2312" w:eastAsia="仿宋_GB2312" w:hint="eastAsia"/>
          <w:sz w:val="32"/>
          <w:szCs w:val="32"/>
        </w:rPr>
        <w:t>更好地为</w:t>
      </w:r>
      <w:r>
        <w:rPr>
          <w:rFonts w:ascii="仿宋_GB2312" w:eastAsia="仿宋_GB2312" w:hint="eastAsia"/>
          <w:sz w:val="32"/>
          <w:szCs w:val="32"/>
        </w:rPr>
        <w:t>居民群众服务，提高社区工作水平，保障社区各项工作有效运行，有效提高社区及社区工作人员满意度；进</w:t>
      </w:r>
      <w:r>
        <w:rPr>
          <w:rFonts w:ascii="仿宋_GB2312" w:eastAsia="仿宋_GB2312" w:hAnsi="方正黑体简体" w:cs="Times New Roman" w:hint="eastAsia"/>
          <w:sz w:val="32"/>
          <w:szCs w:val="32"/>
        </w:rPr>
        <w:t>一步完善街道执纪审查室基础建设设施和服务功能，营造良</w:t>
      </w:r>
      <w:r>
        <w:rPr>
          <w:rFonts w:ascii="仿宋_GB2312" w:eastAsia="仿宋_GB2312" w:hint="eastAsia"/>
          <w:sz w:val="32"/>
          <w:szCs w:val="32"/>
        </w:rPr>
        <w:t>好的工作环境。健全基层管理和服务机制，有效的整合基层监督力量，切实提升执纪审查调查工作能力水平；解决人民群众基本生活需求及简单防疫物资供给，加强心理疏导和心理干预；解决社区干部职工维持日常工作的</w:t>
      </w:r>
      <w:r w:rsidR="00836448">
        <w:rPr>
          <w:rFonts w:ascii="仿宋_GB2312" w:eastAsia="仿宋_GB2312" w:hint="eastAsia"/>
          <w:sz w:val="32"/>
          <w:szCs w:val="32"/>
        </w:rPr>
        <w:t>人身安全</w:t>
      </w:r>
      <w:r>
        <w:rPr>
          <w:rFonts w:ascii="仿宋_GB2312" w:eastAsia="仿宋_GB2312" w:hint="eastAsia"/>
          <w:sz w:val="32"/>
          <w:szCs w:val="32"/>
        </w:rPr>
        <w:t>，大力控制疫情蔓延，尽全力保证辖区内无冠状病毒感染者。</w:t>
      </w:r>
    </w:p>
    <w:p w14:paraId="063C6861" w14:textId="77777777" w:rsidR="009F05F4" w:rsidRDefault="00000000">
      <w:pPr>
        <w:pStyle w:val="ad"/>
        <w:spacing w:line="560" w:lineRule="exact"/>
        <w:ind w:firstLine="624"/>
        <w:rPr>
          <w:rStyle w:val="ab"/>
          <w:rFonts w:ascii="黑体" w:eastAsia="黑体" w:hAnsi="黑体" w:cs="Times New Roman" w:hint="eastAsia"/>
          <w:b w:val="0"/>
          <w:spacing w:val="-4"/>
          <w:sz w:val="32"/>
          <w:szCs w:val="32"/>
        </w:rPr>
      </w:pPr>
      <w:r>
        <w:rPr>
          <w:rStyle w:val="ab"/>
          <w:rFonts w:ascii="黑体" w:eastAsia="黑体" w:hAnsi="黑体" w:cs="Times New Roman" w:hint="eastAsia"/>
          <w:b w:val="0"/>
          <w:spacing w:val="-4"/>
          <w:sz w:val="32"/>
          <w:szCs w:val="32"/>
        </w:rPr>
        <w:t>四、资产管理情况</w:t>
      </w:r>
    </w:p>
    <w:p w14:paraId="567CFA99" w14:textId="77777777" w:rsidR="009F05F4" w:rsidRDefault="00000000">
      <w:pPr>
        <w:spacing w:line="560" w:lineRule="exact"/>
        <w:ind w:firstLineChars="200"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（一）资产管理体制和制度建设方面</w:t>
      </w:r>
    </w:p>
    <w:p w14:paraId="13A6A39D"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w:t>
      </w:r>
      <w:r>
        <w:rPr>
          <w:rFonts w:ascii="仿宋_GB2312" w:eastAsia="仿宋_GB2312" w:hAnsi="方正楷体简体" w:cs="宋体" w:hint="eastAsia"/>
          <w:sz w:val="32"/>
          <w:szCs w:val="32"/>
        </w:rPr>
        <w:lastRenderedPageBreak/>
        <w:t>室确定专人负责资产的日常管理工作，包括资产的登记、统计、维护、保管等，并对所管资产的安全完整负有职责。资产管理人员应相对稳定，工作调动时务必办理交接手续。</w:t>
      </w:r>
    </w:p>
    <w:p w14:paraId="7ADF8451" w14:textId="77777777" w:rsidR="009F05F4" w:rsidRDefault="00000000">
      <w:pPr>
        <w:spacing w:line="560" w:lineRule="exact"/>
        <w:ind w:firstLineChars="200"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（二）运行机制和管理方式</w:t>
      </w:r>
    </w:p>
    <w:p w14:paraId="6BE3FFCC"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14:paraId="24D9365D" w14:textId="77777777" w:rsidR="009F05F4" w:rsidRDefault="00000000">
      <w:pPr>
        <w:spacing w:line="560" w:lineRule="exact"/>
        <w:ind w:firstLineChars="200"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（三）信息化建设方面</w:t>
      </w:r>
    </w:p>
    <w:p w14:paraId="3C074E00"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14:paraId="7F482306" w14:textId="77777777" w:rsidR="009F05F4" w:rsidRDefault="00000000">
      <w:pPr>
        <w:spacing w:line="560" w:lineRule="exact"/>
        <w:ind w:firstLineChars="200" w:firstLine="624"/>
        <w:rPr>
          <w:rStyle w:val="ab"/>
          <w:rFonts w:ascii="楷体" w:eastAsia="楷体" w:hAnsi="楷体" w:cs="Times New Roman" w:hint="eastAsia"/>
          <w:b w:val="0"/>
          <w:bCs w:val="0"/>
          <w:spacing w:val="-4"/>
          <w:sz w:val="32"/>
          <w:szCs w:val="32"/>
        </w:rPr>
      </w:pPr>
      <w:r>
        <w:rPr>
          <w:rStyle w:val="ab"/>
          <w:rFonts w:ascii="楷体" w:eastAsia="楷体" w:hAnsi="楷体" w:cs="Times New Roman" w:hint="eastAsia"/>
          <w:b w:val="0"/>
          <w:bCs w:val="0"/>
          <w:spacing w:val="-4"/>
          <w:sz w:val="32"/>
          <w:szCs w:val="32"/>
        </w:rPr>
        <w:t>（四）流动资产的管理</w:t>
      </w:r>
    </w:p>
    <w:p w14:paraId="0D7492E5"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流动资产严格按照我单位内控体系要求进行管理，无备用金，单位货币资金管理由财务科每月与银行进行对帐，并填写银行余额调节表。</w:t>
      </w:r>
    </w:p>
    <w:p w14:paraId="4C341C74" w14:textId="77777777" w:rsidR="009F05F4" w:rsidRDefault="00000000">
      <w:pPr>
        <w:pStyle w:val="a9"/>
        <w:widowControl/>
        <w:spacing w:before="0" w:beforeAutospacing="0" w:after="0" w:afterAutospacing="0" w:line="560" w:lineRule="exact"/>
        <w:ind w:firstLineChars="200" w:firstLine="624"/>
        <w:jc w:val="both"/>
        <w:rPr>
          <w:rStyle w:val="ab"/>
          <w:rFonts w:ascii="楷体" w:eastAsia="楷体" w:hAnsi="楷体" w:hint="eastAsia"/>
          <w:b w:val="0"/>
          <w:bCs w:val="0"/>
          <w:spacing w:val="-4"/>
          <w:sz w:val="32"/>
          <w:szCs w:val="32"/>
        </w:rPr>
      </w:pPr>
      <w:r>
        <w:rPr>
          <w:rStyle w:val="ab"/>
          <w:rFonts w:ascii="楷体" w:eastAsia="楷体" w:hAnsi="楷体" w:hint="eastAsia"/>
          <w:b w:val="0"/>
          <w:bCs w:val="0"/>
          <w:spacing w:val="-4"/>
          <w:sz w:val="32"/>
          <w:szCs w:val="32"/>
        </w:rPr>
        <w:t>（五）固定资产的管理</w:t>
      </w:r>
    </w:p>
    <w:p w14:paraId="06347000" w14:textId="77777777" w:rsidR="009F05F4"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本单位的资产管理详细按照的相关要求执行,符合财政单位要求。每年年末定时对我单位的固定资产进行盘点，对</w:t>
      </w:r>
      <w:r>
        <w:rPr>
          <w:rFonts w:ascii="仿宋_GB2312" w:eastAsia="仿宋_GB2312" w:hAnsi="方正楷体简体" w:cs="宋体" w:hint="eastAsia"/>
          <w:sz w:val="32"/>
          <w:szCs w:val="32"/>
        </w:rPr>
        <w:lastRenderedPageBreak/>
        <w:t>盘点过程中发生的盈亏，进行原因查找，并上报单位党组研究决策，再上报财政国有资产管理科进行申报再行处理。</w:t>
      </w:r>
    </w:p>
    <w:p w14:paraId="24B96C05" w14:textId="77777777" w:rsidR="009F05F4" w:rsidRDefault="00000000">
      <w:pPr>
        <w:pStyle w:val="ad"/>
        <w:spacing w:line="560" w:lineRule="exact"/>
        <w:ind w:firstLine="624"/>
        <w:rPr>
          <w:rStyle w:val="ab"/>
          <w:rFonts w:ascii="黑体" w:eastAsia="黑体" w:hAnsi="黑体" w:cs="Times New Roman" w:hint="eastAsia"/>
          <w:b w:val="0"/>
          <w:spacing w:val="-4"/>
          <w:sz w:val="32"/>
          <w:szCs w:val="32"/>
        </w:rPr>
      </w:pPr>
      <w:r>
        <w:rPr>
          <w:rStyle w:val="ab"/>
          <w:rFonts w:ascii="黑体" w:eastAsia="黑体" w:hAnsi="黑体" w:cs="Times New Roman" w:hint="eastAsia"/>
          <w:b w:val="0"/>
          <w:spacing w:val="-4"/>
          <w:sz w:val="32"/>
          <w:szCs w:val="32"/>
        </w:rPr>
        <w:t>五、单位整体支出绩效情况</w:t>
      </w:r>
    </w:p>
    <w:p w14:paraId="7871C23F" w14:textId="77777777" w:rsidR="009F05F4" w:rsidRDefault="00000000">
      <w:pPr>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单位整体支出共设置一级指标3个，二级指标7个，三级指标19个，其中已完成三级指标17个，指标完成率为89.5%。</w:t>
      </w:r>
    </w:p>
    <w:p w14:paraId="3F35E133" w14:textId="77777777" w:rsidR="009F05F4" w:rsidRDefault="00000000">
      <w:pPr>
        <w:spacing w:line="560" w:lineRule="exact"/>
        <w:ind w:firstLineChars="200" w:firstLine="627"/>
        <w:rPr>
          <w:rFonts w:ascii="仿宋_GB2312" w:eastAsia="仿宋_GB2312" w:hAnsi="楷体" w:hint="eastAsia"/>
          <w:b/>
          <w:spacing w:val="-4"/>
          <w:sz w:val="32"/>
          <w:szCs w:val="32"/>
        </w:rPr>
      </w:pPr>
      <w:r>
        <w:rPr>
          <w:rFonts w:ascii="仿宋_GB2312" w:eastAsia="仿宋_GB2312" w:hAnsi="楷体" w:hint="eastAsia"/>
          <w:b/>
          <w:spacing w:val="-4"/>
          <w:sz w:val="32"/>
          <w:szCs w:val="32"/>
        </w:rPr>
        <w:t>1．产出指标完成情况分析</w:t>
      </w:r>
    </w:p>
    <w:p w14:paraId="110D342D" w14:textId="77777777" w:rsidR="009F05F4"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（1）项目完成数量</w:t>
      </w:r>
    </w:p>
    <w:p w14:paraId="4297633C"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保障单位干部职工工资正常发放人数，预期指标是***人，实际完成值是***人，指标完成率是100%，达到预期目标。</w:t>
      </w:r>
    </w:p>
    <w:p w14:paraId="44C6DA2D"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保障运转车辆数，预期指标4辆，实际完成值是4辆，指标完成率是100%，达到预期目标。</w:t>
      </w:r>
    </w:p>
    <w:p w14:paraId="1BACC0F9"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保障部门预算项目数，预期指标是2个，实际完成值是2个，指标完成率是100%，达到预期目标。</w:t>
      </w:r>
    </w:p>
    <w:p w14:paraId="4D73D504"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发放补助社区数量，预期指标是13个，实际完成值是13个，指标完成率是100%，达到预期目标。</w:t>
      </w:r>
    </w:p>
    <w:p w14:paraId="6FBFDC02" w14:textId="77777777" w:rsidR="009F05F4" w:rsidRDefault="00000000">
      <w:pPr>
        <w:pStyle w:val="a4"/>
        <w:spacing w:line="560" w:lineRule="exact"/>
        <w:ind w:firstLineChars="200" w:firstLine="640"/>
      </w:pPr>
      <w:r>
        <w:rPr>
          <w:rFonts w:ascii="仿宋_GB2312" w:eastAsia="仿宋_GB2312" w:hAnsi="仿宋" w:hint="eastAsia"/>
          <w:sz w:val="32"/>
          <w:szCs w:val="32"/>
        </w:rPr>
        <w:t>数量指标共计4个，完成4个，达到预期目标，数量指标完成。</w:t>
      </w:r>
    </w:p>
    <w:p w14:paraId="2E682599" w14:textId="77777777" w:rsidR="009F05F4"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（2）项目完成质量</w:t>
      </w:r>
    </w:p>
    <w:p w14:paraId="6C773592"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工资及社保等各项缴费发放准确率，预期指标是100%，实际完成值是100%，指标完成率是100%，达到预期目标。</w:t>
      </w:r>
    </w:p>
    <w:p w14:paraId="344F1DD2"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车辆正常运转率，预期指标是100%，实际完成值是100%，指标完成率是100%，达到预期目标。</w:t>
      </w:r>
    </w:p>
    <w:p w14:paraId="5A37DDD3"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lastRenderedPageBreak/>
        <w:t>补助覆盖率，预期指标是100%，实际完成值是100%，指标完成率是100%，达到预期目标。</w:t>
      </w:r>
    </w:p>
    <w:p w14:paraId="2C45CE02" w14:textId="77777777" w:rsidR="009F05F4" w:rsidRDefault="00000000">
      <w:pPr>
        <w:pStyle w:val="a4"/>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质量指标共计3个，完成3个，达到预期目标，质量指标完成。</w:t>
      </w:r>
    </w:p>
    <w:p w14:paraId="0CFCDADA" w14:textId="77777777" w:rsidR="009F05F4"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（3）项目实施进度</w:t>
      </w:r>
    </w:p>
    <w:p w14:paraId="5B64928B"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工资及社保等各项缴费发放及时率，预期指标是大于等于95%，实际完成值是95%，指标完成率是100%，达到预期目标。</w:t>
      </w:r>
    </w:p>
    <w:p w14:paraId="3C56C4EC"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项目完成时间，预期指标是2020年12月，实际完成值是2020年12月，指标完成率是100%，达到预期目标。</w:t>
      </w:r>
    </w:p>
    <w:p w14:paraId="67CD772F"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 xml:space="preserve"> 项目完成及时率，预期指标是大于等于95%，实际完成值是95%，指标完成率是100%，达到预期目标。</w:t>
      </w:r>
    </w:p>
    <w:p w14:paraId="50624407"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时效指标共计3个，完成3个，达到预期目标，时效指标完成。</w:t>
      </w:r>
    </w:p>
    <w:p w14:paraId="64D8A758" w14:textId="77777777" w:rsidR="009F05F4"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（4）项目成本节约情况</w:t>
      </w:r>
    </w:p>
    <w:p w14:paraId="6698BCE6"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各项工资、福利、补助费用人均成本，预期指标是小于等于1837.89万元，实际完成值是1689.17万元，指标完成率是91.9%，达到预期目标。</w:t>
      </w:r>
    </w:p>
    <w:p w14:paraId="0C93ACE8" w14:textId="77777777" w:rsidR="009F05F4" w:rsidRDefault="00000000">
      <w:pPr>
        <w:spacing w:line="560" w:lineRule="exact"/>
        <w:ind w:firstLineChars="200" w:firstLine="420"/>
        <w:rPr>
          <w:rFonts w:ascii="仿宋_GB2312" w:eastAsia="仿宋_GB2312" w:hAnsi="仿宋" w:hint="eastAsia"/>
          <w:sz w:val="32"/>
          <w:szCs w:val="32"/>
        </w:rPr>
      </w:pPr>
      <w:r>
        <w:rPr>
          <w:rFonts w:hint="eastAsia"/>
        </w:rPr>
        <w:t xml:space="preserve">   </w:t>
      </w:r>
      <w:r>
        <w:rPr>
          <w:rFonts w:ascii="仿宋_GB2312" w:eastAsia="仿宋_GB2312" w:hAnsi="仿宋" w:hint="eastAsia"/>
          <w:sz w:val="32"/>
          <w:szCs w:val="32"/>
        </w:rPr>
        <w:t>对个人和家庭补助成本，预期指标是小于等于1551.68万元/人，实际完成值是1551.68万元/人，指标完成率是100%，达到预期目标。</w:t>
      </w:r>
    </w:p>
    <w:p w14:paraId="185D0298"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保障单位正常运转支出，预期指标是小于等于56.27万元，实际完成值是56.27万元，指标完成率是100%，达到预期目标。</w:t>
      </w:r>
    </w:p>
    <w:p w14:paraId="4339518B"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lastRenderedPageBreak/>
        <w:t>预算项目成本，预期指标是小于等于231.78万元，实际完成值是218.55万元，指标完成率是94.29%，未达到预期目标，原因是相关部门及社区票据不全报帐不及时，导致部分资金未及时支付。</w:t>
      </w:r>
    </w:p>
    <w:p w14:paraId="08FA108D"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成本指标共计4个，完成3个，1个未达到预期目标，原因是相关部门及社区票据不全报帐不及时，导致部分资金未及时支付，措施是按照项目资金管理制度催促相关部门及社区及时报帐，按时支付费用。结余资金上交财政。</w:t>
      </w:r>
    </w:p>
    <w:p w14:paraId="7C599689" w14:textId="77777777" w:rsidR="009F05F4" w:rsidRDefault="00000000">
      <w:pPr>
        <w:spacing w:line="560" w:lineRule="exact"/>
        <w:ind w:firstLineChars="200" w:firstLine="627"/>
        <w:rPr>
          <w:rFonts w:ascii="仿宋_GB2312" w:eastAsia="仿宋_GB2312" w:hAnsi="楷体" w:hint="eastAsia"/>
          <w:b/>
          <w:spacing w:val="-4"/>
          <w:sz w:val="32"/>
          <w:szCs w:val="32"/>
        </w:rPr>
      </w:pPr>
      <w:r>
        <w:rPr>
          <w:rFonts w:ascii="仿宋_GB2312" w:eastAsia="仿宋_GB2312" w:hAnsi="楷体" w:hint="eastAsia"/>
          <w:b/>
          <w:spacing w:val="-4"/>
          <w:sz w:val="32"/>
          <w:szCs w:val="32"/>
        </w:rPr>
        <w:t>2．效益指标完成情况分析</w:t>
      </w:r>
    </w:p>
    <w:p w14:paraId="13F0F125"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（1）项目实施的经济效益分析</w:t>
      </w:r>
    </w:p>
    <w:p w14:paraId="1D5FD729"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无。</w:t>
      </w:r>
    </w:p>
    <w:p w14:paraId="00CDF4A6" w14:textId="77777777" w:rsidR="009F05F4" w:rsidRDefault="00000000">
      <w:pPr>
        <w:pStyle w:val="3"/>
        <w:spacing w:before="0" w:after="0" w:line="560" w:lineRule="exact"/>
        <w:ind w:firstLineChars="200" w:firstLine="624"/>
        <w:rPr>
          <w:rFonts w:ascii="仿宋_GB2312" w:eastAsia="仿宋_GB2312" w:hAnsi="楷体" w:cs="仿宋" w:hint="eastAsia"/>
          <w:b w:val="0"/>
          <w:bCs w:val="0"/>
          <w:spacing w:val="-4"/>
        </w:rPr>
      </w:pPr>
      <w:r>
        <w:rPr>
          <w:rFonts w:ascii="仿宋_GB2312" w:eastAsia="仿宋_GB2312" w:hAnsi="楷体" w:cs="仿宋" w:hint="eastAsia"/>
          <w:b w:val="0"/>
          <w:bCs w:val="0"/>
          <w:spacing w:val="-4"/>
        </w:rPr>
        <w:t>（2）项目实施的社会效益分析</w:t>
      </w:r>
    </w:p>
    <w:p w14:paraId="782F32FB"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保障单位正常运转，预期指标是有效保障，实际完成值是有效保障，指标完成率是100%，达到预期目标。</w:t>
      </w:r>
    </w:p>
    <w:p w14:paraId="45C3CD9B" w14:textId="77777777" w:rsidR="009F05F4" w:rsidRDefault="00000000">
      <w:pPr>
        <w:pStyle w:val="a4"/>
        <w:spacing w:line="560" w:lineRule="exact"/>
        <w:ind w:firstLineChars="200" w:firstLine="640"/>
        <w:rPr>
          <w:rFonts w:eastAsia="仿宋_GB2312"/>
        </w:rPr>
      </w:pPr>
      <w:r>
        <w:rPr>
          <w:rFonts w:ascii="仿宋_GB2312" w:eastAsia="仿宋_GB2312" w:hAnsi="仿宋" w:hint="eastAsia"/>
          <w:sz w:val="32"/>
          <w:szCs w:val="32"/>
        </w:rPr>
        <w:t>提高社区业务工作水平，预期指标是有效提高，实际完成值是有效提高，指标完成率是100%，达到预期目标。</w:t>
      </w:r>
    </w:p>
    <w:p w14:paraId="03B39372" w14:textId="77777777" w:rsidR="009F05F4" w:rsidRDefault="00000000">
      <w:pPr>
        <w:spacing w:line="560" w:lineRule="exact"/>
        <w:ind w:firstLineChars="200" w:firstLine="640"/>
        <w:rPr>
          <w:rFonts w:ascii="仿宋_GB2312" w:eastAsia="仿宋_GB2312"/>
          <w:sz w:val="32"/>
          <w:szCs w:val="32"/>
        </w:rPr>
      </w:pPr>
      <w:r>
        <w:rPr>
          <w:rFonts w:ascii="仿宋_GB2312" w:eastAsia="仿宋_GB2312" w:hAnsi="仿宋" w:hint="eastAsia"/>
          <w:sz w:val="32"/>
          <w:szCs w:val="32"/>
        </w:rPr>
        <w:t>社会效益指标共计2个，完成2个，达到预期目标，</w:t>
      </w:r>
      <w:r>
        <w:rPr>
          <w:rFonts w:ascii="仿宋_GB2312" w:eastAsia="仿宋_GB2312" w:hAnsi="Times New Roman" w:cs="Times New Roman" w:hint="eastAsia"/>
          <w:sz w:val="32"/>
          <w:szCs w:val="28"/>
        </w:rPr>
        <w:t>社会效益指标完成。</w:t>
      </w:r>
    </w:p>
    <w:p w14:paraId="1B2C319E" w14:textId="77777777" w:rsidR="009F05F4" w:rsidRDefault="00000000">
      <w:pPr>
        <w:numPr>
          <w:ilvl w:val="0"/>
          <w:numId w:val="2"/>
        </w:numPr>
        <w:spacing w:line="560" w:lineRule="exact"/>
        <w:ind w:firstLineChars="200" w:firstLine="624"/>
        <w:rPr>
          <w:rFonts w:ascii="仿宋_GB2312" w:eastAsia="仿宋_GB2312" w:hAnsi="楷体" w:cs="仿宋" w:hint="eastAsia"/>
          <w:bCs/>
          <w:spacing w:val="-4"/>
          <w:sz w:val="32"/>
          <w:szCs w:val="32"/>
        </w:rPr>
      </w:pPr>
      <w:r>
        <w:rPr>
          <w:rFonts w:ascii="仿宋_GB2312" w:eastAsia="仿宋_GB2312" w:hAnsi="楷体" w:cs="仿宋" w:hint="eastAsia"/>
          <w:spacing w:val="-4"/>
          <w:sz w:val="32"/>
          <w:szCs w:val="32"/>
        </w:rPr>
        <w:t>项目实施的生态效益分</w:t>
      </w:r>
      <w:r>
        <w:rPr>
          <w:rFonts w:ascii="仿宋_GB2312" w:eastAsia="仿宋_GB2312" w:hAnsi="楷体" w:cs="仿宋" w:hint="eastAsia"/>
          <w:bCs/>
          <w:spacing w:val="-4"/>
          <w:sz w:val="32"/>
          <w:szCs w:val="32"/>
        </w:rPr>
        <w:t>析</w:t>
      </w:r>
    </w:p>
    <w:p w14:paraId="09782C87"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无。</w:t>
      </w:r>
    </w:p>
    <w:p w14:paraId="6250FE5F" w14:textId="77777777" w:rsidR="009F05F4"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（4）项目实施的可持续影响分析</w:t>
      </w:r>
    </w:p>
    <w:p w14:paraId="583B7FB7" w14:textId="77777777" w:rsidR="009F05F4"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 xml:space="preserve"> 保障机关、社区各项工作有效运行，预期指标是有效保障，实际完成值是有效保障，指标完成率是100%，达到预期目标。</w:t>
      </w:r>
    </w:p>
    <w:p w14:paraId="7D9F7D52" w14:textId="77777777" w:rsidR="009F05F4"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lastRenderedPageBreak/>
        <w:t>可持续指标共计1个，完成1个，达到预期目标，</w:t>
      </w:r>
      <w:r>
        <w:rPr>
          <w:rFonts w:ascii="仿宋_GB2312" w:eastAsia="仿宋_GB2312" w:hAnsi="楷体" w:cs="仿宋" w:hint="eastAsia"/>
          <w:spacing w:val="-4"/>
          <w:sz w:val="32"/>
          <w:szCs w:val="32"/>
        </w:rPr>
        <w:t>可持续影响指标完成。</w:t>
      </w:r>
    </w:p>
    <w:p w14:paraId="6A97BDEE" w14:textId="77777777" w:rsidR="009F05F4" w:rsidRDefault="00000000">
      <w:pPr>
        <w:spacing w:line="560" w:lineRule="exact"/>
        <w:ind w:firstLineChars="200" w:firstLine="627"/>
        <w:rPr>
          <w:rFonts w:ascii="仿宋_GB2312" w:eastAsia="仿宋_GB2312" w:hAnsi="楷体" w:hint="eastAsia"/>
          <w:b/>
          <w:spacing w:val="-4"/>
          <w:sz w:val="32"/>
          <w:szCs w:val="32"/>
        </w:rPr>
      </w:pPr>
      <w:r>
        <w:rPr>
          <w:rFonts w:ascii="仿宋_GB2312" w:eastAsia="仿宋_GB2312" w:hAnsi="楷体" w:hint="eastAsia"/>
          <w:b/>
          <w:spacing w:val="-4"/>
          <w:sz w:val="32"/>
          <w:szCs w:val="32"/>
        </w:rPr>
        <w:t>3．满意度指标完成情况分析</w:t>
      </w:r>
    </w:p>
    <w:p w14:paraId="5A5E3923" w14:textId="77777777" w:rsidR="009F05F4"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按计划完成项目实施，已做满意度调查问卷，具体如下：</w:t>
      </w:r>
    </w:p>
    <w:p w14:paraId="6BC2E035" w14:textId="77777777" w:rsidR="009F05F4" w:rsidRDefault="00000000">
      <w:pPr>
        <w:spacing w:line="560" w:lineRule="exact"/>
        <w:ind w:firstLineChars="195" w:firstLine="608"/>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干部职工满意度，预期指标是大于等于95%，实际完成值是95%，指标完成率是100%，</w:t>
      </w:r>
      <w:r>
        <w:rPr>
          <w:rFonts w:ascii="仿宋_GB2312" w:eastAsia="仿宋_GB2312" w:hAnsi="仿宋" w:hint="eastAsia"/>
          <w:sz w:val="32"/>
          <w:szCs w:val="32"/>
        </w:rPr>
        <w:t>达到预期目标。</w:t>
      </w:r>
    </w:p>
    <w:p w14:paraId="2E20520F" w14:textId="77777777" w:rsidR="009F05F4" w:rsidRDefault="00000000">
      <w:pPr>
        <w:spacing w:line="560" w:lineRule="exact"/>
        <w:ind w:firstLineChars="195" w:firstLine="608"/>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受益群众满意度，预期指标是大于等于95%，实际完成值是95%，指标完成率是100%，</w:t>
      </w:r>
      <w:r>
        <w:rPr>
          <w:rFonts w:ascii="仿宋_GB2312" w:eastAsia="仿宋_GB2312" w:hAnsi="仿宋" w:hint="eastAsia"/>
          <w:sz w:val="32"/>
          <w:szCs w:val="32"/>
        </w:rPr>
        <w:t>达到预期目标。</w:t>
      </w:r>
    </w:p>
    <w:p w14:paraId="28F8C638" w14:textId="77777777" w:rsidR="009F05F4"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满意度指标共计2个，完成2个，达到预期目标，服务对象满意度指标完成。</w:t>
      </w:r>
    </w:p>
    <w:p w14:paraId="6AD911BB" w14:textId="77777777" w:rsidR="009F05F4"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经济性评价：单位年度任务在预算资金额度内完成，并通过规范的招投标及严格的资金管理及项目管理及其他创新的管理措施实现了资金的节约。三公经费在预算范围内开支，开支范围较上年的变化，有节约。</w:t>
      </w:r>
    </w:p>
    <w:p w14:paraId="248A2666" w14:textId="77777777" w:rsidR="009F05F4"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效率性评价：各项工作计划按预期计划按时完成，效益按预期时间产生。</w:t>
      </w:r>
    </w:p>
    <w:p w14:paraId="62EFED72" w14:textId="77777777" w:rsidR="009F05F4" w:rsidRDefault="00000000">
      <w:pPr>
        <w:pStyle w:val="ad"/>
        <w:spacing w:line="560" w:lineRule="exact"/>
        <w:ind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效益性评价：预期的经济效益、社会效益、可持续的影响产生，干部职工满意。</w:t>
      </w:r>
    </w:p>
    <w:p w14:paraId="297518D0" w14:textId="77777777" w:rsidR="009F05F4" w:rsidRDefault="00000000">
      <w:pPr>
        <w:pStyle w:val="ad"/>
        <w:spacing w:line="560" w:lineRule="exact"/>
        <w:ind w:firstLine="624"/>
        <w:rPr>
          <w:rStyle w:val="ab"/>
          <w:rFonts w:ascii="黑体" w:eastAsia="黑体" w:hAnsi="黑体" w:cs="Times New Roman" w:hint="eastAsia"/>
          <w:b w:val="0"/>
          <w:spacing w:val="-4"/>
          <w:sz w:val="32"/>
          <w:szCs w:val="32"/>
        </w:rPr>
      </w:pPr>
      <w:r>
        <w:rPr>
          <w:rStyle w:val="ab"/>
          <w:rFonts w:ascii="黑体" w:eastAsia="黑体" w:hAnsi="黑体" w:cs="Times New Roman" w:hint="eastAsia"/>
          <w:b w:val="0"/>
          <w:spacing w:val="-4"/>
          <w:sz w:val="32"/>
          <w:szCs w:val="32"/>
        </w:rPr>
        <w:t>六、存在的主要问题</w:t>
      </w:r>
    </w:p>
    <w:p w14:paraId="0C45BAB5" w14:textId="77777777" w:rsidR="009F05F4"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spacing w:val="-4"/>
          <w:sz w:val="32"/>
          <w:szCs w:val="32"/>
        </w:rPr>
        <w:t>(一)预算执行存在偏差</w:t>
      </w:r>
    </w:p>
    <w:p w14:paraId="6A186EBE" w14:textId="77777777" w:rsidR="009F05F4"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spacing w:val="-4"/>
          <w:sz w:val="32"/>
          <w:szCs w:val="32"/>
        </w:rPr>
        <w:t>由于对个别项目资金使用方面预算不够细致，出现项目资金结</w:t>
      </w:r>
      <w:r>
        <w:rPr>
          <w:rFonts w:ascii="仿宋_GB2312" w:eastAsia="仿宋_GB2312" w:hAnsi="仿宋" w:cs="仿宋" w:hint="eastAsia"/>
          <w:spacing w:val="-4"/>
          <w:sz w:val="32"/>
          <w:szCs w:val="32"/>
        </w:rPr>
        <w:t>存</w:t>
      </w:r>
      <w:r>
        <w:rPr>
          <w:rFonts w:ascii="仿宋_GB2312" w:eastAsia="仿宋_GB2312" w:hAnsi="仿宋" w:cs="仿宋"/>
          <w:spacing w:val="-4"/>
          <w:sz w:val="32"/>
          <w:szCs w:val="32"/>
        </w:rPr>
        <w:t>数额多的情况</w:t>
      </w:r>
      <w:r>
        <w:rPr>
          <w:rFonts w:ascii="仿宋_GB2312" w:eastAsia="仿宋_GB2312" w:hAnsi="仿宋" w:cs="仿宋" w:hint="eastAsia"/>
          <w:spacing w:val="-4"/>
          <w:sz w:val="32"/>
          <w:szCs w:val="32"/>
        </w:rPr>
        <w:t>及社区报帐不及导致资金未能及时支付的情况</w:t>
      </w:r>
      <w:r>
        <w:rPr>
          <w:rFonts w:ascii="仿宋_GB2312" w:eastAsia="仿宋_GB2312" w:hAnsi="仿宋" w:cs="仿宋"/>
          <w:spacing w:val="-4"/>
          <w:sz w:val="32"/>
          <w:szCs w:val="32"/>
        </w:rPr>
        <w:t>。</w:t>
      </w:r>
    </w:p>
    <w:p w14:paraId="465D69AE" w14:textId="77777777" w:rsidR="009F05F4"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hint="eastAsia"/>
          <w:spacing w:val="-4"/>
          <w:sz w:val="32"/>
          <w:szCs w:val="32"/>
        </w:rPr>
        <w:t>（二）</w:t>
      </w:r>
      <w:r>
        <w:rPr>
          <w:rFonts w:ascii="楷体" w:eastAsia="楷体" w:hAnsi="楷体" w:cs="仿宋"/>
          <w:spacing w:val="-4"/>
          <w:sz w:val="32"/>
          <w:szCs w:val="32"/>
        </w:rPr>
        <w:t>目标设定科学性及评价存在难度</w:t>
      </w:r>
    </w:p>
    <w:p w14:paraId="08AC1F51" w14:textId="77777777" w:rsidR="009F05F4"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spacing w:val="-4"/>
          <w:sz w:val="32"/>
          <w:szCs w:val="32"/>
        </w:rPr>
        <w:lastRenderedPageBreak/>
        <w:t>对于目标设定需要分科室</w:t>
      </w:r>
      <w:r>
        <w:rPr>
          <w:rFonts w:ascii="仿宋_GB2312" w:eastAsia="仿宋_GB2312" w:hAnsi="仿宋" w:cs="仿宋" w:hint="eastAsia"/>
          <w:spacing w:val="-4"/>
          <w:sz w:val="32"/>
          <w:szCs w:val="32"/>
        </w:rPr>
        <w:t>单位</w:t>
      </w:r>
      <w:r>
        <w:rPr>
          <w:rFonts w:ascii="仿宋_GB2312" w:eastAsia="仿宋_GB2312" w:hAnsi="仿宋" w:cs="仿宋"/>
          <w:spacing w:val="-4"/>
          <w:sz w:val="32"/>
          <w:szCs w:val="32"/>
        </w:rPr>
        <w:t>分解,汇总后制定整体目标，如何科学整合全单位绩效目标比较困难；目标设定后如何科学设定考核评价标准，特别是对于不能量化的目标如何评价。</w:t>
      </w:r>
    </w:p>
    <w:p w14:paraId="4E3A1781" w14:textId="77777777" w:rsidR="009F05F4"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spacing w:val="-4"/>
          <w:sz w:val="32"/>
          <w:szCs w:val="32"/>
        </w:rPr>
        <w:t>（三）财务管理方面，会计核算还不够细致,对于有些能够细分的工作,未能详细分类核算,绩效评价基础数据不够精准。</w:t>
      </w:r>
    </w:p>
    <w:p w14:paraId="25A488BB" w14:textId="77777777" w:rsidR="009F05F4"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spacing w:val="-4"/>
          <w:sz w:val="32"/>
          <w:szCs w:val="32"/>
        </w:rPr>
        <w:t>（四）固定资产管理水平有待提高</w:t>
      </w:r>
    </w:p>
    <w:p w14:paraId="341E31BF" w14:textId="77777777" w:rsidR="009F05F4"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spacing w:val="-4"/>
          <w:sz w:val="32"/>
          <w:szCs w:val="32"/>
        </w:rPr>
        <w:t>固定资产台账未及时与账面资产金额对账且末与实物进行清点及及时清理处置报废资产导致资产台账与账面资产金额存在差异,固定资产管理继续加强中。</w:t>
      </w:r>
    </w:p>
    <w:p w14:paraId="05672EA1" w14:textId="77777777" w:rsidR="009F05F4" w:rsidRDefault="00000000">
      <w:pPr>
        <w:pStyle w:val="ad"/>
        <w:spacing w:line="560" w:lineRule="exact"/>
        <w:ind w:firstLine="624"/>
        <w:rPr>
          <w:rStyle w:val="ab"/>
          <w:rFonts w:ascii="黑体" w:eastAsia="黑体" w:hAnsi="黑体" w:cs="Times New Roman" w:hint="eastAsia"/>
          <w:b w:val="0"/>
          <w:spacing w:val="-4"/>
          <w:sz w:val="32"/>
          <w:szCs w:val="32"/>
        </w:rPr>
      </w:pPr>
      <w:r>
        <w:rPr>
          <w:rStyle w:val="ab"/>
          <w:rFonts w:ascii="黑体" w:eastAsia="黑体" w:hAnsi="黑体" w:cs="Times New Roman" w:hint="eastAsia"/>
          <w:b w:val="0"/>
          <w:spacing w:val="-4"/>
          <w:sz w:val="32"/>
          <w:szCs w:val="32"/>
        </w:rPr>
        <w:t>七、改进措施和建议</w:t>
      </w:r>
    </w:p>
    <w:p w14:paraId="6274797A" w14:textId="77777777" w:rsidR="009F05F4"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hint="eastAsia"/>
          <w:spacing w:val="-4"/>
          <w:sz w:val="32"/>
          <w:szCs w:val="32"/>
        </w:rPr>
        <w:t>（一）</w:t>
      </w:r>
      <w:r>
        <w:rPr>
          <w:rFonts w:ascii="楷体" w:eastAsia="楷体" w:hAnsi="楷体" w:cs="仿宋"/>
          <w:spacing w:val="-4"/>
          <w:sz w:val="32"/>
          <w:szCs w:val="32"/>
        </w:rPr>
        <w:t>加强新行政单位会计制度和新预算法学习培训</w:t>
      </w:r>
      <w:r>
        <w:rPr>
          <w:rFonts w:ascii="楷体" w:eastAsia="楷体" w:hAnsi="楷体" w:cs="仿宋" w:hint="eastAsia"/>
          <w:spacing w:val="-4"/>
          <w:sz w:val="32"/>
          <w:szCs w:val="32"/>
        </w:rPr>
        <w:t>，</w:t>
      </w:r>
      <w:r>
        <w:rPr>
          <w:rFonts w:ascii="楷体" w:eastAsia="楷体" w:hAnsi="楷体" w:cs="仿宋"/>
          <w:spacing w:val="-4"/>
          <w:sz w:val="32"/>
          <w:szCs w:val="32"/>
        </w:rPr>
        <w:t>规范账务处理</w:t>
      </w:r>
      <w:r>
        <w:rPr>
          <w:rFonts w:ascii="楷体" w:eastAsia="楷体" w:hAnsi="楷体" w:cs="仿宋" w:hint="eastAsia"/>
          <w:spacing w:val="-4"/>
          <w:sz w:val="32"/>
          <w:szCs w:val="32"/>
        </w:rPr>
        <w:t>，</w:t>
      </w:r>
      <w:r>
        <w:rPr>
          <w:rFonts w:ascii="楷体" w:eastAsia="楷体" w:hAnsi="楷体" w:cs="仿宋"/>
          <w:spacing w:val="-4"/>
          <w:sz w:val="32"/>
          <w:szCs w:val="32"/>
        </w:rPr>
        <w:t>加强新《预算法》、《行政单位会计制度》 、《会计法》 、《行政单位财务规则》等学习培训,规范</w:t>
      </w:r>
      <w:r>
        <w:rPr>
          <w:rFonts w:ascii="楷体" w:eastAsia="楷体" w:hAnsi="楷体" w:cs="仿宋" w:hint="eastAsia"/>
          <w:spacing w:val="-4"/>
          <w:sz w:val="32"/>
          <w:szCs w:val="32"/>
        </w:rPr>
        <w:t>单位</w:t>
      </w:r>
      <w:r>
        <w:rPr>
          <w:rFonts w:ascii="楷体" w:eastAsia="楷体" w:hAnsi="楷体" w:cs="仿宋"/>
          <w:spacing w:val="-4"/>
          <w:sz w:val="32"/>
          <w:szCs w:val="32"/>
        </w:rPr>
        <w:t>预算收支核算</w:t>
      </w:r>
      <w:r>
        <w:rPr>
          <w:rFonts w:ascii="楷体" w:eastAsia="楷体" w:hAnsi="楷体" w:cs="仿宋" w:hint="eastAsia"/>
          <w:spacing w:val="-4"/>
          <w:sz w:val="32"/>
          <w:szCs w:val="32"/>
        </w:rPr>
        <w:t>。</w:t>
      </w:r>
      <w:r>
        <w:rPr>
          <w:rFonts w:ascii="楷体" w:eastAsia="楷体" w:hAnsi="楷体" w:cs="仿宋"/>
          <w:spacing w:val="-4"/>
          <w:sz w:val="32"/>
          <w:szCs w:val="32"/>
        </w:rPr>
        <w:t>制定和完善基本支出、项目支出等各项支出标准,严格按项目和进度执行预算, 增强预算的约束力和严肃性</w:t>
      </w:r>
      <w:r>
        <w:rPr>
          <w:rFonts w:ascii="楷体" w:eastAsia="楷体" w:hAnsi="楷体" w:cs="仿宋" w:hint="eastAsia"/>
          <w:spacing w:val="-4"/>
          <w:sz w:val="32"/>
          <w:szCs w:val="32"/>
        </w:rPr>
        <w:t>；</w:t>
      </w:r>
      <w:r>
        <w:rPr>
          <w:rFonts w:ascii="楷体" w:eastAsia="楷体" w:hAnsi="楷体" w:cs="仿宋"/>
          <w:spacing w:val="-4"/>
          <w:sz w:val="32"/>
          <w:szCs w:val="32"/>
        </w:rPr>
        <w:t>落实预算执行分析,及时了解预算执行差异,合理调整、纠正预算执行偏差，切实提高</w:t>
      </w:r>
      <w:r>
        <w:rPr>
          <w:rFonts w:ascii="楷体" w:eastAsia="楷体" w:hAnsi="楷体" w:cs="仿宋" w:hint="eastAsia"/>
          <w:spacing w:val="-4"/>
          <w:sz w:val="32"/>
          <w:szCs w:val="32"/>
        </w:rPr>
        <w:t>单位</w:t>
      </w:r>
      <w:r>
        <w:rPr>
          <w:rFonts w:ascii="楷体" w:eastAsia="楷体" w:hAnsi="楷体" w:cs="仿宋"/>
          <w:spacing w:val="-4"/>
          <w:sz w:val="32"/>
          <w:szCs w:val="32"/>
        </w:rPr>
        <w:t>预算收支管理水平。尽可能地做到决算与预算相衔接。</w:t>
      </w:r>
    </w:p>
    <w:p w14:paraId="296536DB" w14:textId="77777777" w:rsidR="009F05F4"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hint="eastAsia"/>
          <w:spacing w:val="-4"/>
          <w:sz w:val="32"/>
          <w:szCs w:val="32"/>
        </w:rPr>
        <w:t>（二）</w:t>
      </w:r>
      <w:r>
        <w:rPr>
          <w:rFonts w:ascii="楷体" w:eastAsia="楷体" w:hAnsi="楷体" w:cs="仿宋"/>
          <w:spacing w:val="-4"/>
          <w:sz w:val="32"/>
          <w:szCs w:val="32"/>
        </w:rPr>
        <w:t>完善管理制度,进</w:t>
      </w:r>
      <w:r>
        <w:rPr>
          <w:rFonts w:ascii="楷体" w:eastAsia="楷体" w:hAnsi="楷体" w:cs="仿宋" w:hint="eastAsia"/>
          <w:spacing w:val="-4"/>
          <w:sz w:val="32"/>
          <w:szCs w:val="32"/>
        </w:rPr>
        <w:t>一步</w:t>
      </w:r>
      <w:r>
        <w:rPr>
          <w:rFonts w:ascii="楷体" w:eastAsia="楷体" w:hAnsi="楷体" w:cs="仿宋"/>
          <w:spacing w:val="-4"/>
          <w:sz w:val="32"/>
          <w:szCs w:val="32"/>
        </w:rPr>
        <w:t>加强资产管理</w:t>
      </w:r>
    </w:p>
    <w:p w14:paraId="2AF63ADD" w14:textId="77777777" w:rsidR="009F05F4" w:rsidRDefault="00000000">
      <w:pPr>
        <w:pStyle w:val="a9"/>
        <w:widowControl/>
        <w:spacing w:before="0" w:beforeAutospacing="0" w:after="0" w:afterAutospacing="0" w:line="560" w:lineRule="exact"/>
        <w:ind w:firstLineChars="200" w:firstLine="624"/>
        <w:jc w:val="both"/>
        <w:rPr>
          <w:rFonts w:ascii="仿宋_GB2312" w:eastAsia="仿宋_GB2312" w:hAnsi="仿宋" w:cs="仿宋" w:hint="eastAsia"/>
          <w:spacing w:val="-4"/>
          <w:sz w:val="32"/>
          <w:szCs w:val="32"/>
        </w:rPr>
      </w:pPr>
      <w:r>
        <w:rPr>
          <w:rFonts w:ascii="仿宋_GB2312" w:eastAsia="仿宋_GB2312" w:hAnsi="仿宋" w:cs="仿宋"/>
          <w:spacing w:val="-4"/>
          <w:sz w:val="32"/>
          <w:szCs w:val="32"/>
        </w:rPr>
        <w:t>严格按照《固定资产管理办法》的规定加强固定资产管理,及时登记、更新台账，加强资产卡片管理,对各类实物资产进行全面盘点,确保账账、账实相符。</w:t>
      </w:r>
    </w:p>
    <w:p w14:paraId="433CF8D1" w14:textId="77777777" w:rsidR="009F05F4"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lastRenderedPageBreak/>
        <w:t>（三）加强学习如何科学合理制定绩效目标及考核体系，充分发挥绩效工作效用</w:t>
      </w:r>
      <w:r>
        <w:rPr>
          <w:rFonts w:ascii="楷体" w:eastAsia="楷体" w:hAnsi="楷体" w:cs="仿宋" w:hint="eastAsia"/>
          <w:spacing w:val="-4"/>
          <w:sz w:val="32"/>
          <w:szCs w:val="32"/>
        </w:rPr>
        <w:t>。</w:t>
      </w:r>
    </w:p>
    <w:p w14:paraId="15223D2D" w14:textId="77777777" w:rsidR="009F05F4"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（四）财务上，会计核算要更加详细，为本单位各项工作的开展、总结、评估提供有效数据资料支撑,为各项业务工作更好的开展提供帮助。</w:t>
      </w:r>
    </w:p>
    <w:p w14:paraId="5D919341" w14:textId="77777777" w:rsidR="009F05F4"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（五）从源头上强化对专项资金预算管理</w:t>
      </w:r>
    </w:p>
    <w:p w14:paraId="34CB0F63" w14:textId="77777777" w:rsidR="009F05F4" w:rsidRDefault="00000000">
      <w:pPr>
        <w:pStyle w:val="a9"/>
        <w:widowControl/>
        <w:spacing w:before="0" w:beforeAutospacing="0" w:after="0" w:afterAutospacing="0" w:line="560" w:lineRule="exact"/>
        <w:ind w:firstLineChars="200" w:firstLine="624"/>
        <w:jc w:val="both"/>
        <w:rPr>
          <w:rFonts w:ascii="仿宋_GB2312" w:eastAsia="仿宋_GB2312" w:hAnsi="楷体" w:cs="仿宋" w:hint="eastAsia"/>
          <w:spacing w:val="-4"/>
          <w:sz w:val="32"/>
          <w:szCs w:val="32"/>
        </w:rPr>
      </w:pPr>
      <w:r>
        <w:rPr>
          <w:rFonts w:ascii="仿宋_GB2312" w:eastAsia="仿宋_GB2312" w:hAnsi="楷体" w:cs="仿宋"/>
          <w:spacing w:val="-4"/>
          <w:sz w:val="32"/>
          <w:szCs w:val="32"/>
        </w:rPr>
        <w:t>实行专项资金预算管理， 结合单位实际, 按轻重缓急统筹安排编制预算,提高预算编制科学性和合理性,优化资金结构。</w:t>
      </w:r>
    </w:p>
    <w:p w14:paraId="6D1A1C95" w14:textId="77777777" w:rsidR="009F05F4"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（六）按时间进度分解资金使用计划</w:t>
      </w:r>
    </w:p>
    <w:p w14:paraId="1DC7753F" w14:textId="77777777" w:rsidR="009F05F4" w:rsidRDefault="00000000">
      <w:pPr>
        <w:pStyle w:val="a9"/>
        <w:widowControl/>
        <w:spacing w:before="0" w:beforeAutospacing="0" w:after="0" w:afterAutospacing="0" w:line="560" w:lineRule="exact"/>
        <w:ind w:firstLineChars="200" w:firstLine="624"/>
        <w:jc w:val="both"/>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专项资金的使用，要事前做计划，事中进行控制，事后总结提高。合理安排资金使用,充分体现资金投向的目标和效益。</w:t>
      </w:r>
    </w:p>
    <w:p w14:paraId="07E9A1C5" w14:textId="77777777" w:rsidR="009F05F4" w:rsidRDefault="00000000">
      <w:pPr>
        <w:pStyle w:val="a9"/>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（七）进一步提高绩效管理水平</w:t>
      </w:r>
    </w:p>
    <w:p w14:paraId="28EFB8AB" w14:textId="77777777" w:rsidR="009F05F4" w:rsidRDefault="00000000">
      <w:pPr>
        <w:pStyle w:val="a9"/>
        <w:widowControl/>
        <w:spacing w:before="0" w:beforeAutospacing="0" w:after="0" w:afterAutospacing="0" w:line="560" w:lineRule="exact"/>
        <w:ind w:firstLineChars="200" w:firstLine="624"/>
        <w:jc w:val="both"/>
        <w:rPr>
          <w:rFonts w:ascii="仿宋_GB2312" w:eastAsia="仿宋_GB2312" w:hAnsi="楷体" w:cs="仿宋" w:hint="eastAsia"/>
          <w:spacing w:val="-4"/>
          <w:sz w:val="32"/>
          <w:szCs w:val="32"/>
        </w:rPr>
      </w:pPr>
      <w:r>
        <w:rPr>
          <w:rFonts w:ascii="仿宋_GB2312" w:eastAsia="仿宋_GB2312" w:hAnsi="楷体" w:cs="仿宋"/>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ascii="仿宋_GB2312" w:eastAsia="仿宋_GB2312" w:hAnsi="楷体" w:cs="仿宋" w:hint="eastAsia"/>
          <w:spacing w:val="-4"/>
          <w:sz w:val="32"/>
          <w:szCs w:val="32"/>
        </w:rPr>
        <w:t>单位</w:t>
      </w:r>
      <w:r>
        <w:rPr>
          <w:rFonts w:ascii="仿宋_GB2312" w:eastAsia="仿宋_GB2312" w:hAnsi="楷体" w:cs="仿宋"/>
          <w:spacing w:val="-4"/>
          <w:sz w:val="32"/>
          <w:szCs w:val="32"/>
        </w:rPr>
        <w:t>的紧密配合,开展好整体支出及项目资金绩效管理工作,运用好绩 效评价的结果,不断提升预算管理水平。</w:t>
      </w:r>
    </w:p>
    <w:p w14:paraId="0F8C3125" w14:textId="77777777" w:rsidR="009F05F4" w:rsidRDefault="009F05F4">
      <w:pPr>
        <w:rPr>
          <w:rFonts w:ascii="仿宋" w:eastAsia="仿宋" w:hAnsi="仿宋" w:cs="Times New Roman" w:hint="eastAsia"/>
          <w:bCs/>
          <w:sz w:val="32"/>
          <w:szCs w:val="32"/>
        </w:rPr>
      </w:pPr>
    </w:p>
    <w:sectPr w:rsidR="009F05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_GBK">
    <w:altName w:val="微软雅黑"/>
    <w:charset w:val="86"/>
    <w:family w:val="script"/>
    <w:pitch w:val="default"/>
    <w:sig w:usb0="00000000" w:usb1="0000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12" w:usb3="00000000" w:csb0="00040001" w:csb1="00000000"/>
  </w:font>
  <w:font w:name="方正黑体简体">
    <w:altName w:val="微软雅黑"/>
    <w:charset w:val="86"/>
    <w:family w:val="auto"/>
    <w:pitch w:val="default"/>
    <w:sig w:usb0="00000000" w:usb1="00000000" w:usb2="00000012"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714EA0"/>
    <w:multiLevelType w:val="singleLevel"/>
    <w:tmpl w:val="8E714EA0"/>
    <w:lvl w:ilvl="0">
      <w:start w:val="2"/>
      <w:numFmt w:val="chineseCounting"/>
      <w:suff w:val="nothing"/>
      <w:lvlText w:val="（%1）"/>
      <w:lvlJc w:val="left"/>
      <w:rPr>
        <w:rFonts w:hint="eastAsia"/>
      </w:rPr>
    </w:lvl>
  </w:abstractNum>
  <w:abstractNum w:abstractNumId="1" w15:restartNumberingAfterBreak="0">
    <w:nsid w:val="D41279A4"/>
    <w:multiLevelType w:val="singleLevel"/>
    <w:tmpl w:val="D41279A4"/>
    <w:lvl w:ilvl="0">
      <w:start w:val="3"/>
      <w:numFmt w:val="decimal"/>
      <w:suff w:val="nothing"/>
      <w:lvlText w:val="（%1）"/>
      <w:lvlJc w:val="left"/>
    </w:lvl>
  </w:abstractNum>
  <w:num w:numId="1" w16cid:durableId="14504517">
    <w:abstractNumId w:val="0"/>
  </w:num>
  <w:num w:numId="2" w16cid:durableId="824661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36448"/>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05F4"/>
    <w:rsid w:val="009F3852"/>
    <w:rsid w:val="00A126A9"/>
    <w:rsid w:val="00A31366"/>
    <w:rsid w:val="00A5128A"/>
    <w:rsid w:val="00A63A7B"/>
    <w:rsid w:val="00A662E5"/>
    <w:rsid w:val="00AD5912"/>
    <w:rsid w:val="00B022E4"/>
    <w:rsid w:val="00B039E5"/>
    <w:rsid w:val="00B25AE7"/>
    <w:rsid w:val="00B43522"/>
    <w:rsid w:val="00B9149A"/>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79E1850"/>
    <w:rsid w:val="085A7547"/>
    <w:rsid w:val="086A5B0F"/>
    <w:rsid w:val="09277255"/>
    <w:rsid w:val="0939263C"/>
    <w:rsid w:val="097807C5"/>
    <w:rsid w:val="0A531B8B"/>
    <w:rsid w:val="0E2D1421"/>
    <w:rsid w:val="0F484CBE"/>
    <w:rsid w:val="0F4C0664"/>
    <w:rsid w:val="0F9C78ED"/>
    <w:rsid w:val="11970B0A"/>
    <w:rsid w:val="141C6243"/>
    <w:rsid w:val="17662B13"/>
    <w:rsid w:val="1A7D2E72"/>
    <w:rsid w:val="1ACC0302"/>
    <w:rsid w:val="1CEF2574"/>
    <w:rsid w:val="1EA44789"/>
    <w:rsid w:val="227375DB"/>
    <w:rsid w:val="228E70A2"/>
    <w:rsid w:val="26721AD3"/>
    <w:rsid w:val="29F9207F"/>
    <w:rsid w:val="2A1338B7"/>
    <w:rsid w:val="2A43029A"/>
    <w:rsid w:val="2B2E0D84"/>
    <w:rsid w:val="2CC55A3E"/>
    <w:rsid w:val="2DBD1F59"/>
    <w:rsid w:val="2DC93154"/>
    <w:rsid w:val="2F187AB3"/>
    <w:rsid w:val="2F2E1EC8"/>
    <w:rsid w:val="30E07F90"/>
    <w:rsid w:val="317B3D8C"/>
    <w:rsid w:val="31D54BF2"/>
    <w:rsid w:val="33ED5427"/>
    <w:rsid w:val="3455214F"/>
    <w:rsid w:val="353C0AD7"/>
    <w:rsid w:val="3B2B6289"/>
    <w:rsid w:val="3C961810"/>
    <w:rsid w:val="3CCA3DC7"/>
    <w:rsid w:val="3F663CE1"/>
    <w:rsid w:val="3FCF7D06"/>
    <w:rsid w:val="4B6940BF"/>
    <w:rsid w:val="4D457C38"/>
    <w:rsid w:val="4E31105E"/>
    <w:rsid w:val="4E335F58"/>
    <w:rsid w:val="4EB433E3"/>
    <w:rsid w:val="4ECD6109"/>
    <w:rsid w:val="517E1B32"/>
    <w:rsid w:val="555C287A"/>
    <w:rsid w:val="55D03A95"/>
    <w:rsid w:val="56181891"/>
    <w:rsid w:val="593545D7"/>
    <w:rsid w:val="599F2F96"/>
    <w:rsid w:val="5D6176A7"/>
    <w:rsid w:val="5E8D3300"/>
    <w:rsid w:val="61344661"/>
    <w:rsid w:val="616E0F8F"/>
    <w:rsid w:val="63873F73"/>
    <w:rsid w:val="663D2EA8"/>
    <w:rsid w:val="66540FAC"/>
    <w:rsid w:val="6FE15325"/>
    <w:rsid w:val="71CD7A98"/>
    <w:rsid w:val="77E4684B"/>
    <w:rsid w:val="7810477E"/>
    <w:rsid w:val="7AA118FA"/>
    <w:rsid w:val="7D086F90"/>
    <w:rsid w:val="7D183F2C"/>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3CC98"/>
  <w15:docId w15:val="{BFDAED6F-3AD9-4D03-9B0B-83F1F558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Plain Text"/>
    <w:basedOn w:val="a"/>
    <w:qFormat/>
    <w:rPr>
      <w:rFonts w:ascii="宋体" w:hAnsi="Courier New" w:cs="Courier New"/>
      <w:szCs w:val="21"/>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jc w:val="left"/>
    </w:pPr>
    <w:rPr>
      <w:rFonts w:cs="Times New Roman"/>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character" w:styleId="ac">
    <w:name w:val="annotation reference"/>
    <w:basedOn w:val="a0"/>
    <w:uiPriority w:val="99"/>
    <w:semiHidden/>
    <w:unhideWhenUsed/>
    <w:qFormat/>
    <w:rPr>
      <w:sz w:val="21"/>
      <w:szCs w:val="21"/>
    </w:rPr>
  </w:style>
  <w:style w:type="paragraph" w:styleId="ad">
    <w:name w:val="List Paragraph"/>
    <w:basedOn w:val="a"/>
    <w:uiPriority w:val="99"/>
    <w:qFormat/>
    <w:pPr>
      <w:ind w:firstLineChars="200" w:firstLine="420"/>
    </w:p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qFormat/>
    <w:rPr>
      <w:rFonts w:asciiTheme="minorHAnsi" w:eastAsiaTheme="minorEastAsia" w:hAnsiTheme="minorHAnsi" w:cstheme="minorBidi"/>
      <w:kern w:val="2"/>
      <w:sz w:val="18"/>
      <w:szCs w:val="18"/>
    </w:rPr>
  </w:style>
  <w:style w:type="paragraph" w:customStyle="1" w:styleId="Ae">
    <w:name w:val="正文A"/>
    <w:basedOn w:val="a"/>
    <w:uiPriority w:val="4"/>
    <w:qFormat/>
    <w:pPr>
      <w:widowControl/>
      <w:spacing w:line="580" w:lineRule="exact"/>
      <w:ind w:firstLine="640"/>
      <w:jc w:val="left"/>
    </w:pPr>
    <w:rPr>
      <w:rFonts w:ascii="仿宋_GB2312" w:eastAsia="仿宋_GB2312" w:hAnsi="仿宋_GB2312" w:cs="宋体"/>
      <w:sz w:val="32"/>
      <w:szCs w:val="32"/>
    </w:rPr>
  </w:style>
  <w:style w:type="paragraph" w:customStyle="1" w:styleId="-">
    <w:name w:val="闻政-正文段落文字"/>
    <w:basedOn w:val="a"/>
    <w:uiPriority w:val="3"/>
    <w:qFormat/>
    <w:pPr>
      <w:spacing w:line="500" w:lineRule="exact"/>
      <w:ind w:firstLineChars="200" w:firstLine="200"/>
    </w:pPr>
    <w:rPr>
      <w:rFonts w:ascii="Times New Roman" w:eastAsia="仿宋_GB2312"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1292</Words>
  <Characters>7366</Characters>
  <Application>Microsoft Office Word</Application>
  <DocSecurity>0</DocSecurity>
  <Lines>61</Lines>
  <Paragraphs>17</Paragraphs>
  <ScaleCrop>false</ScaleCrop>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普天鹏华郭丽娜</dc:creator>
  <cp:lastModifiedBy>Don Wong</cp:lastModifiedBy>
  <cp:revision>97</cp:revision>
  <dcterms:created xsi:type="dcterms:W3CDTF">2020-02-09T05:06:00Z</dcterms:created>
  <dcterms:modified xsi:type="dcterms:W3CDTF">2025-02-10T06:33:00Z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2052-11.1.0.11339</vt:lpwstr>
  </property>
  <property fmtid="{D5CDD505-2E9C-101B-9397-08002B2CF9AE}" pid="3" name="KSOSaveFontToCloudKey">
    <vt:lpwstr>405071676_stopsync</vt:lpwstr>
  </property>
  <property fmtid="{D5CDD505-2E9C-101B-9397-08002B2CF9AE}" pid="4" name="ICV">
    <vt:lpwstr>B97F772AD34546D294CAEEC88B538755</vt:lpwstr>
  </property>
</Properties>
</file>