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spacing w:line="540" w:lineRule="exact"/>
        <w:jc w:val="center"/>
        <w:rPr>
          <w:rFonts w:ascii="方正小标宋_GBK" w:hAnsi="华文中宋" w:eastAsia="方正小标宋_GBK" w:cs="宋体"/>
          <w:b/>
          <w:color w:val="000000" w:themeColor="text1"/>
          <w:kern w:val="0"/>
          <w:sz w:val="48"/>
          <w:szCs w:val="48"/>
        </w:rPr>
      </w:pP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lang w:val="en-US" w:eastAsia="zh-CN"/>
        </w:rPr>
        <w:t>和田市</w:t>
      </w:r>
      <w:r>
        <w:rPr>
          <w:rFonts w:hint="eastAsia" w:ascii="方正小标宋_GBK" w:hAnsi="华文中宋" w:eastAsia="方正小标宋_GBK" w:cs="宋体"/>
          <w:b/>
          <w:color w:val="000000" w:themeColor="text1"/>
          <w:kern w:val="0"/>
          <w:sz w:val="44"/>
          <w:szCs w:val="44"/>
          <w:lang w:eastAsia="zh-CN"/>
        </w:rPr>
        <w:t>人民政府</w:t>
      </w:r>
      <w:r>
        <w:rPr>
          <w:rFonts w:hint="eastAsia" w:ascii="方正小标宋_GBK" w:hAnsi="华文中宋" w:eastAsia="方正小标宋_GBK" w:cs="宋体"/>
          <w:b/>
          <w:color w:val="000000" w:themeColor="text1"/>
          <w:kern w:val="0"/>
          <w:sz w:val="44"/>
          <w:szCs w:val="44"/>
        </w:rPr>
        <w:t>整体支出</w:t>
      </w:r>
    </w:p>
    <w:p>
      <w:pPr>
        <w:spacing w:line="600" w:lineRule="exact"/>
        <w:jc w:val="center"/>
        <w:rPr>
          <w:rFonts w:ascii="方正小标宋_GBK" w:hAnsi="华文中宋" w:eastAsia="方正小标宋_GBK" w:cs="宋体"/>
          <w:b/>
          <w:color w:val="000000" w:themeColor="text1"/>
          <w:kern w:val="0"/>
          <w:sz w:val="44"/>
          <w:szCs w:val="44"/>
        </w:rPr>
      </w:pPr>
      <w:r>
        <w:rPr>
          <w:rFonts w:hint="eastAsia" w:ascii="方正小标宋_GBK" w:hAnsi="华文中宋" w:eastAsia="方正小标宋_GBK" w:cs="宋体"/>
          <w:b/>
          <w:color w:val="000000" w:themeColor="text1"/>
          <w:kern w:val="0"/>
          <w:sz w:val="44"/>
          <w:szCs w:val="44"/>
        </w:rPr>
        <w:t>绩效自评报告</w:t>
      </w:r>
    </w:p>
    <w:p>
      <w:pPr>
        <w:spacing w:line="540" w:lineRule="exact"/>
        <w:jc w:val="center"/>
        <w:rPr>
          <w:rFonts w:ascii="Times New Roman" w:hAnsi="宋体" w:eastAsia="仿宋_GB2312" w:cs="宋体"/>
          <w:color w:val="000000" w:themeColor="text1"/>
          <w:kern w:val="0"/>
          <w:sz w:val="36"/>
          <w:szCs w:val="36"/>
        </w:rPr>
      </w:pPr>
    </w:p>
    <w:p>
      <w:pPr>
        <w:jc w:val="center"/>
        <w:rPr>
          <w:rFonts w:hint="eastAsia" w:ascii="仿宋_GB2312" w:hAnsi="宋体" w:eastAsia="仿宋_GB2312" w:cs="宋体"/>
          <w:color w:val="000000" w:themeColor="text1"/>
          <w:kern w:val="0"/>
          <w:sz w:val="36"/>
          <w:szCs w:val="36"/>
        </w:rPr>
      </w:pPr>
      <w:r>
        <w:rPr>
          <w:rFonts w:hint="eastAsia" w:ascii="仿宋_GB2312" w:hAnsi="宋体" w:eastAsia="仿宋_GB2312" w:cs="宋体"/>
          <w:color w:val="000000" w:themeColor="text1"/>
          <w:kern w:val="0"/>
          <w:sz w:val="36"/>
          <w:szCs w:val="36"/>
        </w:rPr>
        <w:t>（</w:t>
      </w:r>
      <w:r>
        <w:rPr>
          <w:rFonts w:hint="eastAsia" w:ascii="仿宋_GB2312" w:hAnsi="宋体" w:eastAsia="仿宋_GB2312" w:cs="宋体"/>
          <w:color w:val="000000" w:themeColor="text1"/>
          <w:kern w:val="0"/>
          <w:sz w:val="36"/>
          <w:szCs w:val="36"/>
          <w:lang w:eastAsia="zh-CN"/>
        </w:rPr>
        <w:t>2021</w:t>
      </w:r>
      <w:r>
        <w:rPr>
          <w:rFonts w:hint="eastAsia" w:ascii="仿宋_GB2312" w:hAnsi="宋体" w:eastAsia="仿宋_GB2312" w:cs="宋体"/>
          <w:color w:val="000000" w:themeColor="text1"/>
          <w:kern w:val="0"/>
          <w:sz w:val="36"/>
          <w:szCs w:val="36"/>
        </w:rPr>
        <w:t>年度）</w:t>
      </w:r>
    </w:p>
    <w:p/>
    <w:p/>
    <w:p/>
    <w:p/>
    <w:p/>
    <w:p/>
    <w:p/>
    <w:p/>
    <w:p/>
    <w:p/>
    <w:p/>
    <w:p/>
    <w:p/>
    <w:p/>
    <w:p/>
    <w:p/>
    <w:p/>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单位名称（公章）：</w:t>
      </w:r>
      <w:r>
        <w:rPr>
          <w:rFonts w:hint="eastAsia" w:ascii="Times New Roman" w:hAnsi="宋体" w:eastAsia="仿宋_GB2312" w:cs="宋体"/>
          <w:color w:val="000000" w:themeColor="text1"/>
          <w:kern w:val="0"/>
          <w:sz w:val="36"/>
          <w:szCs w:val="36"/>
          <w:lang w:eastAsia="zh-CN"/>
        </w:rPr>
        <w:t>和田市人民政府</w:t>
      </w:r>
    </w:p>
    <w:p>
      <w:pPr>
        <w:rPr>
          <w:rFonts w:ascii="Times New Roman" w:hAnsi="宋体" w:eastAsia="仿宋_GB2312" w:cs="宋体"/>
          <w:color w:val="000000" w:themeColor="text1"/>
          <w:kern w:val="0"/>
          <w:sz w:val="36"/>
          <w:szCs w:val="36"/>
        </w:rPr>
      </w:pPr>
      <w:r>
        <w:rPr>
          <w:rFonts w:hint="eastAsia" w:ascii="Times New Roman" w:hAnsi="宋体" w:eastAsia="仿宋_GB2312" w:cs="宋体"/>
          <w:color w:val="000000" w:themeColor="text1"/>
          <w:kern w:val="0"/>
          <w:sz w:val="36"/>
          <w:szCs w:val="36"/>
        </w:rPr>
        <w:t xml:space="preserve">填报时间：  </w:t>
      </w:r>
      <w:r>
        <w:rPr>
          <w:rFonts w:hint="eastAsia" w:ascii="Times New Roman" w:hAnsi="宋体" w:eastAsia="仿宋_GB2312" w:cs="宋体"/>
          <w:color w:val="000000" w:themeColor="text1"/>
          <w:kern w:val="0"/>
          <w:sz w:val="36"/>
          <w:szCs w:val="36"/>
          <w:lang w:val="en-US" w:eastAsia="zh-CN"/>
        </w:rPr>
        <w:t>2022</w:t>
      </w:r>
      <w:r>
        <w:rPr>
          <w:rFonts w:hint="eastAsia" w:ascii="Times New Roman" w:hAnsi="宋体" w:eastAsia="仿宋_GB2312" w:cs="宋体"/>
          <w:color w:val="000000" w:themeColor="text1"/>
          <w:kern w:val="0"/>
          <w:sz w:val="36"/>
          <w:szCs w:val="36"/>
        </w:rPr>
        <w:t xml:space="preserve">年 </w:t>
      </w:r>
      <w:r>
        <w:rPr>
          <w:rFonts w:hint="eastAsia" w:ascii="Times New Roman" w:hAnsi="宋体" w:eastAsia="仿宋_GB2312" w:cs="宋体"/>
          <w:color w:val="000000" w:themeColor="text1"/>
          <w:kern w:val="0"/>
          <w:sz w:val="36"/>
          <w:szCs w:val="36"/>
          <w:lang w:val="en-US" w:eastAsia="zh-CN"/>
        </w:rPr>
        <w:t>2</w:t>
      </w:r>
      <w:r>
        <w:rPr>
          <w:rFonts w:hint="eastAsia" w:ascii="Times New Roman" w:hAnsi="宋体" w:eastAsia="仿宋_GB2312" w:cs="宋体"/>
          <w:color w:val="000000" w:themeColor="text1"/>
          <w:kern w:val="0"/>
          <w:sz w:val="36"/>
          <w:szCs w:val="36"/>
        </w:rPr>
        <w:t xml:space="preserve"> 月  </w:t>
      </w:r>
      <w:r>
        <w:rPr>
          <w:rFonts w:hint="eastAsia" w:ascii="Times New Roman" w:hAnsi="宋体" w:eastAsia="仿宋_GB2312" w:cs="宋体"/>
          <w:color w:val="000000" w:themeColor="text1"/>
          <w:kern w:val="0"/>
          <w:sz w:val="36"/>
          <w:szCs w:val="36"/>
          <w:lang w:val="en-US" w:eastAsia="zh-CN"/>
        </w:rPr>
        <w:t>17</w:t>
      </w:r>
      <w:r>
        <w:rPr>
          <w:rFonts w:hint="eastAsia" w:ascii="Times New Roman" w:hAnsi="宋体" w:eastAsia="仿宋_GB2312" w:cs="宋体"/>
          <w:color w:val="000000" w:themeColor="text1"/>
          <w:kern w:val="0"/>
          <w:sz w:val="36"/>
          <w:szCs w:val="36"/>
        </w:rPr>
        <w:t>日</w:t>
      </w:r>
    </w:p>
    <w:p>
      <w:pPr>
        <w:rPr>
          <w:rFonts w:ascii="Times New Roman" w:hAnsi="宋体" w:eastAsia="仿宋_GB2312" w:cs="宋体"/>
          <w:color w:val="000000" w:themeColor="text1"/>
          <w:kern w:val="0"/>
          <w:sz w:val="36"/>
          <w:szCs w:val="36"/>
        </w:rPr>
      </w:pPr>
    </w:p>
    <w:p>
      <w:pPr>
        <w:rPr>
          <w:rFonts w:ascii="方正小标宋简体" w:hAnsi="宋体" w:eastAsia="方正小标宋简体" w:cs="宋体"/>
          <w:color w:val="000000" w:themeColor="text1"/>
          <w:kern w:val="0"/>
          <w:sz w:val="36"/>
          <w:szCs w:val="36"/>
        </w:rPr>
      </w:pPr>
    </w:p>
    <w:p>
      <w:pPr>
        <w:pStyle w:val="2"/>
      </w:pPr>
    </w:p>
    <w:p/>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一、基本概况</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（一）单位基本情况</w:t>
      </w:r>
    </w:p>
    <w:p>
      <w:pPr>
        <w:pStyle w:val="16"/>
        <w:ind w:firstLine="640" w:firstLineChars="200"/>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1．</w:t>
      </w:r>
      <w:r>
        <w:rPr>
          <w:rFonts w:hint="eastAsia" w:ascii="仿宋_GB2312" w:hAnsi="仿宋_GB2312" w:eastAsia="仿宋_GB2312" w:cs="仿宋_GB2312"/>
          <w:bCs/>
          <w:color w:val="000000" w:themeColor="text1"/>
          <w:sz w:val="32"/>
          <w:szCs w:val="32"/>
          <w:lang w:val="en-US" w:eastAsia="zh-CN"/>
        </w:rPr>
        <w:t>单位</w:t>
      </w:r>
      <w:r>
        <w:rPr>
          <w:rFonts w:hint="eastAsia" w:ascii="仿宋_GB2312" w:hAnsi="仿宋_GB2312" w:eastAsia="仿宋_GB2312" w:cs="仿宋_GB2312"/>
          <w:bCs/>
          <w:color w:val="000000" w:themeColor="text1"/>
          <w:sz w:val="32"/>
          <w:szCs w:val="32"/>
        </w:rPr>
        <w:t>主要职能</w:t>
      </w:r>
    </w:p>
    <w:p>
      <w:pPr>
        <w:pStyle w:val="16"/>
        <w:ind w:firstLine="640" w:firstLineChars="200"/>
        <w:rPr>
          <w:rFonts w:hint="eastAsia" w:ascii="仿宋" w:hAnsi="仿宋" w:eastAsia="仿宋" w:cs="仿宋"/>
          <w:b w:val="0"/>
          <w:bCs w:val="0"/>
          <w:sz w:val="32"/>
          <w:szCs w:val="32"/>
          <w:lang w:val="en-US" w:eastAsia="zh-CN"/>
        </w:rPr>
      </w:pPr>
      <w:r>
        <w:rPr>
          <w:rFonts w:hint="eastAsia" w:ascii="仿宋_GB2312" w:hAnsi="仿宋_GB2312" w:eastAsia="仿宋_GB2312" w:cs="仿宋_GB2312"/>
          <w:b w:val="0"/>
          <w:bCs w:val="0"/>
          <w:sz w:val="32"/>
          <w:szCs w:val="32"/>
          <w:lang w:val="en-US" w:eastAsia="zh-CN"/>
        </w:rPr>
        <w:t>带领和田市政府各部门，实施全市国民经济和社会发展战略、方针、规划；负责市政府各类会议的会务、记录、翻译、会议纪要整理工作；负责市政府领导参加重大活动的组织、协调和安排；负责和田市应急管理、重大疾病、疫情防控管理工作；负责和田市委、市政府后勤保障各项职能，负责公务用车管理、办公用房管理及和田市节能减排相关职能；负责市委、市政府各类接待工作，</w:t>
      </w:r>
      <w:r>
        <w:rPr>
          <w:rFonts w:hint="eastAsia" w:ascii="仿宋_GB2312" w:hAnsi="仿宋_GB2312" w:eastAsia="仿宋_GB2312" w:cs="仿宋_GB2312"/>
          <w:sz w:val="32"/>
          <w:szCs w:val="32"/>
        </w:rPr>
        <w:t>针对招商引资</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大型</w:t>
      </w:r>
      <w:r>
        <w:rPr>
          <w:rFonts w:hint="eastAsia" w:ascii="仿宋_GB2312" w:hAnsi="仿宋_GB2312" w:eastAsia="仿宋_GB2312" w:cs="仿宋_GB2312"/>
          <w:sz w:val="32"/>
          <w:szCs w:val="32"/>
        </w:rPr>
        <w:t>会议</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接待</w:t>
      </w:r>
      <w:r>
        <w:rPr>
          <w:rFonts w:hint="eastAsia" w:ascii="仿宋_GB2312" w:hAnsi="仿宋_GB2312" w:eastAsia="仿宋_GB2312" w:cs="仿宋_GB2312"/>
          <w:sz w:val="32"/>
          <w:szCs w:val="32"/>
          <w:lang w:eastAsia="zh-CN"/>
        </w:rPr>
        <w:t>，来和田考察交流工作的各级领导干部的接待工作，各行各业政商来和调研、投资人员的接待、接洽工作，以及拥军慰问和后勤保障工作。</w:t>
      </w:r>
    </w:p>
    <w:p>
      <w:pPr>
        <w:pStyle w:val="12"/>
        <w:spacing w:line="560" w:lineRule="exact"/>
        <w:ind w:left="0" w:leftChars="0" w:firstLine="640" w:firstLineChars="20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2．</w:t>
      </w: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机构设置及人员构成</w:t>
      </w:r>
    </w:p>
    <w:p>
      <w:pPr>
        <w:pStyle w:val="12"/>
        <w:spacing w:line="560" w:lineRule="exact"/>
        <w:ind w:left="0" w:leftChars="0" w:firstLine="640" w:firstLineChars="200"/>
        <w:rPr>
          <w:rFonts w:hint="eastAsia" w:ascii="仿宋_GB2312" w:hAnsi="仿宋" w:eastAsia="仿宋_GB2312" w:cs="Times New Roman"/>
          <w:bCs/>
          <w:color w:val="000000" w:themeColor="text1"/>
          <w:kern w:val="2"/>
          <w:sz w:val="32"/>
          <w:szCs w:val="32"/>
          <w:lang w:val="en-US" w:eastAsia="zh-CN" w:bidi="ar-SA"/>
        </w:rPr>
      </w:pPr>
      <w:r>
        <w:rPr>
          <w:rFonts w:hint="eastAsia" w:ascii="仿宋_GB2312" w:hAnsi="仿宋" w:eastAsia="仿宋_GB2312" w:cs="Times New Roman"/>
          <w:bCs/>
          <w:color w:val="000000" w:themeColor="text1"/>
          <w:kern w:val="2"/>
          <w:sz w:val="32"/>
          <w:szCs w:val="32"/>
          <w:lang w:val="en-US" w:eastAsia="zh-CN" w:bidi="ar-SA"/>
        </w:rPr>
        <w:t>2021年和市人民政府属独立编制机构，核算机构1个。人员编制**人，其中：行政人员编制**人，事业人员编制**人；实有在职人员**人，其中：行政人员实有**人，事业实有**人，工勤实有**人。和田市人民政府单位无下属预算单位，下设3 个科室，分别是：和田市人民政府办公室、和田市电子政务中心、和田市机关事务服务中心。</w:t>
      </w:r>
    </w:p>
    <w:p>
      <w:pPr>
        <w:pStyle w:val="12"/>
        <w:spacing w:line="560" w:lineRule="exact"/>
        <w:ind w:firstLine="64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rPr>
        <w:t>3．202</w:t>
      </w:r>
      <w:r>
        <w:rPr>
          <w:rFonts w:hint="eastAsia" w:ascii="仿宋_GB2312" w:hAnsi="仿宋" w:eastAsia="仿宋_GB2312" w:cs="Times New Roman"/>
          <w:bCs/>
          <w:color w:val="000000" w:themeColor="text1"/>
          <w:sz w:val="32"/>
          <w:szCs w:val="32"/>
          <w:lang w:val="en-US" w:eastAsia="zh-CN"/>
        </w:rPr>
        <w:t>1</w:t>
      </w:r>
      <w:r>
        <w:rPr>
          <w:rFonts w:hint="eastAsia" w:ascii="仿宋_GB2312" w:hAnsi="仿宋" w:eastAsia="仿宋_GB2312" w:cs="Times New Roman"/>
          <w:bCs/>
          <w:color w:val="000000" w:themeColor="text1"/>
          <w:sz w:val="32"/>
          <w:szCs w:val="32"/>
        </w:rPr>
        <w:t>年度</w:t>
      </w: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 xml:space="preserve">重点工作计划 </w:t>
      </w:r>
    </w:p>
    <w:p>
      <w:pPr>
        <w:pStyle w:val="12"/>
        <w:spacing w:line="560" w:lineRule="exact"/>
        <w:ind w:firstLine="640"/>
        <w:rPr>
          <w:rFonts w:hint="eastAsia" w:ascii="仿宋" w:hAnsi="仿宋" w:eastAsia="仿宋" w:cs="仿宋"/>
          <w:sz w:val="32"/>
          <w:szCs w:val="32"/>
          <w:highlight w:val="none"/>
          <w:lang w:eastAsia="zh-CN"/>
        </w:rPr>
      </w:pPr>
      <w:r>
        <w:rPr>
          <w:rFonts w:hint="eastAsia" w:ascii="仿宋" w:hAnsi="仿宋" w:eastAsia="仿宋" w:cs="仿宋"/>
          <w:b w:val="0"/>
          <w:bCs w:val="0"/>
          <w:sz w:val="32"/>
          <w:szCs w:val="32"/>
          <w:lang w:val="en-US" w:eastAsia="zh-CN"/>
        </w:rPr>
        <w:t>严格落实和田市委、市政府后勤保障各项职能，做好市委、市政府各类接待工作，</w:t>
      </w:r>
      <w:r>
        <w:rPr>
          <w:rFonts w:hint="eastAsia" w:ascii="仿宋" w:hAnsi="仿宋" w:eastAsia="仿宋" w:cs="仿宋"/>
          <w:sz w:val="32"/>
          <w:szCs w:val="32"/>
        </w:rPr>
        <w:t>针对招商引资</w:t>
      </w:r>
      <w:r>
        <w:rPr>
          <w:rFonts w:hint="eastAsia" w:ascii="仿宋" w:hAnsi="仿宋" w:eastAsia="仿宋" w:cs="仿宋"/>
          <w:sz w:val="32"/>
          <w:szCs w:val="32"/>
          <w:lang w:eastAsia="zh-CN"/>
        </w:rPr>
        <w:t>、各</w:t>
      </w:r>
      <w:r>
        <w:rPr>
          <w:rFonts w:hint="eastAsia" w:ascii="仿宋" w:hAnsi="仿宋" w:eastAsia="仿宋" w:cs="仿宋"/>
          <w:sz w:val="32"/>
          <w:szCs w:val="32"/>
        </w:rPr>
        <w:t>类</w:t>
      </w:r>
      <w:r>
        <w:rPr>
          <w:rFonts w:hint="eastAsia" w:ascii="仿宋" w:hAnsi="仿宋" w:eastAsia="仿宋" w:cs="仿宋"/>
          <w:sz w:val="32"/>
          <w:szCs w:val="32"/>
          <w:lang w:eastAsia="zh-CN"/>
        </w:rPr>
        <w:t>大型</w:t>
      </w:r>
      <w:r>
        <w:rPr>
          <w:rFonts w:hint="eastAsia" w:ascii="仿宋" w:hAnsi="仿宋" w:eastAsia="仿宋" w:cs="仿宋"/>
          <w:sz w:val="32"/>
          <w:szCs w:val="32"/>
        </w:rPr>
        <w:t>会议</w:t>
      </w:r>
      <w:r>
        <w:rPr>
          <w:rFonts w:hint="eastAsia" w:ascii="仿宋" w:hAnsi="仿宋" w:eastAsia="仿宋" w:cs="仿宋"/>
          <w:sz w:val="32"/>
          <w:szCs w:val="32"/>
          <w:lang w:eastAsia="zh-CN"/>
        </w:rPr>
        <w:t>的</w:t>
      </w:r>
      <w:r>
        <w:rPr>
          <w:rFonts w:hint="eastAsia" w:ascii="仿宋" w:hAnsi="仿宋" w:eastAsia="仿宋" w:cs="仿宋"/>
          <w:sz w:val="32"/>
          <w:szCs w:val="32"/>
        </w:rPr>
        <w:t>接待</w:t>
      </w:r>
      <w:r>
        <w:rPr>
          <w:rFonts w:hint="eastAsia" w:ascii="仿宋" w:hAnsi="仿宋" w:eastAsia="仿宋" w:cs="仿宋"/>
          <w:sz w:val="32"/>
          <w:szCs w:val="32"/>
          <w:lang w:eastAsia="zh-CN"/>
        </w:rPr>
        <w:t>；</w:t>
      </w:r>
      <w:r>
        <w:rPr>
          <w:rFonts w:hint="eastAsia" w:ascii="仿宋" w:hAnsi="仿宋" w:eastAsia="仿宋" w:cs="仿宋"/>
          <w:sz w:val="32"/>
          <w:szCs w:val="32"/>
          <w:highlight w:val="none"/>
          <w:lang w:eastAsia="zh-CN"/>
        </w:rPr>
        <w:t>实现持续为群众提供政府公共服务能</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（二）决策过程</w:t>
      </w:r>
    </w:p>
    <w:p>
      <w:pPr>
        <w:pStyle w:val="12"/>
        <w:spacing w:line="560" w:lineRule="exact"/>
        <w:ind w:firstLine="640"/>
        <w:rPr>
          <w:rFonts w:ascii="仿宋" w:hAnsi="仿宋" w:eastAsia="仿宋" w:cs="宋体"/>
          <w:sz w:val="32"/>
          <w:szCs w:val="32"/>
        </w:rPr>
      </w:pPr>
      <w:r>
        <w:rPr>
          <w:rFonts w:hint="eastAsia" w:ascii="仿宋" w:hAnsi="仿宋" w:eastAsia="仿宋" w:cs="宋体"/>
          <w:sz w:val="32"/>
          <w:szCs w:val="32"/>
        </w:rPr>
        <w:t>本</w:t>
      </w:r>
      <w:r>
        <w:rPr>
          <w:rFonts w:hint="eastAsia" w:ascii="仿宋" w:hAnsi="仿宋" w:eastAsia="仿宋" w:cs="宋体"/>
          <w:sz w:val="32"/>
          <w:szCs w:val="32"/>
          <w:lang w:eastAsia="zh-CN"/>
        </w:rPr>
        <w:t>单位</w:t>
      </w:r>
      <w:r>
        <w:rPr>
          <w:rFonts w:hint="eastAsia" w:ascii="仿宋" w:hAnsi="仿宋" w:eastAsia="仿宋" w:cs="宋体"/>
          <w:sz w:val="32"/>
          <w:szCs w:val="32"/>
        </w:rPr>
        <w:t>的项目立项符合相关法规政策及</w:t>
      </w:r>
      <w:r>
        <w:rPr>
          <w:rFonts w:hint="eastAsia" w:ascii="仿宋" w:hAnsi="仿宋" w:eastAsia="仿宋" w:cs="宋体"/>
          <w:sz w:val="32"/>
          <w:szCs w:val="32"/>
          <w:lang w:eastAsia="zh-CN"/>
        </w:rPr>
        <w:t>单位</w:t>
      </w:r>
      <w:r>
        <w:rPr>
          <w:rFonts w:hint="eastAsia" w:ascii="仿宋" w:hAnsi="仿宋" w:eastAsia="仿宋" w:cs="宋体"/>
          <w:sz w:val="32"/>
          <w:szCs w:val="32"/>
        </w:rPr>
        <w:t>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（三）资金分配</w:t>
      </w:r>
    </w:p>
    <w:p>
      <w:pPr>
        <w:pStyle w:val="12"/>
        <w:spacing w:line="560" w:lineRule="exact"/>
        <w:ind w:firstLine="640"/>
        <w:rPr>
          <w:rFonts w:ascii="仿宋" w:hAnsi="仿宋" w:eastAsia="仿宋" w:cs="宋体"/>
          <w:sz w:val="32"/>
          <w:szCs w:val="32"/>
        </w:rPr>
      </w:pPr>
      <w:r>
        <w:rPr>
          <w:rFonts w:hint="eastAsia" w:ascii="仿宋" w:hAnsi="仿宋" w:eastAsia="仿宋" w:cs="宋体"/>
          <w:sz w:val="32"/>
          <w:szCs w:val="32"/>
        </w:rPr>
        <w:t>在资金投入方面，预算编制经过科学论证、有明确标准，资金额度与年度目标一致，用以反映和考核项目预算编制的科学性、合理性情况。</w:t>
      </w:r>
      <w:r>
        <w:rPr>
          <w:rFonts w:hint="eastAsia" w:ascii="仿宋" w:hAnsi="仿宋" w:eastAsia="仿宋" w:cs="宋体"/>
          <w:color w:val="auto"/>
          <w:sz w:val="32"/>
          <w:szCs w:val="32"/>
        </w:rPr>
        <w:t>本年度合理安排重点项目与</w:t>
      </w:r>
      <w:r>
        <w:rPr>
          <w:rFonts w:hint="eastAsia" w:ascii="仿宋" w:hAnsi="仿宋" w:eastAsia="仿宋" w:cs="宋体"/>
          <w:color w:val="auto"/>
          <w:sz w:val="32"/>
          <w:szCs w:val="32"/>
          <w:lang w:eastAsia="zh-CN"/>
        </w:rPr>
        <w:t>单位</w:t>
      </w:r>
      <w:r>
        <w:rPr>
          <w:rFonts w:hint="eastAsia" w:ascii="仿宋" w:hAnsi="仿宋" w:eastAsia="仿宋" w:cs="宋体"/>
          <w:color w:val="auto"/>
          <w:sz w:val="32"/>
          <w:szCs w:val="32"/>
        </w:rPr>
        <w:t>项目资金，根据相关文件要求设置了绩效目标，项目绩效目标基本合理，与实际工作内容相关；项目预期产出效益和效果符合正常的业绩水平；与预算确定的项目投</w:t>
      </w:r>
      <w:r>
        <w:rPr>
          <w:rFonts w:hint="eastAsia" w:ascii="仿宋" w:hAnsi="仿宋" w:eastAsia="仿宋" w:cs="宋体"/>
          <w:sz w:val="32"/>
          <w:szCs w:val="32"/>
        </w:rPr>
        <w:t>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（四）</w:t>
      </w:r>
      <w:r>
        <w:rPr>
          <w:rStyle w:val="10"/>
          <w:rFonts w:hint="eastAsia" w:ascii="楷体" w:hAnsi="楷体" w:eastAsia="楷体" w:cs="Times New Roman"/>
          <w:b w:val="0"/>
          <w:bCs w:val="0"/>
          <w:color w:val="000000" w:themeColor="text1"/>
          <w:spacing w:val="-4"/>
          <w:sz w:val="32"/>
          <w:szCs w:val="32"/>
          <w:lang w:eastAsia="zh-CN"/>
        </w:rPr>
        <w:t>单位</w:t>
      </w:r>
      <w:r>
        <w:rPr>
          <w:rStyle w:val="10"/>
          <w:rFonts w:hint="eastAsia" w:ascii="楷体" w:hAnsi="楷体" w:eastAsia="楷体" w:cs="Times New Roman"/>
          <w:b w:val="0"/>
          <w:bCs w:val="0"/>
          <w:color w:val="000000" w:themeColor="text1"/>
          <w:spacing w:val="-4"/>
          <w:sz w:val="32"/>
          <w:szCs w:val="32"/>
        </w:rPr>
        <w:t>整体支出规模、使用方法、主要内容及涉及范围</w:t>
      </w:r>
    </w:p>
    <w:p>
      <w:pPr>
        <w:spacing w:line="560" w:lineRule="exact"/>
        <w:ind w:firstLine="643" w:firstLineChars="200"/>
        <w:rPr>
          <w:rFonts w:hint="eastAsia" w:ascii="仿宋_GB2312" w:hAnsi="方正楷体简体" w:eastAsia="仿宋_GB2312" w:cs="宋体"/>
          <w:b/>
          <w:bCs/>
          <w:color w:val="auto"/>
          <w:sz w:val="32"/>
          <w:szCs w:val="32"/>
          <w:highlight w:val="none"/>
          <w:lang w:eastAsia="zh-CN"/>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eastAsia="zh-CN"/>
        </w:rPr>
        <w:t>和田市人民政府</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1978.88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1978.88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2358.06</w:t>
      </w:r>
      <w:r>
        <w:rPr>
          <w:rFonts w:hint="eastAsia" w:ascii="仿宋_GB2312" w:hAnsi="方正楷体简体" w:eastAsia="仿宋_GB2312" w:cs="宋体"/>
          <w:color w:val="auto"/>
          <w:sz w:val="32"/>
          <w:szCs w:val="32"/>
          <w:highlight w:val="none"/>
        </w:rPr>
        <w:t>万元减少</w:t>
      </w:r>
      <w:r>
        <w:rPr>
          <w:rFonts w:hint="eastAsia" w:ascii="仿宋_GB2312" w:hAnsi="方正楷体简体" w:eastAsia="仿宋_GB2312" w:cs="宋体"/>
          <w:color w:val="auto"/>
          <w:sz w:val="32"/>
          <w:szCs w:val="32"/>
          <w:highlight w:val="none"/>
          <w:lang w:val="en-US" w:eastAsia="zh-CN"/>
        </w:rPr>
        <w:t>379.18</w:t>
      </w:r>
      <w:r>
        <w:rPr>
          <w:rFonts w:hint="eastAsia" w:ascii="仿宋_GB2312" w:hAnsi="方正楷体简体" w:eastAsia="仿宋_GB2312" w:cs="宋体"/>
          <w:color w:val="auto"/>
          <w:sz w:val="32"/>
          <w:szCs w:val="32"/>
          <w:highlight w:val="none"/>
        </w:rPr>
        <w:t>万元，减幅：</w:t>
      </w:r>
      <w:r>
        <w:rPr>
          <w:rFonts w:hint="eastAsia" w:ascii="仿宋_GB2312" w:hAnsi="方正楷体简体" w:eastAsia="仿宋_GB2312" w:cs="宋体"/>
          <w:color w:val="auto"/>
          <w:sz w:val="32"/>
          <w:szCs w:val="32"/>
          <w:highlight w:val="none"/>
          <w:lang w:val="en-US" w:eastAsia="zh-CN"/>
        </w:rPr>
        <w:t>16.1</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eastAsia="zh-CN"/>
        </w:rPr>
        <w:t>本年疫情防控支出较去年支出减少。</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1628.25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1628.25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1628.25</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330.63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330.63</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330.63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330.63</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20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3．主要内容及涉及范围</w:t>
      </w:r>
    </w:p>
    <w:p>
      <w:pPr>
        <w:pStyle w:val="15"/>
        <w:spacing w:line="560" w:lineRule="exact"/>
        <w:ind w:firstLineChars="200"/>
        <w:jc w:val="both"/>
        <w:rPr>
          <w:rFonts w:hAnsi="方正楷体简体"/>
        </w:rPr>
      </w:pPr>
      <w:r>
        <w:rPr>
          <w:rFonts w:hint="eastAsia" w:hAnsi="方正楷体简体"/>
        </w:rPr>
        <w:t>（1）基本支出包括人员经费和公用经费。公用经费主要包括：办公费、印刷费、咨询费、手续费、水费、电费、邮电费、取暖费、物业管理费、差旅费、维修（护）费、租赁费、会议费、培训费、</w:t>
      </w:r>
      <w:r>
        <w:rPr>
          <w:rFonts w:hint="eastAsia" w:hAnsi="方正楷体简体"/>
          <w:color w:val="auto"/>
        </w:rPr>
        <w:t>公务接待费、</w:t>
      </w:r>
      <w:r>
        <w:rPr>
          <w:rFonts w:hint="eastAsia" w:hAnsi="方正楷体简体"/>
        </w:rPr>
        <w:t>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FF0000"/>
        </w:rPr>
      </w:pPr>
      <w:r>
        <w:rPr>
          <w:rFonts w:hint="eastAsia" w:hAnsi="方正楷体简体"/>
        </w:rPr>
        <w:t>（2）202</w:t>
      </w:r>
      <w:r>
        <w:rPr>
          <w:rFonts w:hint="eastAsia" w:hAnsi="方正楷体简体"/>
          <w:lang w:val="en-US" w:eastAsia="zh-CN"/>
        </w:rPr>
        <w:t>1</w:t>
      </w:r>
      <w:r>
        <w:rPr>
          <w:rFonts w:hint="eastAsia" w:hAnsi="方正楷体简体"/>
        </w:rPr>
        <w:t>年度</w:t>
      </w:r>
      <w:r>
        <w:rPr>
          <w:rFonts w:hint="eastAsia" w:hAnsi="方正楷体简体"/>
          <w:lang w:eastAsia="zh-CN"/>
        </w:rPr>
        <w:t>和田市人民政府</w:t>
      </w:r>
      <w:r>
        <w:rPr>
          <w:rFonts w:hint="eastAsia" w:hAnsi="方正楷体简体"/>
        </w:rPr>
        <w:t>项目支出共涉及</w:t>
      </w:r>
      <w:r>
        <w:rPr>
          <w:rFonts w:hint="eastAsia" w:hAnsi="方正楷体简体"/>
          <w:lang w:val="en-US" w:eastAsia="zh-CN"/>
        </w:rPr>
        <w:t>1</w:t>
      </w:r>
      <w:r>
        <w:rPr>
          <w:rFonts w:hint="eastAsia" w:hAnsi="方正楷体简体"/>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sz w:val="32"/>
                <w:szCs w:val="32"/>
              </w:rPr>
            </w:pPr>
            <w:r>
              <w:rPr>
                <w:rFonts w:hint="eastAsia" w:ascii="仿宋_GB2312" w:hAnsi="仿宋" w:eastAsia="仿宋_GB2312" w:cs="宋体"/>
                <w:sz w:val="32"/>
                <w:szCs w:val="32"/>
                <w:lang w:eastAsia="zh-CN"/>
              </w:rPr>
              <w:t>业务费</w:t>
            </w:r>
            <w:r>
              <w:rPr>
                <w:rFonts w:hint="eastAsia" w:ascii="仿宋_GB2312" w:hAnsi="仿宋" w:eastAsia="仿宋_GB2312" w:cs="宋体"/>
                <w:sz w:val="32"/>
                <w:szCs w:val="32"/>
              </w:rPr>
              <w:t>项目</w:t>
            </w:r>
          </w:p>
        </w:tc>
        <w:tc>
          <w:tcPr>
            <w:tcW w:w="4261" w:type="dxa"/>
            <w:vAlign w:val="center"/>
          </w:tcPr>
          <w:p>
            <w:pPr>
              <w:pStyle w:val="12"/>
              <w:spacing w:line="560" w:lineRule="exact"/>
              <w:ind w:firstLine="200" w:firstLineChars="0"/>
              <w:rPr>
                <w:rFonts w:hint="default" w:ascii="仿宋_GB2312" w:hAnsi="仿宋" w:eastAsia="仿宋_GB2312" w:cs="宋体"/>
                <w:sz w:val="32"/>
                <w:szCs w:val="32"/>
                <w:lang w:val="en-US" w:eastAsia="zh-CN"/>
              </w:rPr>
            </w:pPr>
            <w:r>
              <w:rPr>
                <w:rFonts w:hint="eastAsia" w:ascii="仿宋_GB2312" w:hAnsi="仿宋" w:eastAsia="仿宋_GB2312" w:cs="宋体"/>
                <w:sz w:val="32"/>
                <w:szCs w:val="32"/>
                <w:lang w:val="en-US" w:eastAsia="zh-CN"/>
              </w:rPr>
              <w:t>330.63万元</w:t>
            </w:r>
          </w:p>
        </w:tc>
      </w:tr>
    </w:tbl>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二、</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整体支出管理及使用情况</w:t>
      </w:r>
    </w:p>
    <w:p>
      <w:pPr>
        <w:spacing w:line="560" w:lineRule="exact"/>
        <w:ind w:firstLine="624" w:firstLineChars="200"/>
        <w:rPr>
          <w:rStyle w:val="10"/>
          <w:rFonts w:ascii="楷体" w:hAnsi="楷体" w:eastAsia="楷体" w:cs="Times New Roman"/>
          <w:b w:val="0"/>
          <w:bCs w:val="0"/>
          <w:color w:val="000000" w:themeColor="text1"/>
          <w:spacing w:val="-4"/>
        </w:rPr>
      </w:pPr>
      <w:r>
        <w:rPr>
          <w:rStyle w:val="10"/>
          <w:rFonts w:hint="eastAsia" w:ascii="楷体" w:hAnsi="楷体" w:eastAsia="楷体" w:cs="Times New Roman"/>
          <w:b w:val="0"/>
          <w:bCs w:val="0"/>
          <w:color w:val="000000" w:themeColor="text1"/>
          <w:spacing w:val="-4"/>
          <w:sz w:val="32"/>
          <w:szCs w:val="32"/>
        </w:rPr>
        <w:t>（一）资金管理情况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lang w:eastAsia="zh-CN"/>
        </w:rPr>
        <w:t>内控</w:t>
      </w:r>
      <w:r>
        <w:rPr>
          <w:rFonts w:hint="eastAsia" w:ascii="仿宋_GB2312" w:hAnsi="方正楷体简体" w:eastAsia="仿宋_GB2312" w:cs="宋体"/>
          <w:color w:val="auto"/>
          <w:sz w:val="32"/>
          <w:szCs w:val="32"/>
        </w:rPr>
        <w:t>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1．基本支出管理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尤其是“三公"经费严格控制在预算指标内。接待费的报销必须附有接待公函、接待清单、接待明细及公务员卡poss机票,车辆运行开支由办公室统一安排调配使用。</w:t>
      </w:r>
    </w:p>
    <w:p>
      <w:pPr>
        <w:spacing w:line="560" w:lineRule="exact"/>
        <w:ind w:firstLine="643" w:firstLineChars="200"/>
        <w:rPr>
          <w:rFonts w:ascii="仿宋_GB2312" w:hAnsi="方正楷体简体" w:eastAsia="仿宋_GB2312" w:cs="宋体"/>
          <w:b/>
          <w:bCs/>
          <w:sz w:val="32"/>
          <w:szCs w:val="32"/>
        </w:rPr>
      </w:pPr>
      <w:r>
        <w:rPr>
          <w:rFonts w:hint="eastAsia" w:ascii="仿宋_GB2312" w:hAnsi="方正楷体简体" w:eastAsia="仿宋_GB2312" w:cs="宋体"/>
          <w:b/>
          <w:bCs/>
          <w:sz w:val="32"/>
          <w:szCs w:val="32"/>
        </w:rPr>
        <w:t>2．基本支出情况</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color w:val="auto"/>
          <w:sz w:val="32"/>
          <w:szCs w:val="32"/>
          <w:lang w:eastAsia="zh-CN"/>
        </w:rPr>
        <w:t>2021</w:t>
      </w:r>
      <w:r>
        <w:rPr>
          <w:rFonts w:hint="eastAsia" w:ascii="仿宋_GB2312" w:hAnsi="方正楷体简体" w:eastAsia="仿宋_GB2312" w:cs="宋体"/>
          <w:color w:val="auto"/>
          <w:sz w:val="32"/>
          <w:szCs w:val="32"/>
        </w:rPr>
        <w:t>年</w:t>
      </w:r>
      <w:r>
        <w:rPr>
          <w:rFonts w:hint="eastAsia" w:ascii="仿宋_GB2312" w:hAnsi="方正楷体简体" w:eastAsia="仿宋_GB2312" w:cs="宋体"/>
          <w:color w:val="auto"/>
          <w:sz w:val="32"/>
          <w:szCs w:val="32"/>
          <w:lang w:eastAsia="zh-CN"/>
        </w:rPr>
        <w:t>和田市人民政府</w:t>
      </w:r>
      <w:r>
        <w:rPr>
          <w:rFonts w:hint="eastAsia" w:ascii="仿宋_GB2312" w:hAnsi="方正楷体简体" w:eastAsia="仿宋_GB2312" w:cs="宋体"/>
          <w:color w:val="auto"/>
          <w:sz w:val="32"/>
          <w:szCs w:val="32"/>
        </w:rPr>
        <w:t>基本支出预算总额</w:t>
      </w:r>
      <w:r>
        <w:rPr>
          <w:rFonts w:hint="eastAsia" w:ascii="仿宋_GB2312" w:hAnsi="方正楷体简体" w:eastAsia="仿宋_GB2312" w:cs="宋体"/>
          <w:color w:val="auto"/>
          <w:sz w:val="32"/>
          <w:szCs w:val="32"/>
          <w:lang w:val="en-US" w:eastAsia="zh-CN"/>
        </w:rPr>
        <w:t>1628.55</w:t>
      </w:r>
      <w:r>
        <w:rPr>
          <w:rFonts w:hint="eastAsia" w:ascii="仿宋_GB2312" w:hAnsi="方正楷体简体" w:eastAsia="仿宋_GB2312" w:cs="宋体"/>
          <w:color w:val="auto"/>
          <w:sz w:val="32"/>
          <w:szCs w:val="32"/>
        </w:rPr>
        <w:t>万元，其中人员经费</w:t>
      </w:r>
      <w:r>
        <w:rPr>
          <w:rFonts w:hint="eastAsia" w:ascii="仿宋_GB2312" w:hAnsi="方正楷体简体" w:eastAsia="仿宋_GB2312" w:cs="宋体"/>
          <w:color w:val="auto"/>
          <w:sz w:val="32"/>
          <w:szCs w:val="32"/>
          <w:lang w:val="en-US" w:eastAsia="zh-CN"/>
        </w:rPr>
        <w:t>1462.57</w:t>
      </w:r>
      <w:r>
        <w:rPr>
          <w:rFonts w:hint="eastAsia" w:ascii="仿宋_GB2312" w:hAnsi="方正楷体简体" w:eastAsia="仿宋_GB2312" w:cs="宋体"/>
          <w:color w:val="auto"/>
          <w:sz w:val="32"/>
          <w:szCs w:val="32"/>
        </w:rPr>
        <w:t>万元，公用经费</w:t>
      </w:r>
      <w:r>
        <w:rPr>
          <w:rFonts w:hint="eastAsia" w:ascii="仿宋_GB2312" w:hAnsi="方正楷体简体" w:eastAsia="仿宋_GB2312" w:cs="宋体"/>
          <w:color w:val="auto"/>
          <w:sz w:val="32"/>
          <w:szCs w:val="32"/>
          <w:lang w:val="en-US" w:eastAsia="zh-CN"/>
        </w:rPr>
        <w:t>165.68</w:t>
      </w:r>
      <w:r>
        <w:rPr>
          <w:rFonts w:hint="eastAsia" w:ascii="仿宋_GB2312" w:hAnsi="方正楷体简体" w:eastAsia="仿宋_GB2312" w:cs="宋体"/>
          <w:color w:val="auto"/>
          <w:sz w:val="32"/>
          <w:szCs w:val="32"/>
        </w:rPr>
        <w:t>万元。实际支出</w:t>
      </w:r>
      <w:r>
        <w:rPr>
          <w:rFonts w:hint="eastAsia" w:ascii="仿宋_GB2312" w:hAnsi="方正楷体简体" w:eastAsia="仿宋_GB2312" w:cs="宋体"/>
          <w:color w:val="auto"/>
          <w:sz w:val="32"/>
          <w:szCs w:val="32"/>
          <w:lang w:val="en-US" w:eastAsia="zh-CN"/>
        </w:rPr>
        <w:t>1628.55</w:t>
      </w:r>
      <w:r>
        <w:rPr>
          <w:rFonts w:hint="eastAsia" w:ascii="仿宋_GB2312" w:hAnsi="方正楷体简体" w:eastAsia="仿宋_GB2312" w:cs="宋体"/>
          <w:color w:val="auto"/>
          <w:sz w:val="32"/>
          <w:szCs w:val="32"/>
        </w:rPr>
        <w:t>万元，预算执行率</w:t>
      </w:r>
      <w:r>
        <w:rPr>
          <w:rFonts w:hint="eastAsia" w:ascii="仿宋_GB2312" w:hAnsi="方正楷体简体" w:eastAsia="仿宋_GB2312" w:cs="宋体"/>
          <w:color w:val="auto"/>
          <w:sz w:val="32"/>
          <w:szCs w:val="32"/>
          <w:lang w:val="en-US" w:eastAsia="zh-CN"/>
        </w:rPr>
        <w:t>100</w:t>
      </w:r>
      <w:r>
        <w:rPr>
          <w:rFonts w:hint="eastAsia" w:ascii="仿宋_GB2312" w:hAnsi="方正楷体简体" w:eastAsia="仿宋_GB2312" w:cs="宋体"/>
          <w:color w:val="auto"/>
          <w:sz w:val="32"/>
          <w:szCs w:val="32"/>
        </w:rPr>
        <w:t>%。</w:t>
      </w:r>
    </w:p>
    <w:p>
      <w:pPr>
        <w:spacing w:line="560" w:lineRule="exact"/>
        <w:ind w:firstLine="643" w:firstLineChars="200"/>
        <w:rPr>
          <w:rFonts w:hint="eastAsia" w:ascii="仿宋_GB2312" w:hAnsi="方正楷体简体" w:eastAsia="仿宋_GB2312" w:cs="宋体"/>
          <w:b/>
          <w:bCs/>
          <w:sz w:val="32"/>
          <w:szCs w:val="32"/>
          <w:lang w:eastAsia="zh-CN"/>
        </w:rPr>
      </w:pPr>
      <w:r>
        <w:rPr>
          <w:rFonts w:hint="eastAsia" w:ascii="仿宋_GB2312" w:hAnsi="方正楷体简体" w:eastAsia="仿宋_GB2312" w:cs="宋体"/>
          <w:b/>
          <w:bCs/>
          <w:sz w:val="32"/>
          <w:szCs w:val="32"/>
        </w:rPr>
        <w:t>3．“三公”经费控制情况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218.62</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年“三公”经费预算数为</w:t>
      </w:r>
      <w:r>
        <w:rPr>
          <w:rFonts w:hint="eastAsia" w:ascii="仿宋_GB2312" w:hAnsi="方正楷体简体" w:eastAsia="仿宋_GB2312" w:cs="宋体"/>
          <w:color w:val="auto"/>
          <w:sz w:val="32"/>
          <w:szCs w:val="32"/>
          <w:highlight w:val="none"/>
          <w:lang w:val="en-US" w:eastAsia="zh-CN"/>
        </w:rPr>
        <w:t>297</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57</w:t>
      </w:r>
      <w:r>
        <w:rPr>
          <w:rFonts w:hint="eastAsia" w:ascii="仿宋_GB2312" w:hAnsi="方正楷体简体" w:eastAsia="仿宋_GB2312" w:cs="宋体"/>
          <w:color w:val="auto"/>
          <w:sz w:val="32"/>
          <w:szCs w:val="32"/>
          <w:highlight w:val="none"/>
        </w:rPr>
        <w:t>万元，公务接待费</w:t>
      </w:r>
      <w:r>
        <w:rPr>
          <w:rFonts w:hint="eastAsia" w:ascii="仿宋_GB2312" w:hAnsi="方正楷体简体" w:eastAsia="仿宋_GB2312" w:cs="宋体"/>
          <w:color w:val="auto"/>
          <w:sz w:val="32"/>
          <w:szCs w:val="32"/>
          <w:highlight w:val="none"/>
          <w:lang w:val="en-US" w:eastAsia="zh-CN"/>
        </w:rPr>
        <w:t>240</w:t>
      </w:r>
      <w:r>
        <w:rPr>
          <w:rFonts w:hint="eastAsia" w:ascii="仿宋_GB2312" w:hAnsi="方正楷体简体" w:eastAsia="仿宋_GB2312" w:cs="宋体"/>
          <w:color w:val="auto"/>
          <w:sz w:val="32"/>
          <w:szCs w:val="32"/>
          <w:highlight w:val="none"/>
        </w:rPr>
        <w:t>万元。全年“三公”经费支出</w:t>
      </w:r>
      <w:r>
        <w:rPr>
          <w:rFonts w:hint="eastAsia" w:ascii="仿宋_GB2312" w:hAnsi="方正楷体简体" w:eastAsia="仿宋_GB2312" w:cs="宋体"/>
          <w:color w:val="auto"/>
          <w:sz w:val="32"/>
          <w:szCs w:val="32"/>
          <w:highlight w:val="none"/>
          <w:lang w:val="en-US" w:eastAsia="zh-CN"/>
        </w:rPr>
        <w:t>218.62</w:t>
      </w:r>
      <w:r>
        <w:rPr>
          <w:rFonts w:hint="eastAsia" w:ascii="仿宋_GB2312" w:hAnsi="方正楷体简体" w:eastAsia="仿宋_GB2312" w:cs="宋体"/>
          <w:color w:val="auto"/>
          <w:sz w:val="32"/>
          <w:szCs w:val="32"/>
          <w:highlight w:val="none"/>
        </w:rPr>
        <w:t>万元，其中公务用车运行维护费</w:t>
      </w:r>
      <w:r>
        <w:rPr>
          <w:rFonts w:hint="eastAsia" w:ascii="仿宋_GB2312" w:hAnsi="方正楷体简体" w:eastAsia="仿宋_GB2312" w:cs="宋体"/>
          <w:color w:val="auto"/>
          <w:sz w:val="32"/>
          <w:szCs w:val="32"/>
          <w:highlight w:val="none"/>
          <w:lang w:val="en-US" w:eastAsia="zh-CN"/>
        </w:rPr>
        <w:t>54.01</w:t>
      </w:r>
      <w:r>
        <w:rPr>
          <w:rFonts w:hint="eastAsia" w:ascii="仿宋_GB2312" w:hAnsi="方正楷体简体" w:eastAsia="仿宋_GB2312" w:cs="宋体"/>
          <w:color w:val="auto"/>
          <w:sz w:val="32"/>
          <w:szCs w:val="32"/>
          <w:highlight w:val="none"/>
        </w:rPr>
        <w:t>万元，公务接待费</w:t>
      </w:r>
      <w:r>
        <w:rPr>
          <w:rFonts w:hint="eastAsia" w:ascii="仿宋_GB2312" w:hAnsi="方正楷体简体" w:eastAsia="仿宋_GB2312" w:cs="宋体"/>
          <w:color w:val="auto"/>
          <w:sz w:val="32"/>
          <w:szCs w:val="32"/>
          <w:highlight w:val="none"/>
          <w:lang w:val="en-US" w:eastAsia="zh-CN"/>
        </w:rPr>
        <w:t>164.61</w:t>
      </w:r>
      <w:r>
        <w:rPr>
          <w:rFonts w:hint="eastAsia" w:ascii="仿宋_GB2312" w:hAnsi="方正楷体简体" w:eastAsia="仿宋_GB2312" w:cs="宋体"/>
          <w:color w:val="auto"/>
          <w:sz w:val="32"/>
          <w:szCs w:val="32"/>
          <w:highlight w:val="none"/>
        </w:rPr>
        <w:t>万元，较20</w:t>
      </w:r>
      <w:r>
        <w:rPr>
          <w:rFonts w:hint="eastAsia" w:ascii="仿宋_GB2312" w:hAnsi="方正楷体简体" w:eastAsia="仿宋_GB2312" w:cs="宋体"/>
          <w:color w:val="auto"/>
          <w:sz w:val="32"/>
          <w:szCs w:val="32"/>
          <w:highlight w:val="none"/>
          <w:lang w:val="en-US" w:eastAsia="zh-CN"/>
        </w:rPr>
        <w:t>20</w:t>
      </w:r>
      <w:r>
        <w:rPr>
          <w:rFonts w:hint="eastAsia" w:ascii="仿宋_GB2312" w:hAnsi="方正楷体简体" w:eastAsia="仿宋_GB2312" w:cs="宋体"/>
          <w:color w:val="auto"/>
          <w:sz w:val="32"/>
          <w:szCs w:val="32"/>
          <w:highlight w:val="none"/>
        </w:rPr>
        <w:t>年“三公”经费决算</w:t>
      </w:r>
      <w:r>
        <w:rPr>
          <w:rFonts w:hint="eastAsia" w:ascii="仿宋_GB2312" w:hAnsi="方正楷体简体" w:eastAsia="仿宋_GB2312" w:cs="宋体"/>
          <w:color w:val="auto"/>
          <w:sz w:val="32"/>
          <w:szCs w:val="32"/>
          <w:highlight w:val="none"/>
          <w:lang w:val="en-US" w:eastAsia="zh-CN"/>
        </w:rPr>
        <w:t>224.93</w:t>
      </w:r>
      <w:r>
        <w:rPr>
          <w:rFonts w:hint="eastAsia" w:ascii="仿宋_GB2312" w:hAnsi="方正楷体简体" w:eastAsia="仿宋_GB2312" w:cs="宋体"/>
          <w:color w:val="auto"/>
          <w:sz w:val="32"/>
          <w:szCs w:val="32"/>
          <w:highlight w:val="none"/>
        </w:rPr>
        <w:t>万元，下降</w:t>
      </w:r>
      <w:r>
        <w:rPr>
          <w:rFonts w:hint="eastAsia" w:ascii="仿宋_GB2312" w:hAnsi="方正楷体简体" w:eastAsia="仿宋_GB2312" w:cs="宋体"/>
          <w:color w:val="auto"/>
          <w:sz w:val="32"/>
          <w:szCs w:val="32"/>
          <w:highlight w:val="none"/>
          <w:lang w:val="en-US" w:eastAsia="zh-CN"/>
        </w:rPr>
        <w:t>2.8</w:t>
      </w:r>
      <w:r>
        <w:rPr>
          <w:rFonts w:hint="eastAsia" w:ascii="仿宋_GB2312" w:hAnsi="方正楷体简体" w:eastAsia="仿宋_GB2312" w:cs="宋体"/>
          <w:color w:val="auto"/>
          <w:sz w:val="32"/>
          <w:szCs w:val="32"/>
          <w:highlight w:val="none"/>
        </w:rPr>
        <w:t>%。</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（三）专项资金支出预算安排及支出情况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lang w:eastAsia="zh-CN"/>
        </w:rPr>
        <w:t>2021</w:t>
      </w:r>
      <w:r>
        <w:rPr>
          <w:rFonts w:hint="eastAsia" w:ascii="仿宋_GB2312" w:hAnsi="方正楷体简体" w:eastAsia="仿宋_GB2312" w:cs="宋体"/>
          <w:color w:val="auto"/>
          <w:sz w:val="32"/>
          <w:szCs w:val="32"/>
        </w:rPr>
        <w:t>年专项支出预算总额</w:t>
      </w:r>
      <w:r>
        <w:rPr>
          <w:rFonts w:hint="eastAsia" w:ascii="仿宋_GB2312" w:hAnsi="方正楷体简体" w:eastAsia="仿宋_GB2312" w:cs="宋体"/>
          <w:color w:val="auto"/>
          <w:sz w:val="32"/>
          <w:szCs w:val="32"/>
          <w:lang w:val="en-US" w:eastAsia="zh-CN"/>
        </w:rPr>
        <w:t>20</w:t>
      </w:r>
      <w:r>
        <w:rPr>
          <w:rFonts w:hint="eastAsia" w:ascii="仿宋_GB2312" w:hAnsi="方正楷体简体" w:eastAsia="仿宋_GB2312" w:cs="宋体"/>
          <w:color w:val="auto"/>
          <w:sz w:val="32"/>
          <w:szCs w:val="32"/>
        </w:rPr>
        <w:t>万元，实际支出</w:t>
      </w:r>
      <w:r>
        <w:rPr>
          <w:rFonts w:hint="eastAsia" w:ascii="仿宋_GB2312" w:hAnsi="方正楷体简体" w:eastAsia="仿宋_GB2312" w:cs="宋体"/>
          <w:color w:val="auto"/>
          <w:sz w:val="32"/>
          <w:szCs w:val="32"/>
          <w:lang w:val="en-US" w:eastAsia="zh-CN"/>
        </w:rPr>
        <w:t>20</w:t>
      </w:r>
      <w:r>
        <w:rPr>
          <w:rFonts w:hint="eastAsia" w:ascii="仿宋_GB2312" w:hAnsi="方正楷体简体" w:eastAsia="仿宋_GB2312" w:cs="宋体"/>
          <w:color w:val="auto"/>
          <w:sz w:val="32"/>
          <w:szCs w:val="32"/>
        </w:rPr>
        <w:t>万元，预算执行率</w:t>
      </w:r>
      <w:r>
        <w:rPr>
          <w:rFonts w:hint="eastAsia" w:ascii="仿宋_GB2312" w:hAnsi="方正楷体简体" w:eastAsia="仿宋_GB2312" w:cs="宋体"/>
          <w:color w:val="auto"/>
          <w:sz w:val="32"/>
          <w:szCs w:val="32"/>
          <w:lang w:val="en-US" w:eastAsia="zh-CN"/>
        </w:rPr>
        <w:t>100</w:t>
      </w:r>
      <w:r>
        <w:rPr>
          <w:rFonts w:hint="eastAsia" w:ascii="仿宋_GB2312" w:hAnsi="方正楷体简体" w:eastAsia="仿宋_GB2312" w:cs="宋体"/>
          <w:color w:val="auto"/>
          <w:sz w:val="32"/>
          <w:szCs w:val="32"/>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9911" w:type="dxa"/>
        <w:tblInd w:w="-390" w:type="dxa"/>
        <w:tblLayout w:type="fixed"/>
        <w:tblCellMar>
          <w:top w:w="0" w:type="dxa"/>
          <w:left w:w="108" w:type="dxa"/>
          <w:bottom w:w="0" w:type="dxa"/>
          <w:right w:w="108" w:type="dxa"/>
        </w:tblCellMar>
      </w:tblPr>
      <w:tblGrid>
        <w:gridCol w:w="1971"/>
        <w:gridCol w:w="1581"/>
        <w:gridCol w:w="1430"/>
        <w:gridCol w:w="1243"/>
        <w:gridCol w:w="1457"/>
        <w:gridCol w:w="2229"/>
      </w:tblGrid>
      <w:tr>
        <w:tblPrEx>
          <w:tblCellMar>
            <w:top w:w="0" w:type="dxa"/>
            <w:left w:w="108" w:type="dxa"/>
            <w:bottom w:w="0" w:type="dxa"/>
            <w:right w:w="108" w:type="dxa"/>
          </w:tblCellMar>
        </w:tblPrEx>
        <w:trPr>
          <w:trHeight w:val="283" w:hRule="atLeast"/>
          <w:tblHeader/>
        </w:trPr>
        <w:tc>
          <w:tcPr>
            <w:tcW w:w="197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rPr>
            </w:pPr>
            <w:r>
              <w:rPr>
                <w:rFonts w:hint="eastAsia" w:ascii="仿宋_GB2312" w:hAnsi="仿宋" w:eastAsia="仿宋_GB2312" w:cs="宋体"/>
                <w:b/>
                <w:bCs/>
                <w:color w:val="auto"/>
                <w:kern w:val="0"/>
                <w:sz w:val="28"/>
                <w:szCs w:val="28"/>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rPr>
            </w:pPr>
            <w:r>
              <w:rPr>
                <w:rFonts w:hint="eastAsia" w:ascii="仿宋_GB2312" w:hAnsi="仿宋" w:eastAsia="仿宋_GB2312" w:cs="宋体"/>
                <w:b/>
                <w:bCs/>
                <w:color w:val="auto"/>
                <w:kern w:val="0"/>
                <w:sz w:val="28"/>
                <w:szCs w:val="28"/>
              </w:rPr>
              <w:t>预算金额（调整后）</w:t>
            </w:r>
          </w:p>
        </w:tc>
        <w:tc>
          <w:tcPr>
            <w:tcW w:w="1430"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rPr>
            </w:pPr>
            <w:r>
              <w:rPr>
                <w:rFonts w:hint="eastAsia" w:ascii="仿宋_GB2312" w:hAnsi="仿宋" w:eastAsia="仿宋_GB2312" w:cs="宋体"/>
                <w:b/>
                <w:bCs/>
                <w:color w:val="auto"/>
                <w:kern w:val="0"/>
                <w:sz w:val="28"/>
                <w:szCs w:val="28"/>
              </w:rPr>
              <w:t>执行金额</w:t>
            </w:r>
          </w:p>
        </w:tc>
        <w:tc>
          <w:tcPr>
            <w:tcW w:w="1243"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rPr>
            </w:pPr>
            <w:r>
              <w:rPr>
                <w:rFonts w:hint="eastAsia" w:ascii="仿宋_GB2312" w:hAnsi="仿宋" w:eastAsia="仿宋_GB2312" w:cs="宋体"/>
                <w:b/>
                <w:bCs/>
                <w:color w:val="auto"/>
                <w:kern w:val="0"/>
                <w:sz w:val="28"/>
                <w:szCs w:val="28"/>
              </w:rPr>
              <w:t>执行率</w:t>
            </w:r>
          </w:p>
        </w:tc>
        <w:tc>
          <w:tcPr>
            <w:tcW w:w="14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rPr>
            </w:pPr>
            <w:r>
              <w:rPr>
                <w:rFonts w:hint="eastAsia" w:ascii="仿宋_GB2312" w:hAnsi="仿宋" w:eastAsia="仿宋_GB2312" w:cs="宋体"/>
                <w:b/>
                <w:bCs/>
                <w:color w:val="auto"/>
                <w:kern w:val="0"/>
                <w:sz w:val="28"/>
                <w:szCs w:val="28"/>
              </w:rPr>
              <w:t>项目类型</w:t>
            </w:r>
          </w:p>
        </w:tc>
        <w:tc>
          <w:tcPr>
            <w:tcW w:w="2229"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rPr>
            </w:pPr>
            <w:r>
              <w:rPr>
                <w:rFonts w:hint="eastAsia" w:ascii="仿宋_GB2312" w:hAnsi="仿宋" w:eastAsia="仿宋_GB2312" w:cs="宋体"/>
                <w:b/>
                <w:bCs/>
                <w:color w:val="auto"/>
                <w:kern w:val="0"/>
                <w:sz w:val="28"/>
                <w:szCs w:val="28"/>
              </w:rPr>
              <w:t>备注（对预算调整情况进行说明）</w:t>
            </w:r>
          </w:p>
        </w:tc>
      </w:tr>
      <w:tr>
        <w:tblPrEx>
          <w:tblCellMar>
            <w:top w:w="0" w:type="dxa"/>
            <w:left w:w="108" w:type="dxa"/>
            <w:bottom w:w="0" w:type="dxa"/>
            <w:right w:w="108" w:type="dxa"/>
          </w:tblCellMar>
        </w:tblPrEx>
        <w:trPr>
          <w:trHeight w:val="283" w:hRule="atLeast"/>
          <w:tblHeader/>
        </w:trPr>
        <w:tc>
          <w:tcPr>
            <w:tcW w:w="197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2021年“访惠聚”驻村工作经费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lang w:val="en-US" w:eastAsia="zh-CN"/>
              </w:rPr>
              <w:t>20万元</w:t>
            </w:r>
          </w:p>
        </w:tc>
        <w:tc>
          <w:tcPr>
            <w:tcW w:w="1430"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lang w:val="en-US" w:eastAsia="zh-CN"/>
              </w:rPr>
              <w:t>20万元</w:t>
            </w:r>
          </w:p>
        </w:tc>
        <w:tc>
          <w:tcPr>
            <w:tcW w:w="124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lang w:val="en-US" w:eastAsia="zh-CN"/>
              </w:rPr>
              <w:t>100%</w:t>
            </w:r>
          </w:p>
        </w:tc>
        <w:tc>
          <w:tcPr>
            <w:tcW w:w="14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lang w:val="en-US" w:eastAsia="zh-CN"/>
              </w:rPr>
              <w:t>其他类</w:t>
            </w:r>
          </w:p>
        </w:tc>
        <w:tc>
          <w:tcPr>
            <w:tcW w:w="2229"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rPr>
            </w:pPr>
          </w:p>
        </w:tc>
      </w:tr>
      <w:tr>
        <w:tblPrEx>
          <w:tblCellMar>
            <w:top w:w="0" w:type="dxa"/>
            <w:left w:w="108" w:type="dxa"/>
            <w:bottom w:w="0" w:type="dxa"/>
            <w:right w:w="108" w:type="dxa"/>
          </w:tblCellMar>
        </w:tblPrEx>
        <w:trPr>
          <w:trHeight w:val="283" w:hRule="atLeast"/>
          <w:tblHeader/>
        </w:trPr>
        <w:tc>
          <w:tcPr>
            <w:tcW w:w="197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8"/>
                <w:szCs w:val="28"/>
              </w:rPr>
            </w:pPr>
            <w:r>
              <w:rPr>
                <w:rFonts w:hint="eastAsia" w:ascii="仿宋_GB2312" w:hAnsi="仿宋" w:eastAsia="仿宋_GB2312" w:cs="宋体"/>
                <w:b/>
                <w:bCs/>
                <w:color w:val="auto"/>
                <w:kern w:val="0"/>
                <w:sz w:val="28"/>
                <w:szCs w:val="28"/>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lang w:val="en-US" w:eastAsia="zh-CN"/>
              </w:rPr>
              <w:t>20万元</w:t>
            </w:r>
          </w:p>
        </w:tc>
        <w:tc>
          <w:tcPr>
            <w:tcW w:w="1430"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lang w:val="en-US" w:eastAsia="zh-CN"/>
              </w:rPr>
              <w:t>20万元</w:t>
            </w:r>
          </w:p>
        </w:tc>
        <w:tc>
          <w:tcPr>
            <w:tcW w:w="124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lang w:val="en-US" w:eastAsia="zh-CN"/>
              </w:rPr>
              <w:t>100%</w:t>
            </w:r>
          </w:p>
        </w:tc>
        <w:tc>
          <w:tcPr>
            <w:tcW w:w="1457"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　</w:t>
            </w:r>
          </w:p>
        </w:tc>
        <w:tc>
          <w:tcPr>
            <w:tcW w:w="2229"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　</w:t>
            </w:r>
          </w:p>
        </w:tc>
      </w:tr>
    </w:tbl>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三、</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专项组织实施情况</w:t>
      </w:r>
    </w:p>
    <w:p>
      <w:pPr>
        <w:spacing w:line="560" w:lineRule="exact"/>
        <w:ind w:firstLine="624" w:firstLineChars="200"/>
        <w:rPr>
          <w:rStyle w:val="10"/>
          <w:rFonts w:ascii="楷体" w:hAnsi="楷体" w:eastAsia="楷体" w:cs="Times New Roman"/>
          <w:b w:val="0"/>
          <w:bCs w:val="0"/>
          <w:color w:val="000000" w:themeColor="text1"/>
          <w:spacing w:val="-4"/>
          <w:sz w:val="32"/>
          <w:szCs w:val="32"/>
        </w:rPr>
      </w:pPr>
      <w:r>
        <w:rPr>
          <w:rStyle w:val="10"/>
          <w:rFonts w:hint="eastAsia" w:ascii="楷体" w:hAnsi="楷体" w:eastAsia="楷体" w:cs="Times New Roman"/>
          <w:b w:val="0"/>
          <w:bCs w:val="0"/>
          <w:color w:val="000000" w:themeColor="text1"/>
          <w:spacing w:val="-4"/>
          <w:sz w:val="32"/>
          <w:szCs w:val="32"/>
        </w:rPr>
        <w:t>（一）专项组织情况分析</w:t>
      </w:r>
      <w:r>
        <w:rPr>
          <w:rStyle w:val="10"/>
          <w:rFonts w:hint="eastAsia" w:ascii="楷体" w:hAnsi="楷体" w:eastAsia="楷体" w:cs="Times New Roman"/>
          <w:b w:val="0"/>
          <w:bCs w:val="0"/>
          <w:color w:val="000000" w:themeColor="text1"/>
          <w:spacing w:val="-4"/>
          <w:sz w:val="32"/>
          <w:szCs w:val="32"/>
        </w:rPr>
        <w:tab/>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1．前期准备</w:t>
      </w:r>
    </w:p>
    <w:p>
      <w:pPr>
        <w:spacing w:line="560" w:lineRule="exact"/>
        <w:ind w:firstLine="640" w:firstLineChars="200"/>
        <w:rPr>
          <w:rStyle w:val="10"/>
          <w:rFonts w:ascii="仿宋_GB2312" w:hAnsi="黑体" w:eastAsia="仿宋_GB2312" w:cs="Times New Roman"/>
          <w:b w:val="0"/>
          <w:color w:val="000000" w:themeColor="text1"/>
          <w:spacing w:val="-4"/>
          <w:sz w:val="32"/>
          <w:szCs w:val="32"/>
        </w:rPr>
      </w:pPr>
      <w:r>
        <w:rPr>
          <w:rFonts w:hint="eastAsia" w:ascii="仿宋_GB2312" w:hAnsi="方正楷体简体" w:eastAsia="仿宋_GB2312" w:cs="宋体"/>
          <w:sz w:val="32"/>
          <w:szCs w:val="32"/>
          <w:lang w:val="en-US" w:eastAsia="zh-CN"/>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2．组织实施</w:t>
      </w:r>
    </w:p>
    <w:p>
      <w:pPr>
        <w:spacing w:line="560" w:lineRule="exact"/>
        <w:ind w:firstLine="640" w:firstLineChars="200"/>
        <w:rPr>
          <w:rStyle w:val="10"/>
          <w:rFonts w:hint="eastAsia" w:ascii="仿宋_GB2312" w:hAnsi="黑体" w:eastAsia="仿宋_GB2312" w:cs="Times New Roman"/>
          <w:b w:val="0"/>
          <w:color w:val="000000" w:themeColor="text1"/>
          <w:spacing w:val="-4"/>
          <w:sz w:val="32"/>
          <w:szCs w:val="32"/>
          <w:lang w:eastAsia="zh-CN"/>
        </w:rPr>
      </w:pPr>
      <w:r>
        <w:rPr>
          <w:rFonts w:hint="eastAsia" w:ascii="仿宋_GB2312" w:hAnsi="方正楷体简体" w:eastAsia="仿宋_GB2312" w:cs="宋体"/>
          <w:sz w:val="32"/>
          <w:szCs w:val="32"/>
          <w:lang w:val="en-US" w:eastAsia="zh-CN"/>
        </w:rPr>
        <w:t>项目需根据前期制定的计划和实施方案进行实施。实施过程中，专项资金项目实施单位负责项目的实施、实施过程中的协调、重大事项的审批工作负责以及项目完成目标的验收工作</w:t>
      </w:r>
      <w:r>
        <w:rPr>
          <w:rStyle w:val="10"/>
          <w:rFonts w:hint="eastAsia" w:ascii="仿宋_GB2312" w:hAnsi="黑体" w:eastAsia="仿宋_GB2312" w:cs="Times New Roman"/>
          <w:b w:val="0"/>
          <w:color w:val="000000" w:themeColor="text1"/>
          <w:spacing w:val="-4"/>
          <w:sz w:val="32"/>
          <w:szCs w:val="32"/>
          <w:lang w:eastAsia="zh-CN"/>
        </w:rPr>
        <w:t>。</w:t>
      </w:r>
    </w:p>
    <w:p>
      <w:pPr>
        <w:pStyle w:val="12"/>
        <w:numPr>
          <w:ilvl w:val="0"/>
          <w:numId w:val="1"/>
        </w:numPr>
        <w:spacing w:line="560" w:lineRule="exact"/>
        <w:ind w:firstLine="624"/>
        <w:rPr>
          <w:rStyle w:val="10"/>
          <w:rFonts w:ascii="楷体" w:hAnsi="楷体" w:eastAsia="楷体" w:cs="Times New Roman"/>
          <w:b w:val="0"/>
          <w:bCs w:val="0"/>
          <w:color w:val="000000" w:themeColor="text1"/>
          <w:spacing w:val="-4"/>
          <w:sz w:val="32"/>
          <w:szCs w:val="32"/>
          <w:highlight w:val="none"/>
        </w:rPr>
      </w:pPr>
      <w:r>
        <w:rPr>
          <w:rStyle w:val="10"/>
          <w:rFonts w:hint="eastAsia" w:ascii="楷体" w:hAnsi="楷体" w:eastAsia="楷体" w:cs="Times New Roman"/>
          <w:b w:val="0"/>
          <w:bCs w:val="0"/>
          <w:color w:val="000000" w:themeColor="text1"/>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FF0000"/>
          <w:spacing w:val="-4"/>
          <w:sz w:val="32"/>
          <w:szCs w:val="32"/>
        </w:rPr>
      </w:pPr>
      <w:r>
        <w:rPr>
          <w:rStyle w:val="10"/>
          <w:rFonts w:hint="eastAsia" w:ascii="仿宋_GB2312" w:hAnsi="黑体" w:eastAsia="仿宋_GB2312" w:cs="Times New Roman"/>
          <w:bCs w:val="0"/>
          <w:color w:val="000000" w:themeColor="text1"/>
          <w:spacing w:val="-4"/>
          <w:sz w:val="32"/>
          <w:szCs w:val="32"/>
        </w:rPr>
        <w:t>1．项目资金情况分析</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auto"/>
          <w:spacing w:val="-4"/>
          <w:sz w:val="32"/>
          <w:szCs w:val="32"/>
        </w:rPr>
        <w:t>本单位</w:t>
      </w:r>
      <w:r>
        <w:rPr>
          <w:rStyle w:val="10"/>
          <w:rFonts w:hint="eastAsia" w:ascii="仿宋_GB2312" w:hAnsi="黑体" w:eastAsia="仿宋_GB2312" w:cs="Times New Roman"/>
          <w:b w:val="0"/>
          <w:color w:val="auto"/>
          <w:spacing w:val="-4"/>
          <w:sz w:val="32"/>
          <w:szCs w:val="32"/>
          <w:lang w:eastAsia="zh-CN"/>
        </w:rPr>
        <w:t>2021</w:t>
      </w:r>
      <w:r>
        <w:rPr>
          <w:rStyle w:val="10"/>
          <w:rFonts w:hint="eastAsia" w:ascii="仿宋_GB2312" w:hAnsi="黑体" w:eastAsia="仿宋_GB2312" w:cs="Times New Roman"/>
          <w:b w:val="0"/>
          <w:color w:val="auto"/>
          <w:spacing w:val="-4"/>
          <w:sz w:val="32"/>
          <w:szCs w:val="32"/>
        </w:rPr>
        <w:t>年共有项目</w:t>
      </w:r>
      <w:r>
        <w:rPr>
          <w:rStyle w:val="10"/>
          <w:rFonts w:hint="eastAsia" w:ascii="仿宋_GB2312" w:hAnsi="黑体" w:eastAsia="仿宋_GB2312" w:cs="Times New Roman"/>
          <w:b w:val="0"/>
          <w:color w:val="auto"/>
          <w:spacing w:val="-4"/>
          <w:sz w:val="32"/>
          <w:szCs w:val="32"/>
          <w:lang w:val="en-US" w:eastAsia="zh-CN"/>
        </w:rPr>
        <w:t>2</w:t>
      </w:r>
      <w:r>
        <w:rPr>
          <w:rStyle w:val="10"/>
          <w:rFonts w:hint="eastAsia" w:ascii="仿宋_GB2312" w:hAnsi="黑体" w:eastAsia="仿宋_GB2312" w:cs="Times New Roman"/>
          <w:b w:val="0"/>
          <w:color w:val="auto"/>
          <w:spacing w:val="-4"/>
          <w:sz w:val="32"/>
          <w:szCs w:val="32"/>
        </w:rPr>
        <w:t>个，项目总预算</w:t>
      </w:r>
      <w:r>
        <w:rPr>
          <w:rStyle w:val="10"/>
          <w:rFonts w:hint="eastAsia" w:ascii="仿宋_GB2312" w:hAnsi="黑体" w:eastAsia="仿宋_GB2312" w:cs="Times New Roman"/>
          <w:b w:val="0"/>
          <w:color w:val="auto"/>
          <w:spacing w:val="-4"/>
          <w:sz w:val="32"/>
          <w:szCs w:val="32"/>
          <w:lang w:val="en-US" w:eastAsia="zh-CN"/>
        </w:rPr>
        <w:t>350.63</w:t>
      </w:r>
      <w:r>
        <w:rPr>
          <w:rStyle w:val="10"/>
          <w:rFonts w:hint="eastAsia" w:ascii="仿宋_GB2312" w:hAnsi="黑体" w:eastAsia="仿宋_GB2312" w:cs="Times New Roman"/>
          <w:b w:val="0"/>
          <w:color w:val="auto"/>
          <w:spacing w:val="-4"/>
          <w:sz w:val="32"/>
          <w:szCs w:val="32"/>
        </w:rPr>
        <w:t>万元，资金到位</w:t>
      </w:r>
      <w:r>
        <w:rPr>
          <w:rStyle w:val="10"/>
          <w:rFonts w:hint="eastAsia" w:ascii="仿宋_GB2312" w:hAnsi="黑体" w:eastAsia="仿宋_GB2312" w:cs="Times New Roman"/>
          <w:b w:val="0"/>
          <w:color w:val="auto"/>
          <w:spacing w:val="-4"/>
          <w:sz w:val="32"/>
          <w:szCs w:val="32"/>
          <w:lang w:val="en-US" w:eastAsia="zh-CN"/>
        </w:rPr>
        <w:t>350.63</w:t>
      </w:r>
      <w:r>
        <w:rPr>
          <w:rStyle w:val="10"/>
          <w:rFonts w:hint="eastAsia" w:ascii="仿宋_GB2312" w:hAnsi="黑体" w:eastAsia="仿宋_GB2312" w:cs="Times New Roman"/>
          <w:b w:val="0"/>
          <w:color w:val="auto"/>
          <w:spacing w:val="-4"/>
          <w:sz w:val="32"/>
          <w:szCs w:val="32"/>
        </w:rPr>
        <w:t>万元，资金执行数</w:t>
      </w:r>
      <w:r>
        <w:rPr>
          <w:rStyle w:val="10"/>
          <w:rFonts w:hint="eastAsia" w:ascii="仿宋_GB2312" w:hAnsi="黑体" w:eastAsia="仿宋_GB2312" w:cs="Times New Roman"/>
          <w:b w:val="0"/>
          <w:color w:val="auto"/>
          <w:spacing w:val="-4"/>
          <w:sz w:val="32"/>
          <w:szCs w:val="32"/>
          <w:lang w:val="en-US" w:eastAsia="zh-CN"/>
        </w:rPr>
        <w:t>350.63</w:t>
      </w:r>
      <w:r>
        <w:rPr>
          <w:rStyle w:val="10"/>
          <w:rFonts w:hint="eastAsia" w:ascii="仿宋_GB2312" w:hAnsi="黑体" w:eastAsia="仿宋_GB2312" w:cs="Times New Roman"/>
          <w:b w:val="0"/>
          <w:color w:val="auto"/>
          <w:spacing w:val="-4"/>
          <w:sz w:val="32"/>
          <w:szCs w:val="32"/>
        </w:rPr>
        <w:t>万元，执行率</w:t>
      </w:r>
      <w:r>
        <w:rPr>
          <w:rStyle w:val="10"/>
          <w:rFonts w:hint="eastAsia" w:ascii="仿宋_GB2312" w:hAnsi="黑体" w:eastAsia="仿宋_GB2312" w:cs="Times New Roman"/>
          <w:b w:val="0"/>
          <w:color w:val="auto"/>
          <w:spacing w:val="-4"/>
          <w:sz w:val="32"/>
          <w:szCs w:val="32"/>
          <w:lang w:val="en-US" w:eastAsia="zh-CN"/>
        </w:rPr>
        <w:t>100</w:t>
      </w:r>
      <w:r>
        <w:rPr>
          <w:rStyle w:val="10"/>
          <w:rFonts w:hint="eastAsia" w:ascii="仿宋_GB2312" w:hAnsi="黑体" w:eastAsia="仿宋_GB2312" w:cs="Times New Roman"/>
          <w:b w:val="0"/>
          <w:color w:val="auto"/>
          <w:spacing w:val="-4"/>
          <w:sz w:val="32"/>
          <w:szCs w:val="32"/>
        </w:rPr>
        <w:t>%；资金严格按照《财务管理制度》、《专项资金使用管理制度》、《内部控制管理制度》实行专款专用，在本</w:t>
      </w:r>
      <w:r>
        <w:rPr>
          <w:rStyle w:val="10"/>
          <w:rFonts w:hint="eastAsia" w:ascii="仿宋_GB2312" w:hAnsi="黑体" w:eastAsia="仿宋_GB2312" w:cs="Times New Roman"/>
          <w:b w:val="0"/>
          <w:color w:val="000000" w:themeColor="text1"/>
          <w:spacing w:val="-4"/>
          <w:sz w:val="32"/>
          <w:szCs w:val="32"/>
        </w:rPr>
        <w:t>年度审计和财政监督检查过程</w:t>
      </w:r>
      <w:r>
        <w:rPr>
          <w:rStyle w:val="10"/>
          <w:rFonts w:hint="eastAsia" w:ascii="仿宋_GB2312" w:hAnsi="黑体" w:eastAsia="仿宋_GB2312" w:cs="Times New Roman"/>
          <w:b w:val="0"/>
          <w:color w:val="auto"/>
          <w:spacing w:val="-4"/>
          <w:sz w:val="32"/>
          <w:szCs w:val="32"/>
        </w:rPr>
        <w:t>中</w:t>
      </w:r>
      <w:r>
        <w:rPr>
          <w:rStyle w:val="10"/>
          <w:rFonts w:hint="eastAsia" w:ascii="仿宋_GB2312" w:hAnsi="黑体" w:eastAsia="仿宋_GB2312" w:cs="Times New Roman"/>
          <w:b w:val="0"/>
          <w:color w:val="auto"/>
          <w:spacing w:val="-4"/>
          <w:sz w:val="32"/>
          <w:szCs w:val="32"/>
          <w:lang w:val="en-US" w:eastAsia="zh-CN"/>
        </w:rPr>
        <w:t>未</w:t>
      </w:r>
      <w:r>
        <w:rPr>
          <w:rStyle w:val="10"/>
          <w:rFonts w:hint="eastAsia" w:ascii="仿宋_GB2312" w:hAnsi="黑体" w:eastAsia="仿宋_GB2312" w:cs="Times New Roman"/>
          <w:b w:val="0"/>
          <w:color w:val="auto"/>
          <w:spacing w:val="-4"/>
          <w:sz w:val="32"/>
          <w:szCs w:val="32"/>
        </w:rPr>
        <w:t>发现资金违规使用情况。</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2．项目实施情况分析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（1）项目组织情况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（2）项目管理情况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（3）项目监管情况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000000" w:themeColor="text1"/>
          <w:spacing w:val="-4"/>
          <w:sz w:val="32"/>
          <w:szCs w:val="32"/>
          <w:lang w:eastAsia="zh-CN"/>
        </w:rPr>
        <w:t>单位</w:t>
      </w:r>
      <w:r>
        <w:rPr>
          <w:rStyle w:val="10"/>
          <w:rFonts w:hint="eastAsia" w:ascii="仿宋_GB2312" w:hAnsi="黑体" w:eastAsia="仿宋_GB2312" w:cs="Times New Roman"/>
          <w:b w:val="0"/>
          <w:color w:val="000000" w:themeColor="text1"/>
          <w:spacing w:val="-4"/>
          <w:sz w:val="32"/>
          <w:szCs w:val="32"/>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000000" w:themeColor="text1"/>
          <w:spacing w:val="-4"/>
          <w:sz w:val="32"/>
          <w:szCs w:val="32"/>
        </w:rPr>
      </w:pPr>
      <w:r>
        <w:rPr>
          <w:rStyle w:val="10"/>
          <w:rFonts w:hint="eastAsia" w:ascii="仿宋_GB2312" w:hAnsi="黑体" w:eastAsia="仿宋_GB2312" w:cs="Times New Roman"/>
          <w:bCs w:val="0"/>
          <w:color w:val="000000" w:themeColor="text1"/>
          <w:spacing w:val="-4"/>
          <w:sz w:val="32"/>
          <w:szCs w:val="32"/>
        </w:rPr>
        <w:t>3．项目绩效情况分析</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（1）项目成本控制及节约情况</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FF0000"/>
          <w:spacing w:val="-4"/>
          <w:sz w:val="32"/>
          <w:szCs w:val="32"/>
        </w:rPr>
      </w:pPr>
      <w:r>
        <w:rPr>
          <w:rStyle w:val="10"/>
          <w:rFonts w:hint="eastAsia" w:ascii="仿宋_GB2312" w:hAnsi="黑体" w:eastAsia="仿宋_GB2312" w:cs="Times New Roman"/>
          <w:b w:val="0"/>
          <w:color w:val="000000" w:themeColor="text1"/>
          <w:spacing w:val="-4"/>
          <w:sz w:val="32"/>
          <w:szCs w:val="32"/>
        </w:rPr>
        <w:t>成本节约：</w:t>
      </w:r>
      <w:r>
        <w:rPr>
          <w:rFonts w:hint="eastAsia" w:ascii="仿宋_GB2312" w:hAnsi="方正楷体简体" w:eastAsia="仿宋_GB2312" w:cs="宋体"/>
          <w:sz w:val="32"/>
          <w:szCs w:val="32"/>
          <w:lang w:val="en-US" w:eastAsia="zh-CN"/>
        </w:rPr>
        <w:t>我单位2个项目成本均未超预算，预算执行</w:t>
      </w:r>
      <w:r>
        <w:rPr>
          <w:rFonts w:hint="eastAsia" w:ascii="仿宋_GB2312" w:hAnsi="方正楷体简体" w:eastAsia="仿宋_GB2312" w:cs="宋体"/>
          <w:sz w:val="32"/>
          <w:szCs w:val="32"/>
        </w:rPr>
        <w:t>率达</w:t>
      </w:r>
      <w:r>
        <w:rPr>
          <w:rFonts w:hint="eastAsia" w:ascii="仿宋_GB2312" w:hAnsi="方正楷体简体" w:eastAsia="仿宋_GB2312" w:cs="宋体"/>
          <w:color w:val="auto"/>
          <w:sz w:val="32"/>
          <w:szCs w:val="32"/>
          <w:lang w:val="en-US" w:eastAsia="zh-CN"/>
        </w:rPr>
        <w:t>100</w:t>
      </w:r>
      <w:r>
        <w:rPr>
          <w:rFonts w:hint="eastAsia" w:ascii="仿宋_GB2312" w:hAnsi="方正楷体简体" w:eastAsia="仿宋_GB2312" w:cs="宋体"/>
          <w:sz w:val="32"/>
          <w:szCs w:val="32"/>
        </w:rPr>
        <w:t>%</w:t>
      </w:r>
      <w:r>
        <w:rPr>
          <w:rFonts w:hint="eastAsia" w:ascii="仿宋_GB2312" w:hAnsi="方正楷体简体" w:eastAsia="仿宋_GB2312" w:cs="宋体"/>
          <w:sz w:val="32"/>
          <w:szCs w:val="32"/>
          <w:highlight w:val="none"/>
        </w:rPr>
        <w:t>。</w:t>
      </w:r>
    </w:p>
    <w:p>
      <w:pPr>
        <w:spacing w:line="560" w:lineRule="exact"/>
        <w:ind w:firstLine="640" w:firstLineChars="200"/>
        <w:rPr>
          <w:rFonts w:ascii="仿宋_GB2312" w:hAnsi="方正楷体简体" w:eastAsia="仿宋_GB2312" w:cs="宋体"/>
          <w:sz w:val="32"/>
          <w:szCs w:val="32"/>
        </w:rPr>
      </w:pPr>
      <w:r>
        <w:rPr>
          <w:rFonts w:hint="eastAsia" w:ascii="仿宋_GB2312" w:hAnsi="方正楷体简体" w:eastAsia="仿宋_GB2312" w:cs="宋体"/>
          <w:sz w:val="32"/>
          <w:szCs w:val="32"/>
        </w:rPr>
        <w:t>（2）项目效率性分析</w:t>
      </w:r>
    </w:p>
    <w:p>
      <w:pPr>
        <w:spacing w:line="560" w:lineRule="exact"/>
        <w:ind w:firstLine="640" w:firstLineChars="200"/>
        <w:rPr>
          <w:rStyle w:val="10"/>
          <w:rFonts w:ascii="仿宋_GB2312" w:hAnsi="黑体" w:eastAsia="仿宋_GB2312" w:cs="Times New Roman"/>
          <w:b w:val="0"/>
          <w:color w:val="FF0000"/>
          <w:spacing w:val="-4"/>
          <w:sz w:val="32"/>
          <w:szCs w:val="32"/>
        </w:rPr>
      </w:pPr>
      <w:r>
        <w:rPr>
          <w:rFonts w:hint="eastAsia" w:ascii="仿宋_GB2312" w:hAnsi="方正楷体简体" w:eastAsia="仿宋_GB2312" w:cs="宋体"/>
          <w:sz w:val="32"/>
          <w:szCs w:val="32"/>
          <w:lang w:val="en-US" w:eastAsia="zh-CN"/>
        </w:rPr>
        <w:t>实施进度：我单位共有2个项目，2个项目均在项目计划期间完成，项目按期完成及时率100%。</w:t>
      </w:r>
    </w:p>
    <w:p>
      <w:pPr>
        <w:spacing w:line="560" w:lineRule="exact"/>
        <w:ind w:firstLine="624" w:firstLineChars="200"/>
        <w:rPr>
          <w:rStyle w:val="10"/>
          <w:rFonts w:ascii="仿宋_GB2312" w:hAnsi="黑体" w:eastAsia="仿宋_GB2312" w:cs="Times New Roman"/>
          <w:b w:val="0"/>
          <w:color w:val="000000" w:themeColor="text1"/>
          <w:spacing w:val="-4"/>
          <w:sz w:val="32"/>
          <w:szCs w:val="32"/>
        </w:rPr>
      </w:pPr>
      <w:r>
        <w:rPr>
          <w:rStyle w:val="10"/>
          <w:rFonts w:hint="eastAsia" w:ascii="仿宋_GB2312" w:hAnsi="黑体" w:eastAsia="仿宋_GB2312" w:cs="Times New Roman"/>
          <w:b w:val="0"/>
          <w:color w:val="000000" w:themeColor="text1"/>
          <w:spacing w:val="-4"/>
          <w:sz w:val="32"/>
          <w:szCs w:val="32"/>
        </w:rPr>
        <w:t>完成质量：</w:t>
      </w:r>
      <w:r>
        <w:rPr>
          <w:rFonts w:hint="eastAsia" w:ascii="仿宋_GB2312" w:hAnsi="方正楷体简体" w:eastAsia="仿宋_GB2312" w:cs="宋体"/>
          <w:sz w:val="32"/>
          <w:szCs w:val="32"/>
          <w:lang w:val="en-US" w:eastAsia="zh-CN"/>
        </w:rPr>
        <w:t>我单位共有2个项目，2个项目均验收完成，验收合格率100%</w:t>
      </w:r>
      <w:r>
        <w:rPr>
          <w:rFonts w:hint="eastAsia" w:ascii="仿宋_GB2312" w:hAnsi="方正楷体简体" w:eastAsia="仿宋_GB2312" w:cs="宋体"/>
          <w:sz w:val="32"/>
          <w:szCs w:val="32"/>
          <w:highlight w:val="none"/>
          <w:lang w:val="en-US" w:eastAsia="zh-CN"/>
        </w:rPr>
        <w:t>。</w:t>
      </w:r>
    </w:p>
    <w:p>
      <w:pPr>
        <w:numPr>
          <w:ilvl w:val="0"/>
          <w:numId w:val="2"/>
        </w:numPr>
        <w:spacing w:line="560" w:lineRule="exact"/>
        <w:ind w:firstLine="640" w:firstLineChars="200"/>
        <w:rPr>
          <w:rFonts w:hint="eastAsia" w:ascii="仿宋_GB2312" w:hAnsi="方正楷体简体" w:eastAsia="仿宋_GB2312" w:cs="宋体"/>
          <w:sz w:val="32"/>
          <w:szCs w:val="32"/>
        </w:rPr>
      </w:pPr>
      <w:r>
        <w:rPr>
          <w:rFonts w:hint="eastAsia" w:ascii="仿宋_GB2312" w:hAnsi="方正楷体简体" w:eastAsia="仿宋_GB2312" w:cs="宋体"/>
          <w:sz w:val="32"/>
          <w:szCs w:val="32"/>
        </w:rPr>
        <w:t>项目效益性分析</w:t>
      </w:r>
    </w:p>
    <w:p>
      <w:pPr>
        <w:numPr>
          <w:ilvl w:val="0"/>
          <w:numId w:val="0"/>
        </w:numPr>
        <w:spacing w:line="560" w:lineRule="exact"/>
        <w:ind w:firstLine="640" w:firstLineChars="200"/>
        <w:rPr>
          <w:rFonts w:hint="eastAsia" w:ascii="仿宋_GB2312" w:hAnsi="方正楷体简体" w:eastAsia="仿宋_GB2312" w:cs="宋体"/>
          <w:sz w:val="32"/>
          <w:szCs w:val="32"/>
          <w:lang w:val="en-US" w:eastAsia="zh-CN"/>
        </w:rPr>
      </w:pPr>
      <w:r>
        <w:rPr>
          <w:rFonts w:hint="eastAsia" w:ascii="仿宋_GB2312" w:hAnsi="方正楷体简体" w:eastAsia="仿宋_GB2312" w:cs="宋体"/>
          <w:sz w:val="32"/>
          <w:szCs w:val="32"/>
          <w:lang w:val="en-US" w:eastAsia="zh-CN"/>
        </w:rPr>
        <w:t>2021年度本单位实施2个项目，通过项目的实施带来的效益：有效保障了市政府部门的正常运转，提高了和田市经济发展及社会稳定，有效改善了办公区的工作环境，保障了各项疫情防控工作，有效改善了干部职工待遇，持续提升了为群众提供政府公共服务能力。</w:t>
      </w:r>
    </w:p>
    <w:p>
      <w:pPr>
        <w:pStyle w:val="12"/>
        <w:spacing w:line="560" w:lineRule="exact"/>
        <w:ind w:firstLine="624"/>
        <w:rPr>
          <w:rFonts w:ascii="仿宋" w:hAnsi="仿宋" w:eastAsia="仿宋" w:cs="Times New Roman"/>
          <w:bCs/>
          <w:color w:val="FF0000"/>
          <w:sz w:val="32"/>
          <w:szCs w:val="32"/>
        </w:rPr>
      </w:pPr>
      <w:r>
        <w:rPr>
          <w:rStyle w:val="10"/>
          <w:rFonts w:hint="eastAsia" w:ascii="黑体" w:hAnsi="黑体" w:eastAsia="黑体" w:cs="Times New Roman"/>
          <w:b w:val="0"/>
          <w:color w:val="000000" w:themeColor="text1"/>
          <w:spacing w:val="-4"/>
          <w:sz w:val="32"/>
          <w:szCs w:val="32"/>
        </w:rPr>
        <w:t>四、资产管理情况</w:t>
      </w:r>
      <w:r>
        <w:rPr>
          <w:rFonts w:hint="eastAsia" w:ascii="仿宋" w:hAnsi="仿宋" w:eastAsia="仿宋" w:cs="Times New Roman"/>
          <w:bCs/>
          <w:color w:val="FF0000"/>
          <w:sz w:val="32"/>
          <w:szCs w:val="32"/>
        </w:rPr>
        <w:t xml:space="preserve"> </w:t>
      </w:r>
    </w:p>
    <w:p>
      <w:pPr>
        <w:spacing w:line="56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（一）资产管理体制和制度建设方面</w:t>
      </w:r>
    </w:p>
    <w:p>
      <w:pPr>
        <w:spacing w:line="560" w:lineRule="exact"/>
        <w:ind w:firstLine="640" w:firstLineChars="200"/>
        <w:rPr>
          <w:rFonts w:hint="eastAsia" w:ascii="仿宋_GB2312" w:hAnsi="方正楷体简体" w:eastAsia="仿宋_GB2312" w:cs="宋体"/>
          <w:sz w:val="32"/>
          <w:szCs w:val="32"/>
          <w:lang w:val="en-US" w:eastAsia="zh-CN"/>
        </w:rPr>
      </w:pPr>
      <w:r>
        <w:rPr>
          <w:rFonts w:hint="eastAsia" w:ascii="仿宋_GB2312" w:hAnsi="方正楷体简体" w:eastAsia="仿宋_GB2312" w:cs="宋体"/>
          <w:sz w:val="32"/>
          <w:szCs w:val="32"/>
          <w:lang w:val="en-US" w:eastAsia="zh-CN"/>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（二）运行机制和管理方式</w:t>
      </w:r>
    </w:p>
    <w:p>
      <w:pPr>
        <w:spacing w:line="560" w:lineRule="exact"/>
        <w:ind w:firstLine="640" w:firstLineChars="200"/>
        <w:rPr>
          <w:rFonts w:hint="eastAsia" w:ascii="仿宋_GB2312" w:hAnsi="方正楷体简体" w:eastAsia="仿宋_GB2312" w:cs="宋体"/>
          <w:sz w:val="32"/>
          <w:szCs w:val="32"/>
          <w:lang w:val="en-US" w:eastAsia="zh-CN"/>
        </w:rPr>
      </w:pPr>
      <w:r>
        <w:rPr>
          <w:rFonts w:hint="eastAsia" w:ascii="仿宋_GB2312" w:hAnsi="方正楷体简体" w:eastAsia="仿宋_GB2312" w:cs="宋体"/>
          <w:sz w:val="32"/>
          <w:szCs w:val="32"/>
          <w:lang w:val="en-US" w:eastAsia="zh-CN"/>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（三）信息化建设方面</w:t>
      </w:r>
    </w:p>
    <w:p>
      <w:pPr>
        <w:spacing w:line="560" w:lineRule="exact"/>
        <w:ind w:firstLine="640" w:firstLineChars="200"/>
        <w:rPr>
          <w:rFonts w:hint="eastAsia" w:ascii="仿宋_GB2312" w:hAnsi="方正楷体简体" w:eastAsia="仿宋_GB2312" w:cs="宋体"/>
          <w:sz w:val="32"/>
          <w:szCs w:val="32"/>
          <w:lang w:val="en-US" w:eastAsia="zh-CN"/>
        </w:rPr>
      </w:pPr>
      <w:r>
        <w:rPr>
          <w:rFonts w:hint="eastAsia" w:ascii="仿宋_GB2312" w:hAnsi="方正楷体简体" w:eastAsia="仿宋_GB2312" w:cs="宋体"/>
          <w:sz w:val="32"/>
          <w:szCs w:val="32"/>
          <w:lang w:val="en-US" w:eastAsia="zh-CN"/>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（四）流动资产的管理</w:t>
      </w:r>
    </w:p>
    <w:p>
      <w:pPr>
        <w:spacing w:line="560" w:lineRule="exact"/>
        <w:ind w:firstLine="640" w:firstLineChars="200"/>
        <w:rPr>
          <w:rFonts w:hint="eastAsia" w:ascii="仿宋_GB2312" w:hAnsi="方正楷体简体" w:eastAsia="仿宋_GB2312" w:cs="宋体"/>
          <w:sz w:val="32"/>
          <w:szCs w:val="32"/>
          <w:lang w:val="en-US" w:eastAsia="zh-CN"/>
        </w:rPr>
      </w:pPr>
      <w:r>
        <w:rPr>
          <w:rFonts w:hint="eastAsia" w:ascii="仿宋_GB2312" w:hAnsi="方正楷体简体" w:eastAsia="仿宋_GB2312" w:cs="宋体"/>
          <w:sz w:val="32"/>
          <w:szCs w:val="32"/>
          <w:lang w:val="en-US" w:eastAsia="zh-CN"/>
        </w:rPr>
        <w:t>流动资产严格按照我单位内控体系要求进行管理，无备用金，单位货币资金管理由财务科每月与银行进行对帐，并填写银行余额调节表。</w:t>
      </w:r>
    </w:p>
    <w:p>
      <w:pPr>
        <w:spacing w:line="56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（五）固定资产的管理</w:t>
      </w:r>
    </w:p>
    <w:p>
      <w:pPr>
        <w:spacing w:line="560" w:lineRule="exact"/>
        <w:ind w:firstLine="640" w:firstLineChars="200"/>
        <w:rPr>
          <w:rFonts w:hint="eastAsia" w:ascii="仿宋_GB2312" w:hAnsi="方正楷体简体" w:eastAsia="仿宋_GB2312" w:cs="宋体"/>
          <w:sz w:val="32"/>
          <w:szCs w:val="32"/>
        </w:rPr>
      </w:pPr>
      <w:r>
        <w:rPr>
          <w:rFonts w:hint="eastAsia" w:ascii="仿宋_GB2312" w:hAnsi="方正楷体简体" w:eastAsia="仿宋_GB2312" w:cs="宋体"/>
          <w:sz w:val="32"/>
          <w:szCs w:val="32"/>
          <w:lang w:val="en-US" w:eastAsia="zh-CN"/>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五、</w:t>
      </w:r>
      <w:r>
        <w:rPr>
          <w:rStyle w:val="10"/>
          <w:rFonts w:hint="eastAsia" w:ascii="黑体" w:hAnsi="黑体" w:eastAsia="黑体" w:cs="Times New Roman"/>
          <w:b w:val="0"/>
          <w:color w:val="000000" w:themeColor="text1"/>
          <w:spacing w:val="-4"/>
          <w:sz w:val="32"/>
          <w:szCs w:val="32"/>
          <w:lang w:eastAsia="zh-CN"/>
        </w:rPr>
        <w:t>单位</w:t>
      </w:r>
      <w:r>
        <w:rPr>
          <w:rStyle w:val="10"/>
          <w:rFonts w:hint="eastAsia" w:ascii="黑体" w:hAnsi="黑体" w:eastAsia="黑体" w:cs="Times New Roman"/>
          <w:b w:val="0"/>
          <w:color w:val="000000" w:themeColor="text1"/>
          <w:spacing w:val="-4"/>
          <w:sz w:val="32"/>
          <w:szCs w:val="32"/>
        </w:rPr>
        <w:t>整体支出绩效情况</w:t>
      </w:r>
    </w:p>
    <w:p>
      <w:pPr>
        <w:spacing w:line="560" w:lineRule="exact"/>
        <w:ind w:firstLine="640" w:firstLineChars="200"/>
        <w:rPr>
          <w:rFonts w:hint="eastAsia" w:ascii="仿宋_GB2312" w:hAnsi="仿宋" w:eastAsia="仿宋_GB2312" w:cs="Times New Roman"/>
          <w:bCs/>
          <w:color w:val="000000" w:themeColor="text1"/>
          <w:sz w:val="32"/>
          <w:szCs w:val="32"/>
        </w:rPr>
      </w:pPr>
      <w:r>
        <w:rPr>
          <w:rFonts w:hint="eastAsia" w:ascii="仿宋_GB2312" w:hAnsi="仿宋" w:eastAsia="仿宋_GB2312" w:cs="Times New Roman"/>
          <w:bCs/>
          <w:color w:val="000000" w:themeColor="text1"/>
          <w:sz w:val="32"/>
          <w:szCs w:val="32"/>
          <w:lang w:eastAsia="zh-CN"/>
        </w:rPr>
        <w:t>单位</w:t>
      </w:r>
      <w:r>
        <w:rPr>
          <w:rFonts w:hint="eastAsia" w:ascii="仿宋_GB2312" w:hAnsi="仿宋" w:eastAsia="仿宋_GB2312" w:cs="Times New Roman"/>
          <w:bCs/>
          <w:color w:val="000000" w:themeColor="text1"/>
          <w:sz w:val="32"/>
          <w:szCs w:val="32"/>
        </w:rPr>
        <w:t>整体支出共设置一级指标3个，二级指标</w:t>
      </w:r>
      <w:r>
        <w:rPr>
          <w:rFonts w:hint="eastAsia" w:ascii="仿宋_GB2312" w:hAnsi="仿宋" w:eastAsia="仿宋_GB2312" w:cs="Times New Roman"/>
          <w:bCs/>
          <w:color w:val="000000" w:themeColor="text1"/>
          <w:sz w:val="32"/>
          <w:szCs w:val="32"/>
          <w:lang w:val="en-US" w:eastAsia="zh-CN"/>
        </w:rPr>
        <w:t>7</w:t>
      </w:r>
      <w:r>
        <w:rPr>
          <w:rFonts w:hint="eastAsia" w:ascii="仿宋_GB2312" w:hAnsi="仿宋" w:eastAsia="仿宋_GB2312" w:cs="Times New Roman"/>
          <w:bCs/>
          <w:color w:val="000000" w:themeColor="text1"/>
          <w:sz w:val="32"/>
          <w:szCs w:val="32"/>
        </w:rPr>
        <w:t>个，三级指标</w:t>
      </w:r>
      <w:r>
        <w:rPr>
          <w:rFonts w:hint="eastAsia" w:ascii="仿宋_GB2312" w:hAnsi="仿宋" w:eastAsia="仿宋_GB2312" w:cs="Times New Roman"/>
          <w:bCs/>
          <w:color w:val="000000" w:themeColor="text1"/>
          <w:sz w:val="32"/>
          <w:szCs w:val="32"/>
          <w:lang w:val="en-US" w:eastAsia="zh-CN"/>
        </w:rPr>
        <w:t>17</w:t>
      </w:r>
      <w:r>
        <w:rPr>
          <w:rFonts w:hint="eastAsia" w:ascii="仿宋_GB2312" w:hAnsi="仿宋" w:eastAsia="仿宋_GB2312" w:cs="Times New Roman"/>
          <w:bCs/>
          <w:color w:val="000000" w:themeColor="text1"/>
          <w:sz w:val="32"/>
          <w:szCs w:val="32"/>
        </w:rPr>
        <w:t>个，其中已完成三级指标</w:t>
      </w:r>
      <w:r>
        <w:rPr>
          <w:rFonts w:hint="eastAsia" w:ascii="仿宋_GB2312" w:hAnsi="仿宋" w:eastAsia="仿宋_GB2312" w:cs="Times New Roman"/>
          <w:bCs/>
          <w:color w:val="000000" w:themeColor="text1"/>
          <w:sz w:val="32"/>
          <w:szCs w:val="32"/>
          <w:lang w:val="en-US" w:eastAsia="zh-CN"/>
        </w:rPr>
        <w:t>17</w:t>
      </w:r>
      <w:r>
        <w:rPr>
          <w:rFonts w:hint="eastAsia" w:ascii="仿宋_GB2312" w:hAnsi="仿宋" w:eastAsia="仿宋_GB2312" w:cs="Times New Roman"/>
          <w:bCs/>
          <w:color w:val="000000" w:themeColor="text1"/>
          <w:sz w:val="32"/>
          <w:szCs w:val="32"/>
        </w:rPr>
        <w:t>个，指标完成率为</w:t>
      </w:r>
      <w:r>
        <w:rPr>
          <w:rFonts w:hint="eastAsia" w:ascii="仿宋_GB2312" w:hAnsi="仿宋" w:eastAsia="仿宋_GB2312" w:cs="Times New Roman"/>
          <w:bCs/>
          <w:color w:val="000000" w:themeColor="text1"/>
          <w:sz w:val="32"/>
          <w:szCs w:val="32"/>
          <w:lang w:val="en-US" w:eastAsia="zh-CN"/>
        </w:rPr>
        <w:t>100</w:t>
      </w:r>
      <w:r>
        <w:rPr>
          <w:rFonts w:hint="eastAsia" w:ascii="仿宋_GB2312" w:hAnsi="仿宋" w:eastAsia="仿宋_GB2312" w:cs="Times New Roman"/>
          <w:bCs/>
          <w:color w:val="000000" w:themeColor="text1"/>
          <w:sz w:val="32"/>
          <w:szCs w:val="32"/>
        </w:rPr>
        <w:t>%。</w:t>
      </w:r>
    </w:p>
    <w:p>
      <w:pPr>
        <w:spacing w:line="560" w:lineRule="exact"/>
        <w:ind w:firstLine="627" w:firstLineChars="200"/>
        <w:rPr>
          <w:rFonts w:hint="eastAsia"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1．产出指标完成情况分析</w:t>
      </w:r>
    </w:p>
    <w:p>
      <w:pPr>
        <w:spacing w:line="560" w:lineRule="exact"/>
        <w:ind w:firstLine="624" w:firstLineChars="200"/>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（1）项目完成数量</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rPr>
        <w:t>保障单位干部职工工资正常发放人数</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**人，</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w:t>
      </w:r>
      <w:bookmarkStart w:id="0" w:name="_GoBack"/>
      <w:bookmarkEnd w:id="0"/>
      <w:r>
        <w:rPr>
          <w:rFonts w:hint="eastAsia" w:ascii="仿宋_GB2312" w:hAnsi="仿宋" w:eastAsia="仿宋_GB2312"/>
          <w:color w:val="000000" w:themeColor="text1"/>
          <w:sz w:val="32"/>
          <w:szCs w:val="32"/>
          <w:lang w:val="en-US" w:eastAsia="zh-CN"/>
        </w:rPr>
        <w:t>人，</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lang w:val="en-US" w:eastAsia="zh-CN"/>
        </w:rPr>
        <w:t>保障运转车辆数，</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19辆，</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19辆，</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lang w:val="en-US" w:eastAsia="zh-CN"/>
        </w:rPr>
        <w:t>保障部门预算项目数1个，</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1个，</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1个，</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FF0000"/>
          <w:sz w:val="32"/>
          <w:szCs w:val="32"/>
        </w:rPr>
      </w:pPr>
      <w:r>
        <w:rPr>
          <w:rFonts w:hint="eastAsia" w:ascii="仿宋_GB2312" w:hAnsi="仿宋" w:eastAsia="仿宋_GB2312"/>
          <w:color w:val="000000" w:themeColor="text1"/>
          <w:sz w:val="32"/>
          <w:szCs w:val="32"/>
          <w:lang w:val="en-US" w:eastAsia="zh-CN"/>
        </w:rPr>
        <w:t>保障部门正常运转数3个，</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3个，</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3个，</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24" w:firstLineChars="200"/>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（2）项目完成质量</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rPr>
        <w:t>工资及社保等各项缴费发放准确率</w:t>
      </w:r>
      <w:r>
        <w:rPr>
          <w:rFonts w:hint="eastAsia" w:ascii="仿宋_GB2312" w:hAnsi="仿宋" w:eastAsia="仿宋_GB2312"/>
          <w:color w:val="000000" w:themeColor="text1"/>
          <w:sz w:val="32"/>
          <w:szCs w:val="32"/>
          <w:lang w:eastAsia="zh-CN"/>
        </w:rPr>
        <w:t>，预期指标是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hint="eastAsia" w:ascii="仿宋_GB2312" w:hAnsi="仿宋" w:eastAsia="仿宋_GB2312"/>
          <w:color w:val="000000" w:themeColor="text1"/>
          <w:sz w:val="32"/>
          <w:szCs w:val="32"/>
        </w:rPr>
      </w:pPr>
      <w:r>
        <w:rPr>
          <w:rFonts w:hint="eastAsia" w:ascii="仿宋_GB2312" w:hAnsi="仿宋" w:eastAsia="仿宋_GB2312"/>
          <w:color w:val="000000" w:themeColor="text1"/>
          <w:sz w:val="32"/>
          <w:szCs w:val="32"/>
          <w:lang w:eastAsia="zh-CN"/>
        </w:rPr>
        <w:t>车辆正常运转率，预期指标是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24" w:firstLineChars="200"/>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（3）项目实施进度</w:t>
      </w:r>
    </w:p>
    <w:p>
      <w:pPr>
        <w:spacing w:line="560" w:lineRule="exact"/>
        <w:ind w:firstLine="640" w:firstLineChars="200"/>
        <w:rPr>
          <w:rFonts w:hint="eastAsia" w:ascii="仿宋_GB2312" w:hAnsi="仿宋" w:eastAsia="仿宋_GB2312"/>
          <w:color w:val="000000" w:themeColor="text1"/>
          <w:sz w:val="32"/>
          <w:szCs w:val="32"/>
        </w:rPr>
      </w:pPr>
      <w:r>
        <w:rPr>
          <w:rFonts w:hint="eastAsia" w:ascii="仿宋_GB2312" w:hAnsi="仿宋" w:eastAsia="仿宋_GB2312"/>
          <w:color w:val="000000" w:themeColor="text1"/>
          <w:sz w:val="32"/>
          <w:szCs w:val="32"/>
        </w:rPr>
        <w:t>工资及社保等各项缴费发放及时率</w:t>
      </w:r>
      <w:r>
        <w:rPr>
          <w:rFonts w:hint="eastAsia" w:ascii="仿宋_GB2312" w:hAnsi="仿宋" w:eastAsia="仿宋_GB2312"/>
          <w:color w:val="000000" w:themeColor="text1"/>
          <w:sz w:val="32"/>
          <w:szCs w:val="32"/>
          <w:lang w:eastAsia="zh-CN"/>
        </w:rPr>
        <w:t>，预期指标是</w:t>
      </w:r>
      <w:r>
        <w:rPr>
          <w:rFonts w:hint="eastAsia" w:ascii="仿宋_GB2312" w:hAnsi="仿宋" w:eastAsia="仿宋_GB2312"/>
          <w:color w:val="000000" w:themeColor="text1"/>
          <w:sz w:val="32"/>
          <w:szCs w:val="32"/>
          <w:lang w:val="en-US" w:eastAsia="zh-CN"/>
        </w:rPr>
        <w:t>小于等于95%，</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95%</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lang w:eastAsia="zh-CN"/>
        </w:rPr>
        <w:t>公用经费支付及时性，预期指标是</w:t>
      </w:r>
      <w:r>
        <w:rPr>
          <w:rFonts w:hint="eastAsia" w:ascii="仿宋_GB2312" w:hAnsi="仿宋" w:eastAsia="仿宋_GB2312"/>
          <w:color w:val="000000" w:themeColor="text1"/>
          <w:sz w:val="32"/>
          <w:szCs w:val="32"/>
          <w:lang w:val="en-US" w:eastAsia="zh-CN"/>
        </w:rPr>
        <w:t>小于等于95%，</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95%</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 w:eastAsia="仿宋_GB2312" w:cstheme="minorBidi"/>
          <w:b w:val="0"/>
          <w:bCs w:val="0"/>
          <w:color w:val="000000" w:themeColor="text1"/>
          <w:kern w:val="2"/>
          <w:sz w:val="32"/>
          <w:szCs w:val="32"/>
          <w:lang w:val="en-US" w:eastAsia="zh-CN" w:bidi="ar-SA"/>
        </w:rPr>
      </w:pPr>
      <w:r>
        <w:rPr>
          <w:rFonts w:hint="eastAsia" w:ascii="仿宋_GB2312" w:hAnsi="仿宋" w:eastAsia="仿宋_GB2312" w:cstheme="minorBidi"/>
          <w:b w:val="0"/>
          <w:bCs w:val="0"/>
          <w:color w:val="000000" w:themeColor="text1"/>
          <w:kern w:val="2"/>
          <w:sz w:val="32"/>
          <w:szCs w:val="32"/>
          <w:lang w:val="en-US" w:eastAsia="zh-CN" w:bidi="ar-SA"/>
        </w:rPr>
        <w:t>项目完成时间，预期指标是2021年12月，实际完成值是2021年12月，指标完成率是100%，达到预期目标。</w:t>
      </w:r>
    </w:p>
    <w:p>
      <w:pPr>
        <w:spacing w:line="560" w:lineRule="exact"/>
        <w:ind w:firstLine="624" w:firstLineChars="200"/>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（4）项目成本节约情况</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rPr>
        <w:t>各项工资、福利、补助费用成本</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小于等于</w:t>
      </w:r>
      <w:r>
        <w:rPr>
          <w:rFonts w:hint="eastAsia" w:ascii="仿宋_GB2312" w:hAnsi="仿宋" w:eastAsia="仿宋_GB2312"/>
          <w:color w:val="000000" w:themeColor="text1"/>
          <w:sz w:val="32"/>
          <w:szCs w:val="32"/>
        </w:rPr>
        <w:t>1337.62</w:t>
      </w:r>
      <w:r>
        <w:rPr>
          <w:rFonts w:hint="eastAsia" w:ascii="仿宋_GB2312" w:hAnsi="仿宋" w:eastAsia="仿宋_GB2312"/>
          <w:color w:val="000000" w:themeColor="text1"/>
          <w:sz w:val="32"/>
          <w:szCs w:val="32"/>
          <w:lang w:val="en-US" w:eastAsia="zh-CN"/>
        </w:rPr>
        <w:t>万元</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1337.62万元</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rPr>
        <w:t>对个人和家庭补助成本</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小于等于</w:t>
      </w:r>
      <w:r>
        <w:rPr>
          <w:rFonts w:hint="eastAsia" w:ascii="仿宋_GB2312" w:hAnsi="仿宋" w:eastAsia="仿宋_GB2312"/>
          <w:color w:val="000000" w:themeColor="text1"/>
          <w:sz w:val="32"/>
          <w:szCs w:val="32"/>
        </w:rPr>
        <w:t>124.95</w:t>
      </w:r>
      <w:r>
        <w:rPr>
          <w:rFonts w:hint="eastAsia" w:ascii="仿宋_GB2312" w:hAnsi="仿宋" w:eastAsia="仿宋_GB2312"/>
          <w:color w:val="000000" w:themeColor="text1"/>
          <w:sz w:val="32"/>
          <w:szCs w:val="32"/>
          <w:lang w:val="en-US" w:eastAsia="zh-CN"/>
        </w:rPr>
        <w:t>万元</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124.95万元</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lang w:eastAsia="zh-CN"/>
        </w:rPr>
        <w:t>正常运转支出成本，</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小于等于</w:t>
      </w:r>
      <w:r>
        <w:rPr>
          <w:rFonts w:hint="eastAsia" w:ascii="仿宋_GB2312" w:hAnsi="仿宋" w:eastAsia="仿宋_GB2312"/>
          <w:color w:val="000000" w:themeColor="text1"/>
          <w:sz w:val="32"/>
          <w:szCs w:val="32"/>
        </w:rPr>
        <w:t>165.68</w:t>
      </w:r>
      <w:r>
        <w:rPr>
          <w:rFonts w:hint="eastAsia" w:ascii="仿宋_GB2312" w:hAnsi="仿宋" w:eastAsia="仿宋_GB2312"/>
          <w:color w:val="000000" w:themeColor="text1"/>
          <w:sz w:val="32"/>
          <w:szCs w:val="32"/>
          <w:lang w:val="en-US" w:eastAsia="zh-CN"/>
        </w:rPr>
        <w:t>万元</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165.68万元</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spacing w:line="560" w:lineRule="exact"/>
        <w:ind w:firstLine="640" w:firstLineChars="200"/>
        <w:rPr>
          <w:rFonts w:hint="eastAsia" w:ascii="仿宋_GB2312" w:hAnsi="仿宋" w:eastAsia="仿宋_GB2312"/>
          <w:color w:val="000000" w:themeColor="text1"/>
          <w:sz w:val="32"/>
          <w:szCs w:val="32"/>
        </w:rPr>
      </w:pPr>
      <w:r>
        <w:rPr>
          <w:rFonts w:hint="eastAsia" w:ascii="仿宋_GB2312" w:hAnsi="仿宋" w:eastAsia="仿宋_GB2312"/>
          <w:color w:val="000000" w:themeColor="text1"/>
          <w:sz w:val="32"/>
          <w:szCs w:val="32"/>
          <w:lang w:eastAsia="zh-CN"/>
        </w:rPr>
        <w:t>预算项目成本，</w:t>
      </w:r>
      <w:r>
        <w:rPr>
          <w:rFonts w:hint="eastAsia" w:ascii="仿宋_GB2312" w:hAnsi="仿宋" w:eastAsia="仿宋_GB2312"/>
          <w:color w:val="000000" w:themeColor="text1"/>
          <w:sz w:val="32"/>
          <w:szCs w:val="32"/>
        </w:rPr>
        <w:t>预期指标是</w:t>
      </w:r>
      <w:r>
        <w:rPr>
          <w:rFonts w:hint="eastAsia" w:ascii="仿宋_GB2312" w:hAnsi="仿宋" w:eastAsia="仿宋_GB2312"/>
          <w:color w:val="000000" w:themeColor="text1"/>
          <w:sz w:val="32"/>
          <w:szCs w:val="32"/>
          <w:lang w:val="en-US" w:eastAsia="zh-CN"/>
        </w:rPr>
        <w:t>小于等于</w:t>
      </w:r>
      <w:r>
        <w:rPr>
          <w:rFonts w:hint="eastAsia" w:ascii="仿宋_GB2312" w:hAnsi="仿宋" w:eastAsia="仿宋_GB2312"/>
          <w:color w:val="000000" w:themeColor="text1"/>
          <w:sz w:val="32"/>
          <w:szCs w:val="32"/>
        </w:rPr>
        <w:t>330.63</w:t>
      </w:r>
      <w:r>
        <w:rPr>
          <w:rFonts w:hint="eastAsia" w:ascii="仿宋_GB2312" w:hAnsi="仿宋" w:eastAsia="仿宋_GB2312"/>
          <w:color w:val="000000" w:themeColor="text1"/>
          <w:sz w:val="32"/>
          <w:szCs w:val="32"/>
          <w:lang w:val="en-US" w:eastAsia="zh-CN"/>
        </w:rPr>
        <w:t>万元</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实际完成值是</w:t>
      </w:r>
      <w:r>
        <w:rPr>
          <w:rFonts w:hint="eastAsia" w:ascii="仿宋_GB2312" w:hAnsi="仿宋" w:eastAsia="仿宋_GB2312"/>
          <w:color w:val="000000" w:themeColor="text1"/>
          <w:sz w:val="32"/>
          <w:szCs w:val="32"/>
          <w:lang w:val="en-US" w:eastAsia="zh-CN"/>
        </w:rPr>
        <w:t>330.63万元</w:t>
      </w:r>
      <w:r>
        <w:rPr>
          <w:rFonts w:hint="eastAsia" w:ascii="仿宋_GB2312" w:hAnsi="仿宋" w:eastAsia="仿宋_GB2312"/>
          <w:color w:val="000000" w:themeColor="text1"/>
          <w:sz w:val="32"/>
          <w:szCs w:val="32"/>
        </w:rPr>
        <w:t>，指标完成率是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（1）项目实施的经济效益分析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lang w:val="en-US" w:eastAsia="zh-CN"/>
        </w:rPr>
      </w:pPr>
      <w:r>
        <w:rPr>
          <w:rFonts w:hint="eastAsia" w:ascii="仿宋_GB2312" w:hAnsi="楷体" w:eastAsia="仿宋_GB2312" w:cs="仿宋"/>
          <w:color w:val="000000" w:themeColor="text1"/>
          <w:spacing w:val="-4"/>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w:t>
      </w:r>
      <w:r>
        <w:rPr>
          <w:rFonts w:hint="eastAsia" w:ascii="仿宋_GB2312" w:hAnsi="楷体" w:eastAsia="仿宋_GB2312" w:cs="仿宋"/>
          <w:color w:val="000000" w:themeColor="text1"/>
          <w:spacing w:val="-4"/>
          <w:sz w:val="32"/>
          <w:szCs w:val="32"/>
          <w:lang w:val="en-US" w:eastAsia="zh-CN"/>
        </w:rPr>
        <w:t>2</w:t>
      </w:r>
      <w:r>
        <w:rPr>
          <w:rFonts w:hint="eastAsia" w:ascii="仿宋_GB2312" w:hAnsi="楷体" w:eastAsia="仿宋_GB2312" w:cs="仿宋"/>
          <w:color w:val="000000" w:themeColor="text1"/>
          <w:spacing w:val="-4"/>
          <w:sz w:val="32"/>
          <w:szCs w:val="32"/>
        </w:rPr>
        <w:t>）项目实施的社会效益分析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rPr>
        <w:t>保障单位正常运转</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预期指标是有效保障，实际完成值是有效保障，指标完成率是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bCs/>
          <w:color w:val="000000" w:themeColor="text1"/>
          <w:spacing w:val="-4"/>
          <w:sz w:val="32"/>
          <w:szCs w:val="32"/>
        </w:rPr>
      </w:pPr>
      <w:r>
        <w:rPr>
          <w:rFonts w:hint="eastAsia" w:ascii="仿宋_GB2312" w:hAnsi="楷体" w:eastAsia="仿宋_GB2312" w:cs="仿宋"/>
          <w:color w:val="000000" w:themeColor="text1"/>
          <w:spacing w:val="-4"/>
          <w:sz w:val="32"/>
          <w:szCs w:val="32"/>
          <w:lang w:eastAsia="zh-CN"/>
        </w:rPr>
        <w:t>（</w:t>
      </w:r>
      <w:r>
        <w:rPr>
          <w:rFonts w:hint="eastAsia" w:ascii="仿宋_GB2312" w:hAnsi="楷体" w:eastAsia="仿宋_GB2312" w:cs="仿宋"/>
          <w:color w:val="000000" w:themeColor="text1"/>
          <w:spacing w:val="-4"/>
          <w:sz w:val="32"/>
          <w:szCs w:val="32"/>
          <w:lang w:val="en-US" w:eastAsia="zh-CN"/>
        </w:rPr>
        <w:t>3</w:t>
      </w:r>
      <w:r>
        <w:rPr>
          <w:rFonts w:hint="eastAsia" w:ascii="仿宋_GB2312" w:hAnsi="楷体" w:eastAsia="仿宋_GB2312" w:cs="仿宋"/>
          <w:color w:val="000000" w:themeColor="text1"/>
          <w:spacing w:val="-4"/>
          <w:sz w:val="32"/>
          <w:szCs w:val="32"/>
          <w:lang w:eastAsia="zh-CN"/>
        </w:rPr>
        <w:t>）</w:t>
      </w:r>
      <w:r>
        <w:rPr>
          <w:rFonts w:hint="eastAsia" w:ascii="仿宋_GB2312" w:hAnsi="楷体" w:eastAsia="仿宋_GB2312" w:cs="仿宋"/>
          <w:color w:val="000000" w:themeColor="text1"/>
          <w:spacing w:val="-4"/>
          <w:sz w:val="32"/>
          <w:szCs w:val="32"/>
        </w:rPr>
        <w:t>项目实施的生态效益分</w:t>
      </w:r>
      <w:r>
        <w:rPr>
          <w:rFonts w:hint="eastAsia" w:ascii="仿宋_GB2312" w:hAnsi="楷体" w:eastAsia="仿宋_GB2312" w:cs="仿宋"/>
          <w:bCs/>
          <w:color w:val="000000" w:themeColor="text1"/>
          <w:spacing w:val="-4"/>
          <w:sz w:val="32"/>
          <w:szCs w:val="32"/>
        </w:rPr>
        <w:t>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lang w:val="en-US" w:eastAsia="zh-CN"/>
        </w:rPr>
      </w:pPr>
      <w:r>
        <w:rPr>
          <w:rFonts w:hint="eastAsia" w:ascii="仿宋_GB2312" w:hAnsi="楷体" w:eastAsia="仿宋_GB2312" w:cs="仿宋"/>
          <w:color w:val="000000" w:themeColor="text1"/>
          <w:spacing w:val="-4"/>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w:t>
      </w:r>
      <w:r>
        <w:rPr>
          <w:rFonts w:hint="eastAsia" w:ascii="仿宋_GB2312" w:hAnsi="楷体" w:eastAsia="仿宋_GB2312" w:cs="仿宋"/>
          <w:color w:val="000000" w:themeColor="text1"/>
          <w:spacing w:val="-4"/>
          <w:sz w:val="32"/>
          <w:szCs w:val="32"/>
          <w:lang w:val="en-US" w:eastAsia="zh-CN"/>
        </w:rPr>
        <w:t>4</w:t>
      </w:r>
      <w:r>
        <w:rPr>
          <w:rFonts w:hint="eastAsia" w:ascii="仿宋_GB2312" w:hAnsi="楷体" w:eastAsia="仿宋_GB2312" w:cs="仿宋"/>
          <w:color w:val="000000" w:themeColor="text1"/>
          <w:spacing w:val="-4"/>
          <w:sz w:val="32"/>
          <w:szCs w:val="32"/>
        </w:rPr>
        <w:t>）项目实施的可持续影响分析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themeColor="text1"/>
          <w:sz w:val="32"/>
          <w:szCs w:val="32"/>
          <w:lang w:eastAsia="zh-CN"/>
        </w:rPr>
      </w:pPr>
      <w:r>
        <w:rPr>
          <w:rFonts w:hint="eastAsia" w:ascii="仿宋_GB2312" w:hAnsi="仿宋" w:eastAsia="仿宋_GB2312"/>
          <w:color w:val="000000" w:themeColor="text1"/>
          <w:sz w:val="32"/>
          <w:szCs w:val="32"/>
          <w:lang w:eastAsia="zh-CN"/>
        </w:rPr>
        <w:t>持续为群众提供政府公共服务能力，</w:t>
      </w:r>
      <w:r>
        <w:rPr>
          <w:rFonts w:hint="eastAsia" w:ascii="仿宋_GB2312" w:hAnsi="仿宋" w:eastAsia="仿宋_GB2312"/>
          <w:color w:val="000000" w:themeColor="text1"/>
          <w:sz w:val="32"/>
          <w:szCs w:val="32"/>
        </w:rPr>
        <w:t>预期指标是长期，实际完成值是长期，指标完成率是</w:t>
      </w:r>
      <w:r>
        <w:rPr>
          <w:rFonts w:hint="eastAsia" w:ascii="仿宋_GB2312" w:hAnsi="仿宋" w:eastAsia="仿宋_GB2312"/>
          <w:color w:val="000000" w:themeColor="text1"/>
          <w:sz w:val="32"/>
          <w:szCs w:val="32"/>
          <w:lang w:val="en-US" w:eastAsia="zh-CN"/>
        </w:rPr>
        <w:t>100</w:t>
      </w:r>
      <w:r>
        <w:rPr>
          <w:rFonts w:hint="eastAsia" w:ascii="仿宋_GB2312" w:hAnsi="仿宋" w:eastAsia="仿宋_GB2312"/>
          <w:color w:val="000000" w:themeColor="text1"/>
          <w:sz w:val="32"/>
          <w:szCs w:val="32"/>
        </w:rPr>
        <w:t>%</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rPr>
        <w:t>达到预期目标</w:t>
      </w:r>
      <w:r>
        <w:rPr>
          <w:rFonts w:hint="eastAsia" w:ascii="仿宋_GB2312" w:hAnsi="仿宋" w:eastAsia="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Fonts w:ascii="仿宋_GB2312" w:hAnsi="楷体" w:eastAsia="仿宋_GB2312"/>
          <w:b/>
          <w:color w:val="000000" w:themeColor="text1"/>
          <w:spacing w:val="-4"/>
          <w:sz w:val="32"/>
          <w:szCs w:val="32"/>
        </w:rPr>
      </w:pPr>
      <w:r>
        <w:rPr>
          <w:rFonts w:hint="eastAsia" w:ascii="仿宋_GB2312" w:hAnsi="楷体" w:eastAsia="仿宋_GB2312"/>
          <w:b/>
          <w:color w:val="000000" w:themeColor="text1"/>
          <w:spacing w:val="-4"/>
          <w:sz w:val="32"/>
          <w:szCs w:val="32"/>
        </w:rPr>
        <w:t>3．满意度指标完成情况分析</w:t>
      </w:r>
    </w:p>
    <w:p>
      <w:pPr>
        <w:spacing w:line="560" w:lineRule="exact"/>
        <w:ind w:firstLine="624" w:firstLineChars="200"/>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按计划完成项目实施，已做满意度调查问卷，具体如下：</w:t>
      </w:r>
    </w:p>
    <w:p>
      <w:pPr>
        <w:spacing w:line="560" w:lineRule="exact"/>
        <w:ind w:firstLine="608" w:firstLineChars="195"/>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干部职工满意度</w:t>
      </w:r>
      <w:r>
        <w:rPr>
          <w:rFonts w:hint="eastAsia" w:ascii="仿宋_GB2312" w:hAnsi="仿宋" w:eastAsia="仿宋_GB2312" w:cs="仿宋"/>
          <w:color w:val="000000" w:themeColor="text1"/>
          <w:spacing w:val="-4"/>
          <w:sz w:val="32"/>
          <w:szCs w:val="32"/>
          <w:lang w:eastAsia="zh-CN"/>
        </w:rPr>
        <w:t>，</w:t>
      </w:r>
      <w:r>
        <w:rPr>
          <w:rFonts w:hint="eastAsia" w:ascii="仿宋_GB2312" w:hAnsi="仿宋" w:eastAsia="仿宋_GB2312" w:cs="仿宋"/>
          <w:color w:val="000000" w:themeColor="text1"/>
          <w:spacing w:val="-4"/>
          <w:sz w:val="32"/>
          <w:szCs w:val="32"/>
        </w:rPr>
        <w:t>预期指标是</w:t>
      </w:r>
      <w:r>
        <w:rPr>
          <w:rFonts w:hint="eastAsia" w:ascii="仿宋_GB2312" w:hAnsi="仿宋" w:eastAsia="仿宋_GB2312" w:cs="仿宋"/>
          <w:color w:val="000000" w:themeColor="text1"/>
          <w:spacing w:val="-4"/>
          <w:sz w:val="32"/>
          <w:szCs w:val="32"/>
          <w:lang w:val="en-US" w:eastAsia="zh-CN"/>
        </w:rPr>
        <w:t>大于等于95%</w:t>
      </w:r>
      <w:r>
        <w:rPr>
          <w:rFonts w:hint="eastAsia" w:ascii="仿宋_GB2312" w:hAnsi="仿宋" w:eastAsia="仿宋_GB2312" w:cs="仿宋"/>
          <w:color w:val="000000" w:themeColor="text1"/>
          <w:spacing w:val="-4"/>
          <w:sz w:val="32"/>
          <w:szCs w:val="32"/>
        </w:rPr>
        <w:t>，实际完成值是</w:t>
      </w:r>
      <w:r>
        <w:rPr>
          <w:rFonts w:hint="eastAsia" w:ascii="仿宋_GB2312" w:hAnsi="仿宋" w:eastAsia="仿宋_GB2312" w:cs="仿宋"/>
          <w:color w:val="000000" w:themeColor="text1"/>
          <w:spacing w:val="-4"/>
          <w:sz w:val="32"/>
          <w:szCs w:val="32"/>
          <w:lang w:val="en-US" w:eastAsia="zh-CN"/>
        </w:rPr>
        <w:t>95%</w:t>
      </w:r>
      <w:r>
        <w:rPr>
          <w:rFonts w:hint="eastAsia" w:ascii="仿宋_GB2312" w:hAnsi="仿宋" w:eastAsia="仿宋_GB2312" w:cs="仿宋"/>
          <w:color w:val="000000" w:themeColor="text1"/>
          <w:spacing w:val="-4"/>
          <w:sz w:val="32"/>
          <w:szCs w:val="32"/>
        </w:rPr>
        <w:t>，指标完成率是</w:t>
      </w:r>
      <w:r>
        <w:rPr>
          <w:rFonts w:hint="eastAsia" w:ascii="仿宋_GB2312" w:hAnsi="仿宋" w:eastAsia="仿宋_GB2312" w:cs="仿宋"/>
          <w:color w:val="000000" w:themeColor="text1"/>
          <w:spacing w:val="-4"/>
          <w:sz w:val="32"/>
          <w:szCs w:val="32"/>
          <w:lang w:val="en-US" w:eastAsia="zh-CN"/>
        </w:rPr>
        <w:t>100</w:t>
      </w:r>
      <w:r>
        <w:rPr>
          <w:rFonts w:hint="eastAsia" w:ascii="仿宋_GB2312" w:hAnsi="仿宋" w:eastAsia="仿宋_GB2312" w:cs="仿宋"/>
          <w:color w:val="000000" w:themeColor="text1"/>
          <w:spacing w:val="-4"/>
          <w:sz w:val="32"/>
          <w:szCs w:val="32"/>
        </w:rPr>
        <w:t>%</w:t>
      </w:r>
      <w:r>
        <w:rPr>
          <w:rFonts w:hint="eastAsia" w:ascii="仿宋_GB2312" w:hAnsi="仿宋" w:eastAsia="仿宋_GB2312" w:cs="仿宋"/>
          <w:color w:val="000000" w:themeColor="text1"/>
          <w:spacing w:val="-4"/>
          <w:sz w:val="32"/>
          <w:szCs w:val="32"/>
          <w:lang w:eastAsia="zh-CN"/>
        </w:rPr>
        <w:t>。</w:t>
      </w:r>
      <w:r>
        <w:rPr>
          <w:rFonts w:hint="eastAsia" w:ascii="仿宋_GB2312" w:hAnsi="仿宋" w:eastAsia="仿宋_GB2312" w:cs="仿宋"/>
          <w:color w:val="000000" w:themeColor="text1"/>
          <w:spacing w:val="-4"/>
          <w:sz w:val="32"/>
          <w:szCs w:val="32"/>
        </w:rPr>
        <w:t>达到预期目标。</w:t>
      </w:r>
    </w:p>
    <w:p>
      <w:pPr>
        <w:spacing w:line="560" w:lineRule="exact"/>
        <w:ind w:firstLine="608" w:firstLineChars="195"/>
        <w:rPr>
          <w:rFonts w:hint="eastAsia"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受益群众满意度</w:t>
      </w:r>
      <w:r>
        <w:rPr>
          <w:rFonts w:hint="eastAsia" w:ascii="仿宋_GB2312" w:hAnsi="仿宋" w:eastAsia="仿宋_GB2312" w:cs="仿宋"/>
          <w:color w:val="000000" w:themeColor="text1"/>
          <w:spacing w:val="-4"/>
          <w:sz w:val="32"/>
          <w:szCs w:val="32"/>
          <w:lang w:eastAsia="zh-CN"/>
        </w:rPr>
        <w:t>，</w:t>
      </w:r>
      <w:r>
        <w:rPr>
          <w:rFonts w:hint="eastAsia" w:ascii="仿宋_GB2312" w:hAnsi="仿宋" w:eastAsia="仿宋_GB2312" w:cs="仿宋"/>
          <w:color w:val="000000" w:themeColor="text1"/>
          <w:spacing w:val="-4"/>
          <w:sz w:val="32"/>
          <w:szCs w:val="32"/>
        </w:rPr>
        <w:t>预期指标是</w:t>
      </w:r>
      <w:r>
        <w:rPr>
          <w:rFonts w:hint="eastAsia" w:ascii="仿宋_GB2312" w:hAnsi="仿宋" w:eastAsia="仿宋_GB2312" w:cs="仿宋"/>
          <w:color w:val="000000" w:themeColor="text1"/>
          <w:spacing w:val="-4"/>
          <w:sz w:val="32"/>
          <w:szCs w:val="32"/>
          <w:lang w:val="en-US" w:eastAsia="zh-CN"/>
        </w:rPr>
        <w:t>大于等于95%</w:t>
      </w:r>
      <w:r>
        <w:rPr>
          <w:rFonts w:hint="eastAsia" w:ascii="仿宋_GB2312" w:hAnsi="仿宋" w:eastAsia="仿宋_GB2312" w:cs="仿宋"/>
          <w:color w:val="000000" w:themeColor="text1"/>
          <w:spacing w:val="-4"/>
          <w:sz w:val="32"/>
          <w:szCs w:val="32"/>
        </w:rPr>
        <w:t>，实际完成值是</w:t>
      </w:r>
      <w:r>
        <w:rPr>
          <w:rFonts w:hint="eastAsia" w:ascii="仿宋_GB2312" w:hAnsi="仿宋" w:eastAsia="仿宋_GB2312" w:cs="仿宋"/>
          <w:color w:val="000000" w:themeColor="text1"/>
          <w:spacing w:val="-4"/>
          <w:sz w:val="32"/>
          <w:szCs w:val="32"/>
          <w:lang w:val="en-US" w:eastAsia="zh-CN"/>
        </w:rPr>
        <w:t>95%</w:t>
      </w:r>
      <w:r>
        <w:rPr>
          <w:rFonts w:hint="eastAsia" w:ascii="仿宋_GB2312" w:hAnsi="仿宋" w:eastAsia="仿宋_GB2312" w:cs="仿宋"/>
          <w:color w:val="000000" w:themeColor="text1"/>
          <w:spacing w:val="-4"/>
          <w:sz w:val="32"/>
          <w:szCs w:val="32"/>
        </w:rPr>
        <w:t>，指标完成率是</w:t>
      </w:r>
      <w:r>
        <w:rPr>
          <w:rFonts w:hint="eastAsia" w:ascii="仿宋_GB2312" w:hAnsi="仿宋" w:eastAsia="仿宋_GB2312" w:cs="仿宋"/>
          <w:color w:val="000000" w:themeColor="text1"/>
          <w:spacing w:val="-4"/>
          <w:sz w:val="32"/>
          <w:szCs w:val="32"/>
          <w:lang w:val="en-US" w:eastAsia="zh-CN"/>
        </w:rPr>
        <w:t>100</w:t>
      </w:r>
      <w:r>
        <w:rPr>
          <w:rFonts w:hint="eastAsia" w:ascii="仿宋_GB2312" w:hAnsi="仿宋" w:eastAsia="仿宋_GB2312" w:cs="仿宋"/>
          <w:color w:val="000000" w:themeColor="text1"/>
          <w:spacing w:val="-4"/>
          <w:sz w:val="32"/>
          <w:szCs w:val="32"/>
        </w:rPr>
        <w:t>%</w:t>
      </w:r>
      <w:r>
        <w:rPr>
          <w:rFonts w:hint="eastAsia" w:ascii="仿宋_GB2312" w:hAnsi="仿宋" w:eastAsia="仿宋_GB2312" w:cs="仿宋"/>
          <w:color w:val="000000" w:themeColor="text1"/>
          <w:spacing w:val="-4"/>
          <w:sz w:val="32"/>
          <w:szCs w:val="32"/>
          <w:lang w:eastAsia="zh-CN"/>
        </w:rPr>
        <w:t>。</w:t>
      </w:r>
      <w:r>
        <w:rPr>
          <w:rFonts w:hint="eastAsia" w:ascii="仿宋_GB2312" w:hAnsi="仿宋" w:eastAsia="仿宋_GB2312" w:cs="仿宋"/>
          <w:color w:val="000000" w:themeColor="text1"/>
          <w:spacing w:val="-4"/>
          <w:sz w:val="32"/>
          <w:szCs w:val="32"/>
        </w:rPr>
        <w:t>达到预期目标。</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六、存在的主要问题</w:t>
      </w:r>
    </w:p>
    <w:p>
      <w:pPr>
        <w:spacing w:line="560" w:lineRule="exact"/>
        <w:ind w:firstLine="624" w:firstLineChars="20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w:t>
      </w:r>
      <w:r>
        <w:rPr>
          <w:rFonts w:hint="eastAsia" w:ascii="楷体" w:hAnsi="楷体" w:eastAsia="楷体" w:cs="仿宋"/>
          <w:color w:val="000000" w:themeColor="text1"/>
          <w:spacing w:val="-4"/>
          <w:sz w:val="32"/>
          <w:szCs w:val="32"/>
          <w:lang w:eastAsia="zh-CN"/>
        </w:rPr>
        <w:t>一</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目标设定科学性及评价存在难度</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对于目标设定需要分科室</w:t>
      </w:r>
      <w:r>
        <w:rPr>
          <w:rFonts w:hint="eastAsia" w:ascii="仿宋_GB2312" w:hAnsi="仿宋" w:eastAsia="仿宋_GB2312" w:cs="仿宋"/>
          <w:color w:val="000000" w:themeColor="text1"/>
          <w:spacing w:val="-4"/>
          <w:sz w:val="32"/>
          <w:szCs w:val="32"/>
          <w:lang w:eastAsia="zh-CN"/>
        </w:rPr>
        <w:t>单位</w:t>
      </w:r>
      <w:r>
        <w:rPr>
          <w:rFonts w:ascii="仿宋_GB2312" w:hAnsi="仿宋" w:eastAsia="仿宋_GB2312" w:cs="仿宋"/>
          <w:color w:val="000000" w:themeColor="text1"/>
          <w:spacing w:val="-4"/>
          <w:sz w:val="32"/>
          <w:szCs w:val="32"/>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w:t>
      </w:r>
      <w:r>
        <w:rPr>
          <w:rFonts w:hint="eastAsia" w:ascii="楷体" w:hAnsi="楷体" w:eastAsia="楷体" w:cs="仿宋"/>
          <w:color w:val="000000" w:themeColor="text1"/>
          <w:spacing w:val="-4"/>
          <w:sz w:val="32"/>
          <w:szCs w:val="32"/>
          <w:lang w:eastAsia="zh-CN"/>
        </w:rPr>
        <w:t>二</w:t>
      </w:r>
      <w:r>
        <w:rPr>
          <w:rFonts w:ascii="楷体" w:hAnsi="楷体" w:eastAsia="楷体" w:cs="仿宋"/>
          <w:color w:val="000000" w:themeColor="text1"/>
          <w:spacing w:val="-4"/>
          <w:sz w:val="32"/>
          <w:szCs w:val="32"/>
        </w:rPr>
        <w:t>）财务管理方面，会计核算还不够细致,对于有些能够细分的工作,未能详细分类核算,绩效评价基础数据不够精准。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w:t>
      </w:r>
      <w:r>
        <w:rPr>
          <w:rFonts w:hint="eastAsia" w:ascii="楷体" w:hAnsi="楷体" w:eastAsia="楷体" w:cs="仿宋"/>
          <w:color w:val="000000" w:themeColor="text1"/>
          <w:spacing w:val="-4"/>
          <w:sz w:val="32"/>
          <w:szCs w:val="32"/>
          <w:lang w:eastAsia="zh-CN"/>
        </w:rPr>
        <w:t>三</w:t>
      </w:r>
      <w:r>
        <w:rPr>
          <w:rFonts w:ascii="楷体" w:hAnsi="楷体" w:eastAsia="楷体" w:cs="仿宋"/>
          <w:color w:val="000000" w:themeColor="text1"/>
          <w:spacing w:val="-4"/>
          <w:sz w:val="32"/>
          <w:szCs w:val="32"/>
        </w:rPr>
        <w:t>）固定资产管理水平有待提高</w:t>
      </w:r>
    </w:p>
    <w:p>
      <w:pPr>
        <w:spacing w:line="560" w:lineRule="exact"/>
        <w:ind w:firstLine="624" w:firstLineChars="200"/>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000000" w:themeColor="text1"/>
          <w:spacing w:val="-4"/>
          <w:sz w:val="32"/>
          <w:szCs w:val="32"/>
        </w:rPr>
      </w:pPr>
      <w:r>
        <w:rPr>
          <w:rStyle w:val="10"/>
          <w:rFonts w:hint="eastAsia" w:ascii="黑体" w:hAnsi="黑体" w:eastAsia="黑体" w:cs="Times New Roman"/>
          <w:b w:val="0"/>
          <w:color w:val="000000" w:themeColor="text1"/>
          <w:spacing w:val="-4"/>
          <w:sz w:val="32"/>
          <w:szCs w:val="32"/>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（一）</w:t>
      </w:r>
      <w:r>
        <w:rPr>
          <w:rFonts w:ascii="楷体" w:hAnsi="楷体" w:eastAsia="楷体" w:cs="仿宋"/>
          <w:color w:val="000000" w:themeColor="text1"/>
          <w:spacing w:val="-4"/>
          <w:sz w:val="32"/>
          <w:szCs w:val="32"/>
        </w:rPr>
        <w:t>加强新行政单位会计制度和新预算法学习培训</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规范账务处理</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加强新《预算法》、《行政单位会计制度》 、《会计法》 、《行政单位财务规则》等学习培训,规范</w:t>
      </w:r>
      <w:r>
        <w:rPr>
          <w:rFonts w:hint="eastAsia" w:ascii="楷体" w:hAnsi="楷体" w:eastAsia="楷体" w:cs="仿宋"/>
          <w:color w:val="000000" w:themeColor="text1"/>
          <w:spacing w:val="-4"/>
          <w:sz w:val="32"/>
          <w:szCs w:val="32"/>
          <w:lang w:eastAsia="zh-CN"/>
        </w:rPr>
        <w:t>单位</w:t>
      </w:r>
      <w:r>
        <w:rPr>
          <w:rFonts w:ascii="楷体" w:hAnsi="楷体" w:eastAsia="楷体" w:cs="仿宋"/>
          <w:color w:val="000000" w:themeColor="text1"/>
          <w:spacing w:val="-4"/>
          <w:sz w:val="32"/>
          <w:szCs w:val="32"/>
        </w:rPr>
        <w:t>预算收支核算</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制定和完善基本支出、项目支出等各项支出标准,严格按项目和进度执行预算, 增强预算的约束力和严肃性</w:t>
      </w: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落实预算执行分析,及时了解预算执行差异,合理调整、纠正预算执行偏差，切实提高</w:t>
      </w:r>
      <w:r>
        <w:rPr>
          <w:rFonts w:hint="eastAsia" w:ascii="楷体" w:hAnsi="楷体" w:eastAsia="楷体" w:cs="仿宋"/>
          <w:color w:val="000000" w:themeColor="text1"/>
          <w:spacing w:val="-4"/>
          <w:sz w:val="32"/>
          <w:szCs w:val="32"/>
          <w:lang w:eastAsia="zh-CN"/>
        </w:rPr>
        <w:t>单位</w:t>
      </w:r>
      <w:r>
        <w:rPr>
          <w:rFonts w:ascii="楷体" w:hAnsi="楷体" w:eastAsia="楷体" w:cs="仿宋"/>
          <w:color w:val="000000" w:themeColor="text1"/>
          <w:spacing w:val="-4"/>
          <w:sz w:val="32"/>
          <w:szCs w:val="32"/>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（二）</w:t>
      </w:r>
      <w:r>
        <w:rPr>
          <w:rFonts w:ascii="楷体" w:hAnsi="楷体" w:eastAsia="楷体" w:cs="仿宋"/>
          <w:color w:val="000000" w:themeColor="text1"/>
          <w:spacing w:val="-4"/>
          <w:sz w:val="32"/>
          <w:szCs w:val="32"/>
        </w:rPr>
        <w:t>完善管理制度,进-步加强资产管理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000000" w:themeColor="text1"/>
          <w:spacing w:val="-4"/>
          <w:sz w:val="32"/>
          <w:szCs w:val="32"/>
        </w:rPr>
      </w:pPr>
      <w:r>
        <w:rPr>
          <w:rFonts w:ascii="仿宋_GB2312" w:hAnsi="仿宋" w:eastAsia="仿宋_GB2312" w:cs="仿宋"/>
          <w:color w:val="000000" w:themeColor="text1"/>
          <w:spacing w:val="-4"/>
          <w:sz w:val="32"/>
          <w:szCs w:val="32"/>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（三）加强学习如何科学合理制定绩效目标及考核体系，充分发挥绩效工作效用</w:t>
      </w:r>
      <w:r>
        <w:rPr>
          <w:rFonts w:hint="eastAsia" w:ascii="楷体" w:hAnsi="楷体" w:eastAsia="楷体" w:cs="仿宋"/>
          <w:color w:val="000000" w:themeColor="text1"/>
          <w:spacing w:val="-4"/>
          <w:sz w:val="32"/>
          <w:szCs w:val="32"/>
        </w:rPr>
        <w:t>。</w:t>
      </w:r>
    </w:p>
    <w:p>
      <w:pPr>
        <w:pStyle w:val="6"/>
        <w:widowControl/>
        <w:spacing w:before="0" w:beforeAutospacing="0" w:after="0" w:afterAutospacing="0" w:line="560" w:lineRule="exact"/>
        <w:ind w:firstLine="624" w:firstLineChars="200"/>
        <w:jc w:val="both"/>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000000" w:themeColor="text1"/>
          <w:spacing w:val="-4"/>
          <w:sz w:val="32"/>
          <w:szCs w:val="32"/>
        </w:rPr>
      </w:pPr>
      <w:r>
        <w:rPr>
          <w:rFonts w:hint="eastAsia" w:ascii="仿宋_GB2312" w:hAnsi="楷体" w:eastAsia="仿宋_GB2312" w:cs="仿宋"/>
          <w:color w:val="000000" w:themeColor="text1"/>
          <w:spacing w:val="-4"/>
          <w:sz w:val="32"/>
          <w:szCs w:val="32"/>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000000" w:themeColor="text1"/>
          <w:spacing w:val="-4"/>
          <w:sz w:val="32"/>
          <w:szCs w:val="32"/>
        </w:rPr>
      </w:pPr>
      <w:r>
        <w:rPr>
          <w:rFonts w:ascii="仿宋_GB2312" w:hAnsi="楷体" w:eastAsia="仿宋_GB2312" w:cs="仿宋"/>
          <w:color w:val="000000" w:themeColor="text1"/>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000000" w:themeColor="text1"/>
          <w:spacing w:val="-4"/>
          <w:sz w:val="32"/>
          <w:szCs w:val="32"/>
          <w:lang w:eastAsia="zh-CN"/>
        </w:rPr>
        <w:t>单位</w:t>
      </w:r>
      <w:r>
        <w:rPr>
          <w:rFonts w:ascii="仿宋_GB2312" w:hAnsi="楷体" w:eastAsia="仿宋_GB2312" w:cs="仿宋"/>
          <w:color w:val="000000" w:themeColor="text1"/>
          <w:spacing w:val="-4"/>
          <w:sz w:val="32"/>
          <w:szCs w:val="32"/>
        </w:rPr>
        <w:t>的紧密配合,开展好整体支出及项目资金绩效管理工作,运用好绩 效评价的结果,不断提升预算管理水平。</w:t>
      </w:r>
    </w:p>
    <w:p>
      <w:pPr>
        <w:rPr>
          <w:rFonts w:ascii="仿宋" w:hAnsi="仿宋" w:eastAsia="仿宋" w:cs="Times New Roman"/>
          <w:bCs/>
          <w:color w:val="000000" w:themeColor="text1"/>
          <w:sz w:val="32"/>
          <w:szCs w:val="32"/>
        </w:rPr>
      </w:pPr>
    </w:p>
    <w:p/>
    <w:p>
      <w:pPr>
        <w:rPr>
          <w:rFonts w:ascii="仿宋" w:hAnsi="仿宋" w:eastAsia="仿宋" w:cs="Times New Roman"/>
          <w:bCs/>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7E46C2A6"/>
    <w:multiLevelType w:val="singleLevel"/>
    <w:tmpl w:val="7E46C2A6"/>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C525D71"/>
    <w:rsid w:val="0E2D1421"/>
    <w:rsid w:val="0F484CBE"/>
    <w:rsid w:val="11970B0A"/>
    <w:rsid w:val="13AD26E3"/>
    <w:rsid w:val="13DE6457"/>
    <w:rsid w:val="141C6243"/>
    <w:rsid w:val="1A7560E9"/>
    <w:rsid w:val="1A7D2E72"/>
    <w:rsid w:val="1A917ED0"/>
    <w:rsid w:val="1ACC0302"/>
    <w:rsid w:val="1CEF2574"/>
    <w:rsid w:val="1D5B2720"/>
    <w:rsid w:val="227375DB"/>
    <w:rsid w:val="2609450D"/>
    <w:rsid w:val="29F9207F"/>
    <w:rsid w:val="2AD75074"/>
    <w:rsid w:val="2EC316AE"/>
    <w:rsid w:val="2F187AB3"/>
    <w:rsid w:val="2F2E1EC8"/>
    <w:rsid w:val="30E07F90"/>
    <w:rsid w:val="30EC662D"/>
    <w:rsid w:val="3455214F"/>
    <w:rsid w:val="353C0AD7"/>
    <w:rsid w:val="38231B14"/>
    <w:rsid w:val="3B2B6289"/>
    <w:rsid w:val="3CCA3DC7"/>
    <w:rsid w:val="412B7D01"/>
    <w:rsid w:val="448C481E"/>
    <w:rsid w:val="4D457C38"/>
    <w:rsid w:val="4E31105E"/>
    <w:rsid w:val="4ECD6109"/>
    <w:rsid w:val="4FFE62F1"/>
    <w:rsid w:val="517E1B32"/>
    <w:rsid w:val="555C287A"/>
    <w:rsid w:val="55D03A95"/>
    <w:rsid w:val="599F2F96"/>
    <w:rsid w:val="5D6176A7"/>
    <w:rsid w:val="5E9A6DAE"/>
    <w:rsid w:val="616E0F8F"/>
    <w:rsid w:val="63822BEE"/>
    <w:rsid w:val="66540FAC"/>
    <w:rsid w:val="66EA4AC9"/>
    <w:rsid w:val="6B6C251C"/>
    <w:rsid w:val="6FE15325"/>
    <w:rsid w:val="7810477E"/>
    <w:rsid w:val="794F6C90"/>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样式1"/>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6574</Words>
  <Characters>6958</Characters>
  <Lines>58</Lines>
  <Paragraphs>16</Paragraphs>
  <TotalTime>3</TotalTime>
  <ScaleCrop>false</ScaleCrop>
  <LinksUpToDate>false</LinksUpToDate>
  <CharactersWithSpaces>6979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2022-08-31T02:56:36Z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