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和田市人力资源和社会保障局</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eastAsia"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和田市人力资源和社会保障局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16</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坚持以习近平新时代中国特色社会主义思想为指导，树牢“四个意识”，坚定“四个自信”，坚决做到“两个维护”，聚焦社会稳定和长治久安总目标，全面贯彻落实自治区党委、地委有关人力资源和社会保障工作的方针政策和决策部署，坚持和加强党对人力资源和社会保障工作的领导，履职尽责、担当作为。主要职责是：</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贯彻执行人力资源和社会保障工作的法律、法规、规章和方针、政策；编制全市人力资源和社会保障事业发展规划，拟订相关政策及实施办法，经批准后组织实施和监督检查；负责全市人力资源和社会保障相关领域的统计工作。</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rPr>
        <w:t>）负责促进就业创业工作。完善公共就业服务体系和就业援助制度；统筹城乡就业工作，拟订并组织实施城乡统筹就业发展规划和政策；促进创业和充分就业工作，参与积极就业、促进创业政策的拟制、完善和执行工作；做好失业保险基金管理及失业人员管理服务；参与失业保险政策和失业保险事业发展规划的拟订工作；拟订并组织实施促进高校毕业生就业的政策；建立健全就业失业预测预警、监控分析制度，保持就业形势稳定。</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负责综合管理全市人才开发工作。协同拟订并组织实施全市人才发展战略、规划和人才工作有关重要政策措施；指导和协调全市人才选拔、培养、引进等人才项目的组织实施；负责全市专业技术人才队伍和技能人才队伍的综合管理，研究制定相关发展规划和政策措施；贯彻实施职称制度改革，实施专业技术职（执）业资格制度；组织拟订技能人才培养、评价、使用和激励政策；完善技能人才职业资格制度，统筹建立面向城乡劳动者的职业技能培训制度；拟订人力资源市场发展规划和人力资源服务业发展、人力资源流动政策。</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负责基本养老保险、工伤保险和失业保险工作。拟订全市养老保险、工伤保险、失业保险有关政策和实施办法；会同有关部门拟订基本养老保险基金、工伤保险基金和失业保险基金及补充养老保险基金管理办法和监督制度，对全市养老保险、工伤保险、失业保险及补充养老保险基金管理实施行政监督；组织实施预测预警分析并拟订应对措施，实施预防、调节和控制；完善经办服务体系建设；负责各类补充保险相关内容的审核和备案；负责全市企业退休人员社会化管理工作。</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）会同有关部门拟订建立企事业单位人员工资正常增长和支付保障机制；综合管理事业单位和机关工勤人员人事工作；会同有关部门指导全市事业单位人事制度改革。</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6</w:t>
      </w:r>
      <w:r>
        <w:rPr>
          <w:rFonts w:hint="eastAsia" w:ascii="仿宋_GB2312" w:hAnsi="仿宋" w:eastAsia="仿宋_GB2312" w:cs="Times New Roman"/>
          <w:bCs/>
          <w:color w:val="auto"/>
          <w:sz w:val="32"/>
          <w:szCs w:val="32"/>
          <w:highlight w:val="none"/>
        </w:rPr>
        <w:t>）统筹拟订全市劳动、人事争议调解仲裁制度和劳动关系政策，完善劳动关系协调机制；制定消除非法使用童工政策和女职工、未成年工特殊劳动保护政策，制定完善工时制度和职工休假制度，组织实施劳动监察，依法对用人单位和劳动者遵守劳动保障法律法规、政策情况进行监督检查，协调劳动者维权，依法查处劳动违法案件。会同有关部门拟订农民工工作、家庭服务业发展综合性政策和规划，推动相关政策的落实。</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）完成市委、市政府交办的其他任务。</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新疆和田市人力资源和社会保障局无下属预算单位，下设17个科室，分别是：办公室、党群办公室、财务室、基金监督管理科、职业能力建设科、就业扶贫办公室、劳动监察大队、仲裁院、事业科、专业技术人员管理科、城镇养老失业保险科、工资福利科、档案室等。</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新疆和田市人力资源和社会保障局编制数</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人，实有人数</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人，其中：在职</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人；退休</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重点工作计划</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贯彻执行人力资源和社会保障工作的法律、法规、规章和方针、政策；完善公共就业服务体系和就业援助制度；统筹城乡就业工作，对全市养老保险、工伤保险、失业保险及补充养老保险基金管理实施行</w:t>
      </w:r>
      <w:bookmarkStart w:id="0" w:name="_GoBack"/>
      <w:bookmarkEnd w:id="0"/>
      <w:r>
        <w:rPr>
          <w:rFonts w:hint="eastAsia" w:ascii="仿宋_GB2312" w:hAnsi="仿宋" w:eastAsia="仿宋_GB2312" w:cs="Times New Roman"/>
          <w:bCs/>
          <w:color w:val="auto"/>
          <w:sz w:val="32"/>
          <w:szCs w:val="32"/>
          <w:highlight w:val="none"/>
        </w:rPr>
        <w:t>政监督，依法对用人单位和劳动者遵守劳动保障法律法规、政策情况进行监督检查，协调劳动者维权，依法查处劳动违法案件。</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和田市人力资源和社会保障局</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1940.55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1559.54</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80.4</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1596.66</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343.89</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21.5</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人才引进人员增加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1370.26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1060.36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77.4</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1362.79</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7.47</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228.29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211.26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92.5</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9.98</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213.29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201.28</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342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287.92</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84.2</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（1）基本支出包括人员经费和公用经费。公用经费主要包括：办公费、水费、电费、邮电费、取暖费、差旅费、维修（护）费、劳务费、公务用车运行维护费等。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和田市人力资源和社会保障局</w:t>
      </w:r>
      <w:r>
        <w:rPr>
          <w:rFonts w:hint="eastAsia" w:hAnsi="方正楷体简体"/>
          <w:color w:val="auto"/>
          <w:highlight w:val="none"/>
        </w:rPr>
        <w:t>单位项目支出共涉及</w:t>
      </w:r>
      <w:r>
        <w:rPr>
          <w:rFonts w:hint="eastAsia" w:hAnsi="方正楷体简体"/>
          <w:color w:val="auto"/>
          <w:highlight w:val="none"/>
          <w:lang w:val="en-US" w:eastAsia="zh-CN"/>
        </w:rPr>
        <w:t>7</w:t>
      </w:r>
      <w:r>
        <w:rPr>
          <w:rFonts w:hint="eastAsia" w:hAnsi="方正楷体简体"/>
          <w:color w:val="auto"/>
          <w:highlight w:val="none"/>
        </w:rPr>
        <w:t>个项目，分别为：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业务经费</w:t>
            </w:r>
          </w:p>
        </w:tc>
        <w:tc>
          <w:tcPr>
            <w:tcW w:w="4261"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lang w:val="en-US" w:eastAsia="zh-CN"/>
              </w:rPr>
              <w:t>15</w:t>
            </w:r>
            <w:r>
              <w:rPr>
                <w:rFonts w:hint="eastAsia" w:ascii="仿宋_GB2312" w:hAnsi="仿宋" w:eastAsia="仿宋_GB2312" w:cs="宋体"/>
                <w:color w:val="auto"/>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jc w:val="left"/>
              <w:rPr>
                <w:rFonts w:hint="eastAsia" w:ascii="仿宋_GB2312" w:hAnsi="仿宋" w:eastAsia="仿宋_GB2312" w:cs="宋体"/>
                <w:color w:val="auto"/>
                <w:sz w:val="28"/>
                <w:szCs w:val="28"/>
                <w:highlight w:val="black"/>
              </w:rPr>
            </w:pPr>
          </w:p>
        </w:tc>
        <w:tc>
          <w:tcPr>
            <w:tcW w:w="4261" w:type="dxa"/>
            <w:vAlign w:val="center"/>
          </w:tcPr>
          <w:p>
            <w:pPr>
              <w:pStyle w:val="12"/>
              <w:spacing w:line="560" w:lineRule="exact"/>
              <w:ind w:left="0" w:leftChars="0" w:firstLine="0" w:firstLineChars="0"/>
              <w:rPr>
                <w:rFonts w:hint="eastAsia" w:ascii="仿宋_GB2312" w:hAnsi="仿宋" w:eastAsia="仿宋_GB2312" w:cs="宋体"/>
                <w:color w:val="auto"/>
                <w:sz w:val="28"/>
                <w:szCs w:val="28"/>
                <w:highlight w:val="blac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jc w:val="left"/>
              <w:rPr>
                <w:rFonts w:hint="eastAsia" w:ascii="仿宋_GB2312" w:hAnsi="仿宋" w:eastAsia="仿宋_GB2312" w:cs="宋体"/>
                <w:color w:val="auto"/>
                <w:sz w:val="28"/>
                <w:szCs w:val="28"/>
                <w:highlight w:val="black"/>
              </w:rPr>
            </w:pPr>
          </w:p>
        </w:tc>
        <w:tc>
          <w:tcPr>
            <w:tcW w:w="4261" w:type="dxa"/>
            <w:vAlign w:val="center"/>
          </w:tcPr>
          <w:p>
            <w:pPr>
              <w:pStyle w:val="12"/>
              <w:spacing w:line="560" w:lineRule="exact"/>
              <w:ind w:left="0" w:leftChars="0" w:firstLine="0" w:firstLineChars="0"/>
              <w:rPr>
                <w:rFonts w:hint="default" w:ascii="仿宋_GB2312" w:hAnsi="仿宋" w:eastAsia="仿宋_GB2312" w:cs="宋体"/>
                <w:color w:val="auto"/>
                <w:sz w:val="28"/>
                <w:szCs w:val="28"/>
                <w:highlight w:val="black"/>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jc w:val="left"/>
              <w:rPr>
                <w:rFonts w:hint="eastAsia" w:ascii="仿宋_GB2312" w:hAnsi="仿宋" w:eastAsia="仿宋_GB2312" w:cs="宋体"/>
                <w:color w:val="auto"/>
                <w:sz w:val="28"/>
                <w:szCs w:val="28"/>
                <w:highlight w:val="black"/>
              </w:rPr>
            </w:pPr>
          </w:p>
        </w:tc>
        <w:tc>
          <w:tcPr>
            <w:tcW w:w="4261" w:type="dxa"/>
            <w:vAlign w:val="center"/>
          </w:tcPr>
          <w:p>
            <w:pPr>
              <w:pStyle w:val="12"/>
              <w:spacing w:line="560" w:lineRule="exact"/>
              <w:ind w:firstLine="200" w:firstLineChars="0"/>
              <w:rPr>
                <w:rFonts w:hint="default" w:ascii="仿宋_GB2312" w:hAnsi="仿宋" w:eastAsia="仿宋_GB2312" w:cs="宋体"/>
                <w:color w:val="auto"/>
                <w:sz w:val="28"/>
                <w:szCs w:val="28"/>
                <w:highlight w:val="black"/>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“三支一扶”补助项目</w:t>
            </w:r>
          </w:p>
        </w:tc>
        <w:tc>
          <w:tcPr>
            <w:tcW w:w="4261" w:type="dxa"/>
            <w:vAlign w:val="center"/>
          </w:tcPr>
          <w:p>
            <w:pPr>
              <w:pStyle w:val="12"/>
              <w:spacing w:line="560" w:lineRule="exact"/>
              <w:ind w:firstLine="200" w:firstLineChars="0"/>
              <w:rPr>
                <w:rFonts w:hint="default" w:ascii="仿宋_GB2312" w:hAnsi="仿宋" w:eastAsia="仿宋_GB2312" w:cs="宋体"/>
                <w:color w:val="auto"/>
                <w:sz w:val="28"/>
                <w:szCs w:val="28"/>
                <w:highlight w:val="none"/>
                <w:lang w:val="en-US" w:eastAsia="zh-CN"/>
              </w:rPr>
            </w:pPr>
            <w:r>
              <w:rPr>
                <w:rFonts w:hint="eastAsia" w:ascii="仿宋_GB2312" w:hAnsi="仿宋" w:eastAsia="仿宋_GB2312" w:cs="宋体"/>
                <w:color w:val="auto"/>
                <w:sz w:val="28"/>
                <w:szCs w:val="28"/>
                <w:highlight w:val="none"/>
                <w:lang w:val="en-US" w:eastAsia="zh-CN"/>
              </w:rPr>
              <w:t>297万元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28"/>
                <w:szCs w:val="28"/>
                <w:highlight w:val="black"/>
              </w:rPr>
            </w:pPr>
          </w:p>
        </w:tc>
        <w:tc>
          <w:tcPr>
            <w:tcW w:w="4261" w:type="dxa"/>
            <w:vAlign w:val="center"/>
          </w:tcPr>
          <w:p>
            <w:pPr>
              <w:pStyle w:val="12"/>
              <w:spacing w:line="560" w:lineRule="exact"/>
              <w:rPr>
                <w:rFonts w:hint="default" w:ascii="仿宋_GB2312" w:hAnsi="仿宋" w:eastAsia="仿宋_GB2312" w:cs="宋体"/>
                <w:color w:val="auto"/>
                <w:sz w:val="28"/>
                <w:szCs w:val="28"/>
                <w:highlight w:val="black"/>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迎新春送温暖、稳岗留工</w:t>
            </w:r>
          </w:p>
        </w:tc>
        <w:tc>
          <w:tcPr>
            <w:tcW w:w="4261"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lang w:val="en-US" w:eastAsia="zh-CN"/>
              </w:rPr>
            </w:pPr>
            <w:r>
              <w:rPr>
                <w:rFonts w:hint="eastAsia" w:ascii="仿宋_GB2312" w:hAnsi="仿宋" w:eastAsia="仿宋_GB2312" w:cs="宋体"/>
                <w:color w:val="auto"/>
                <w:sz w:val="28"/>
                <w:szCs w:val="28"/>
                <w:highlight w:val="none"/>
                <w:lang w:val="en-US" w:eastAsia="zh-CN"/>
              </w:rPr>
              <w:t>30万元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val="en-US" w:eastAsia="zh-CN"/>
        </w:rPr>
        <w:t>内控</w:t>
      </w:r>
      <w:r>
        <w:rPr>
          <w:rFonts w:hint="eastAsia" w:ascii="仿宋_GB2312" w:hAnsi="方正楷体简体" w:eastAsia="仿宋_GB2312" w:cs="宋体"/>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尤其是“三公"经费</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因公出国（境）及公务接待费用支出严格控制</w:t>
      </w:r>
      <w:r>
        <w:rPr>
          <w:rFonts w:hint="eastAsia" w:ascii="仿宋_GB2312" w:hAnsi="方正楷体简体" w:eastAsia="仿宋_GB2312" w:cs="宋体"/>
          <w:color w:val="auto"/>
          <w:sz w:val="32"/>
          <w:szCs w:val="32"/>
          <w:highlight w:val="none"/>
          <w:lang w:val="en-US" w:eastAsia="zh-CN"/>
        </w:rPr>
        <w:t>为0</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和田市人力资源和社会保障局</w:t>
      </w:r>
      <w:r>
        <w:rPr>
          <w:rFonts w:hint="eastAsia" w:ascii="仿宋_GB2312" w:hAnsi="方正楷体简体" w:eastAsia="仿宋_GB2312" w:cs="宋体"/>
          <w:color w:val="auto"/>
          <w:sz w:val="32"/>
          <w:szCs w:val="32"/>
          <w:highlight w:val="none"/>
        </w:rPr>
        <w:t>单位基本支出预算总额</w:t>
      </w:r>
      <w:r>
        <w:rPr>
          <w:rFonts w:hint="eastAsia" w:ascii="仿宋_GB2312" w:hAnsi="方正楷体简体" w:eastAsia="仿宋_GB2312" w:cs="宋体"/>
          <w:color w:val="auto"/>
          <w:sz w:val="32"/>
          <w:szCs w:val="32"/>
          <w:highlight w:val="none"/>
          <w:lang w:val="en-US" w:eastAsia="zh-CN"/>
        </w:rPr>
        <w:t>1370.26</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1342.47</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27.99</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1060.36</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77.4</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9.2</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shd w:val="clear" w:color="auto" w:fill="auto"/>
        </w:rPr>
      </w:pPr>
      <w:r>
        <w:rPr>
          <w:rFonts w:hint="eastAsia" w:ascii="仿宋_GB2312" w:hAnsi="方正楷体简体" w:eastAsia="仿宋_GB2312" w:cs="宋体"/>
          <w:color w:val="auto"/>
          <w:sz w:val="32"/>
          <w:szCs w:val="32"/>
          <w:highlight w:val="none"/>
          <w:shd w:val="clear" w:color="auto" w:fill="auto"/>
          <w:lang w:eastAsia="zh-CN"/>
        </w:rPr>
        <w:t>2021</w:t>
      </w:r>
      <w:r>
        <w:rPr>
          <w:rFonts w:hint="eastAsia" w:ascii="仿宋_GB2312" w:hAnsi="方正楷体简体" w:eastAsia="仿宋_GB2312" w:cs="宋体"/>
          <w:color w:val="auto"/>
          <w:sz w:val="32"/>
          <w:szCs w:val="32"/>
          <w:highlight w:val="none"/>
          <w:shd w:val="clear" w:color="auto" w:fill="auto"/>
        </w:rPr>
        <w:t>年“三公”经费预算数为</w:t>
      </w:r>
      <w:r>
        <w:rPr>
          <w:rFonts w:hint="eastAsia" w:ascii="仿宋_GB2312" w:hAnsi="方正楷体简体" w:eastAsia="仿宋_GB2312" w:cs="宋体"/>
          <w:color w:val="auto"/>
          <w:sz w:val="32"/>
          <w:szCs w:val="32"/>
          <w:highlight w:val="none"/>
          <w:shd w:val="clear" w:color="auto" w:fill="auto"/>
          <w:lang w:val="en-US" w:eastAsia="zh-CN"/>
        </w:rPr>
        <w:t>9.2</w:t>
      </w:r>
      <w:r>
        <w:rPr>
          <w:rFonts w:hint="eastAsia" w:ascii="仿宋_GB2312" w:hAnsi="方正楷体简体" w:eastAsia="仿宋_GB2312" w:cs="宋体"/>
          <w:color w:val="auto"/>
          <w:sz w:val="32"/>
          <w:szCs w:val="32"/>
          <w:highlight w:val="none"/>
          <w:shd w:val="clear" w:color="auto" w:fill="auto"/>
        </w:rPr>
        <w:t>万元，其中，公务用车运行维护费</w:t>
      </w:r>
      <w:r>
        <w:rPr>
          <w:rFonts w:hint="eastAsia" w:ascii="仿宋_GB2312" w:hAnsi="方正楷体简体" w:eastAsia="仿宋_GB2312" w:cs="宋体"/>
          <w:color w:val="auto"/>
          <w:sz w:val="32"/>
          <w:szCs w:val="32"/>
          <w:highlight w:val="none"/>
          <w:shd w:val="clear" w:color="auto" w:fill="auto"/>
          <w:lang w:val="en-US" w:eastAsia="zh-CN"/>
        </w:rPr>
        <w:t>9.2</w:t>
      </w:r>
      <w:r>
        <w:rPr>
          <w:rFonts w:hint="eastAsia" w:ascii="仿宋_GB2312" w:hAnsi="方正楷体简体" w:eastAsia="仿宋_GB2312" w:cs="宋体"/>
          <w:color w:val="auto"/>
          <w:sz w:val="32"/>
          <w:szCs w:val="32"/>
          <w:highlight w:val="none"/>
          <w:shd w:val="clear" w:color="auto" w:fill="auto"/>
        </w:rPr>
        <w:t>万元。全年“三公”经费支出</w:t>
      </w:r>
      <w:r>
        <w:rPr>
          <w:rFonts w:hint="eastAsia" w:ascii="仿宋_GB2312" w:hAnsi="方正楷体简体" w:eastAsia="仿宋_GB2312" w:cs="宋体"/>
          <w:color w:val="auto"/>
          <w:sz w:val="32"/>
          <w:szCs w:val="32"/>
          <w:highlight w:val="none"/>
          <w:shd w:val="clear" w:color="auto" w:fill="auto"/>
          <w:lang w:val="en-US" w:eastAsia="zh-CN"/>
        </w:rPr>
        <w:t>6.66</w:t>
      </w:r>
      <w:r>
        <w:rPr>
          <w:rFonts w:hint="eastAsia" w:ascii="仿宋_GB2312" w:hAnsi="方正楷体简体" w:eastAsia="仿宋_GB2312" w:cs="宋体"/>
          <w:color w:val="auto"/>
          <w:sz w:val="32"/>
          <w:szCs w:val="32"/>
          <w:highlight w:val="none"/>
          <w:shd w:val="clear" w:color="auto" w:fill="auto"/>
        </w:rPr>
        <w:t>万元，其中公务用车运行维护费</w:t>
      </w:r>
      <w:r>
        <w:rPr>
          <w:rFonts w:hint="eastAsia" w:ascii="仿宋_GB2312" w:hAnsi="方正楷体简体" w:eastAsia="仿宋_GB2312" w:cs="宋体"/>
          <w:color w:val="auto"/>
          <w:sz w:val="32"/>
          <w:szCs w:val="32"/>
          <w:highlight w:val="none"/>
          <w:shd w:val="clear" w:color="auto" w:fill="auto"/>
          <w:lang w:val="en-US" w:eastAsia="zh-CN"/>
        </w:rPr>
        <w:t>6.66</w:t>
      </w:r>
      <w:r>
        <w:rPr>
          <w:rFonts w:hint="eastAsia" w:ascii="仿宋_GB2312" w:hAnsi="方正楷体简体" w:eastAsia="仿宋_GB2312" w:cs="宋体"/>
          <w:color w:val="auto"/>
          <w:sz w:val="32"/>
          <w:szCs w:val="32"/>
          <w:highlight w:val="none"/>
          <w:shd w:val="clear" w:color="auto" w:fill="auto"/>
        </w:rPr>
        <w:t>万元，较</w:t>
      </w:r>
      <w:r>
        <w:rPr>
          <w:rFonts w:hint="eastAsia" w:ascii="仿宋_GB2312" w:hAnsi="方正楷体简体" w:eastAsia="仿宋_GB2312" w:cs="宋体"/>
          <w:color w:val="auto"/>
          <w:sz w:val="32"/>
          <w:szCs w:val="32"/>
          <w:highlight w:val="none"/>
          <w:shd w:val="clear" w:color="auto" w:fill="auto"/>
          <w:lang w:val="en-US" w:eastAsia="zh-CN"/>
        </w:rPr>
        <w:t>2020</w:t>
      </w:r>
      <w:r>
        <w:rPr>
          <w:rFonts w:hint="eastAsia" w:ascii="仿宋_GB2312" w:hAnsi="方正楷体简体" w:eastAsia="仿宋_GB2312" w:cs="宋体"/>
          <w:color w:val="auto"/>
          <w:sz w:val="32"/>
          <w:szCs w:val="32"/>
          <w:highlight w:val="none"/>
          <w:shd w:val="clear" w:color="auto" w:fill="auto"/>
        </w:rPr>
        <w:t>年“三公”经费决算</w:t>
      </w:r>
      <w:r>
        <w:rPr>
          <w:rFonts w:hint="eastAsia" w:ascii="仿宋_GB2312" w:hAnsi="方正楷体简体" w:eastAsia="仿宋_GB2312" w:cs="宋体"/>
          <w:color w:val="auto"/>
          <w:sz w:val="32"/>
          <w:szCs w:val="32"/>
          <w:highlight w:val="none"/>
          <w:shd w:val="clear" w:color="auto" w:fill="auto"/>
          <w:lang w:val="en-US" w:eastAsia="zh-CN"/>
        </w:rPr>
        <w:t>7.99</w:t>
      </w:r>
      <w:r>
        <w:rPr>
          <w:rFonts w:hint="eastAsia" w:ascii="仿宋_GB2312" w:hAnsi="方正楷体简体" w:eastAsia="仿宋_GB2312" w:cs="宋体"/>
          <w:color w:val="auto"/>
          <w:sz w:val="32"/>
          <w:szCs w:val="32"/>
          <w:highlight w:val="none"/>
          <w:shd w:val="clear" w:color="auto" w:fill="auto"/>
        </w:rPr>
        <w:t>万元，</w:t>
      </w:r>
      <w:r>
        <w:rPr>
          <w:rFonts w:hint="eastAsia" w:ascii="仿宋_GB2312" w:hAnsi="方正楷体简体" w:eastAsia="仿宋_GB2312" w:cs="宋体"/>
          <w:color w:val="auto"/>
          <w:sz w:val="32"/>
          <w:szCs w:val="32"/>
          <w:highlight w:val="none"/>
          <w:shd w:val="clear" w:color="auto" w:fill="auto"/>
          <w:lang w:eastAsia="zh-CN"/>
        </w:rPr>
        <w:t>上浮</w:t>
      </w:r>
      <w:r>
        <w:rPr>
          <w:rFonts w:hint="eastAsia" w:ascii="仿宋_GB2312" w:hAnsi="方正楷体简体" w:eastAsia="仿宋_GB2312" w:cs="宋体"/>
          <w:color w:val="auto"/>
          <w:sz w:val="32"/>
          <w:szCs w:val="32"/>
          <w:highlight w:val="none"/>
          <w:shd w:val="clear" w:color="auto" w:fill="auto"/>
          <w:lang w:val="en-US" w:eastAsia="zh-CN"/>
        </w:rPr>
        <w:t>15.1</w:t>
      </w:r>
      <w:r>
        <w:rPr>
          <w:rFonts w:hint="eastAsia" w:ascii="仿宋_GB2312" w:hAnsi="方正楷体简体" w:eastAsia="仿宋_GB2312" w:cs="宋体"/>
          <w:color w:val="auto"/>
          <w:sz w:val="32"/>
          <w:szCs w:val="32"/>
          <w:highlight w:val="none"/>
          <w:shd w:val="clear" w:color="auto" w:fill="auto"/>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342</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287.92</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84.2</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460"/>
        <w:gridCol w:w="1350"/>
        <w:gridCol w:w="1493"/>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46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35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49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black"/>
                <w:lang w:val="en-US" w:eastAsia="zh-CN"/>
              </w:rPr>
            </w:pP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black"/>
                <w:lang w:val="en-US" w:eastAsia="zh-CN"/>
              </w:rPr>
            </w:pP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black"/>
                <w:lang w:val="en-US" w:eastAsia="zh-CN"/>
              </w:rPr>
            </w:pPr>
          </w:p>
        </w:tc>
        <w:tc>
          <w:tcPr>
            <w:tcW w:w="1460"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black"/>
                <w:lang w:val="en-US" w:eastAsia="zh-CN"/>
              </w:rPr>
            </w:pPr>
          </w:p>
        </w:tc>
        <w:tc>
          <w:tcPr>
            <w:tcW w:w="1350"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8"/>
                <w:szCs w:val="28"/>
                <w:highlight w:val="black"/>
                <w:lang w:val="en-US" w:eastAsia="zh-CN"/>
              </w:rPr>
            </w:pPr>
          </w:p>
        </w:tc>
        <w:tc>
          <w:tcPr>
            <w:tcW w:w="149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eastAsia="zh-CN"/>
              </w:rPr>
              <w:t>“</w:t>
            </w:r>
            <w:r>
              <w:rPr>
                <w:rFonts w:hint="eastAsia" w:ascii="仿宋_GB2312" w:hAnsi="仿宋" w:eastAsia="仿宋_GB2312" w:cs="宋体"/>
                <w:color w:val="auto"/>
                <w:kern w:val="0"/>
                <w:sz w:val="28"/>
                <w:szCs w:val="28"/>
                <w:highlight w:val="none"/>
                <w:lang w:val="en-US" w:eastAsia="zh-CN"/>
              </w:rPr>
              <w:t>三支一扶”补助项目</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297万元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243.54万元</w:t>
            </w:r>
          </w:p>
        </w:tc>
        <w:tc>
          <w:tcPr>
            <w:tcW w:w="1460"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82%</w:t>
            </w:r>
          </w:p>
        </w:tc>
        <w:tc>
          <w:tcPr>
            <w:tcW w:w="1350"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补助类</w:t>
            </w:r>
          </w:p>
        </w:tc>
        <w:tc>
          <w:tcPr>
            <w:tcW w:w="149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highlight w:val="none"/>
              </w:rPr>
            </w:pPr>
            <w:r>
              <w:rPr>
                <w:rFonts w:hint="eastAsia" w:ascii="仿宋_GB2312" w:hAnsi="仿宋" w:eastAsia="仿宋_GB2312" w:cs="宋体"/>
                <w:b/>
                <w:bCs/>
                <w:color w:val="auto"/>
                <w:kern w:val="0"/>
                <w:sz w:val="28"/>
                <w:szCs w:val="28"/>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342万元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287.92万元</w:t>
            </w:r>
          </w:p>
        </w:tc>
        <w:tc>
          <w:tcPr>
            <w:tcW w:w="1460"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84.2%</w:t>
            </w:r>
          </w:p>
        </w:tc>
        <w:tc>
          <w:tcPr>
            <w:tcW w:w="135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　</w:t>
            </w:r>
          </w:p>
        </w:tc>
        <w:tc>
          <w:tcPr>
            <w:tcW w:w="149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　</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570.29</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570.29</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499.18</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87.5</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87.5</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eastAsia="zh-CN"/>
        </w:rPr>
        <w:t>，</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个项目，通过项目的实施带来的效益：</w:t>
      </w:r>
      <w:r>
        <w:rPr>
          <w:rFonts w:hint="eastAsia" w:ascii="仿宋_GB2312" w:hAnsi="方正楷体简体" w:eastAsia="仿宋_GB2312" w:cs="宋体"/>
          <w:color w:val="auto"/>
          <w:sz w:val="32"/>
          <w:szCs w:val="32"/>
          <w:highlight w:val="none"/>
        </w:rPr>
        <w:t>通过项目的实施带来的效益：有效保障了各部门的正常运转，持续提升了为群众提供政府公共服务能力</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确保</w:t>
      </w:r>
      <w:r>
        <w:rPr>
          <w:rFonts w:hint="eastAsia" w:ascii="仿宋_GB2312" w:hAnsi="方正楷体简体" w:eastAsia="仿宋_GB2312" w:cs="宋体"/>
          <w:color w:val="auto"/>
          <w:sz w:val="32"/>
          <w:szCs w:val="32"/>
          <w:highlight w:val="none"/>
          <w:lang w:val="en-US" w:eastAsia="zh-CN"/>
        </w:rPr>
        <w:t>富余农村劳动力有组织转移务工安全有序开展，为提高农民收入水平提供保证；通过对城乡富余劳动力转移就业工作中表现突出人员和企业表彰，激发了农村富余劳动力外出务工积极性，提高了企业吸纳就业的动力。</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w:t>
      </w:r>
      <w:r>
        <w:rPr>
          <w:rStyle w:val="10"/>
          <w:rFonts w:hint="eastAsia" w:ascii="楷体" w:hAnsi="楷体" w:eastAsia="楷体"/>
          <w:b w:val="0"/>
          <w:bCs w:val="0"/>
          <w:color w:val="auto"/>
          <w:spacing w:val="-4"/>
          <w:sz w:val="32"/>
          <w:szCs w:val="32"/>
          <w:highlight w:val="none"/>
          <w:lang w:val="en-US" w:eastAsia="zh-CN"/>
        </w:rPr>
        <w:t>四</w:t>
      </w:r>
      <w:r>
        <w:rPr>
          <w:rStyle w:val="10"/>
          <w:rFonts w:hint="eastAsia" w:ascii="楷体" w:hAnsi="楷体" w:eastAsia="楷体"/>
          <w:b w:val="0"/>
          <w:bCs w:val="0"/>
          <w:color w:val="auto"/>
          <w:spacing w:val="-4"/>
          <w:sz w:val="32"/>
          <w:szCs w:val="32"/>
          <w:highlight w:val="none"/>
        </w:rPr>
        <w:t>）固定资产的管理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15</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83.3</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43人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43人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保障</w:t>
      </w:r>
      <w:r>
        <w:rPr>
          <w:rFonts w:hint="eastAsia" w:ascii="仿宋_GB2312" w:hAnsi="仿宋" w:eastAsia="仿宋_GB2312"/>
          <w:color w:val="auto"/>
          <w:sz w:val="32"/>
          <w:szCs w:val="32"/>
          <w:highlight w:val="none"/>
          <w:lang w:eastAsia="zh-CN"/>
        </w:rPr>
        <w:t>单位</w:t>
      </w:r>
      <w:r>
        <w:rPr>
          <w:rFonts w:hint="eastAsia" w:ascii="仿宋_GB2312" w:hAnsi="仿宋" w:eastAsia="仿宋_GB2312"/>
          <w:color w:val="auto"/>
          <w:sz w:val="32"/>
          <w:szCs w:val="32"/>
          <w:highlight w:val="none"/>
        </w:rPr>
        <w:t>预算项目数</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保障运转车辆数，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4辆</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4辆</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stheme="minorBidi"/>
          <w:b w:val="0"/>
          <w:bCs w:val="0"/>
          <w:color w:val="auto"/>
          <w:kern w:val="2"/>
          <w:sz w:val="32"/>
          <w:szCs w:val="32"/>
          <w:highlight w:val="none"/>
          <w:lang w:val="en-US" w:eastAsia="zh-CN" w:bidi="ar-SA"/>
        </w:rPr>
        <w:t>数量指标共计3个，完成3个，达到预期目标，数量指标完成。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完成了和田市人力资源和社会保障局工资及社保等各项缴费发放准确率，预期指标是100%，实际完成值是100%，指标完成率是100%，达到预期目标。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车辆正常运转率，预期指标是100%，实际完成值是100%，指标完成率是100%，达到预期目标。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事业单位考核工作完成率，预期指标是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质量指标共计3个，完成3个，达到预期目标，数量指标完成。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工资及社保等各项缴纳发放准确率，预期指标是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项目完成时间，预期指标是2020年12月，实际完成值是2020年12月，指标完成率是100%，达到预期目标。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项目完成及时率，预期指标是95%，实际完成值是95%，指标完成率是100%，达到预期目标。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时效指标共计3个，完成3个，达到预期目标，时效指标完成。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各项工资、福利、补助费用人均成本，预期指标是每人</w:t>
      </w:r>
      <w:r>
        <w:rPr>
          <w:rFonts w:hint="eastAsia" w:ascii="仿宋_GB2312" w:hAnsi="仿宋" w:eastAsia="仿宋_GB2312"/>
          <w:color w:val="auto"/>
          <w:sz w:val="32"/>
          <w:szCs w:val="32"/>
          <w:highlight w:val="none"/>
          <w:lang w:val="en-US" w:eastAsia="zh-CN"/>
        </w:rPr>
        <w:t>13.82</w:t>
      </w:r>
      <w:r>
        <w:rPr>
          <w:rFonts w:hint="eastAsia" w:ascii="仿宋_GB2312" w:hAnsi="仿宋" w:eastAsia="仿宋_GB2312"/>
          <w:color w:val="auto"/>
          <w:sz w:val="32"/>
          <w:szCs w:val="32"/>
          <w:highlight w:val="none"/>
        </w:rPr>
        <w:t>万元，实际完成值</w:t>
      </w:r>
      <w:r>
        <w:rPr>
          <w:rFonts w:hint="eastAsia" w:ascii="仿宋_GB2312" w:hAnsi="仿宋" w:eastAsia="仿宋_GB2312"/>
          <w:color w:val="auto"/>
          <w:sz w:val="32"/>
          <w:szCs w:val="32"/>
          <w:highlight w:val="none"/>
          <w:lang w:val="en-US" w:eastAsia="zh-CN"/>
        </w:rPr>
        <w:t>13.82</w:t>
      </w:r>
      <w:r>
        <w:rPr>
          <w:rFonts w:hint="eastAsia" w:ascii="仿宋_GB2312" w:hAnsi="仿宋" w:eastAsia="仿宋_GB2312"/>
          <w:color w:val="auto"/>
          <w:sz w:val="32"/>
          <w:szCs w:val="32"/>
          <w:highlight w:val="none"/>
        </w:rPr>
        <w:t>万元，指标完成率是100%，达到预期目标。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正常运转支出成</w:t>
      </w:r>
      <w:r>
        <w:rPr>
          <w:rFonts w:hint="eastAsia" w:ascii="仿宋_GB2312" w:hAnsi="仿宋" w:eastAsia="仿宋_GB2312"/>
          <w:color w:val="auto"/>
          <w:sz w:val="32"/>
          <w:szCs w:val="32"/>
          <w:highlight w:val="none"/>
          <w:lang w:val="en-US" w:eastAsia="zh-CN"/>
        </w:rPr>
        <w:t>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低于27.99</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16.75</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59.8</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。原因：预算不精准。措施：后期加强预算精准度。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eastAsia="仿宋_GB2312"/>
          <w:color w:val="auto"/>
          <w:highlight w:val="none"/>
          <w:lang w:val="en-US" w:eastAsia="zh-CN"/>
        </w:rPr>
      </w:pPr>
      <w:r>
        <w:rPr>
          <w:rFonts w:hint="eastAsia" w:ascii="仿宋_GB2312" w:hAnsi="仿宋" w:eastAsia="仿宋_GB2312"/>
          <w:color w:val="auto"/>
          <w:sz w:val="32"/>
          <w:szCs w:val="32"/>
          <w:highlight w:val="none"/>
        </w:rPr>
        <w:t>对个人和家庭补助成本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740.46</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441.8</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59.6</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原因：人才引进项目获得援疆项目资金支持。</w:t>
      </w:r>
      <w:r>
        <w:rPr>
          <w:rFonts w:hint="eastAsia" w:ascii="仿宋_GB2312" w:hAnsi="仿宋" w:eastAsia="仿宋_GB2312"/>
          <w:color w:val="auto"/>
          <w:sz w:val="32"/>
          <w:szCs w:val="32"/>
          <w:highlight w:val="none"/>
          <w:lang w:eastAsia="zh-CN"/>
        </w:rPr>
        <w:t>措施：后期加强预算精准度。</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预算项目成本，预期指标是</w:t>
      </w:r>
      <w:r>
        <w:rPr>
          <w:rFonts w:hint="eastAsia" w:ascii="仿宋_GB2312" w:hAnsi="仿宋" w:eastAsia="仿宋_GB2312"/>
          <w:color w:val="auto"/>
          <w:sz w:val="32"/>
          <w:szCs w:val="32"/>
          <w:highlight w:val="none"/>
          <w:lang w:val="en-US" w:eastAsia="zh-CN"/>
        </w:rPr>
        <w:t>15</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9.98</w:t>
      </w:r>
      <w:r>
        <w:rPr>
          <w:rFonts w:hint="eastAsia" w:ascii="仿宋_GB2312" w:hAnsi="仿宋" w:eastAsia="仿宋_GB2312"/>
          <w:color w:val="auto"/>
          <w:sz w:val="32"/>
          <w:szCs w:val="32"/>
          <w:highlight w:val="none"/>
        </w:rPr>
        <w:t>万元，指标完成率是66.</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%，未达到预期目标，原因：因办公设备配置标准超标，导致办公设备购置项目未实施。</w:t>
      </w:r>
      <w:r>
        <w:rPr>
          <w:rFonts w:hint="eastAsia" w:ascii="仿宋_GB2312" w:hAnsi="仿宋" w:eastAsia="仿宋_GB2312"/>
          <w:color w:val="auto"/>
          <w:sz w:val="32"/>
          <w:szCs w:val="32"/>
          <w:highlight w:val="none"/>
          <w:lang w:eastAsia="zh-CN"/>
        </w:rPr>
        <w:t>措施：后期加强预算精准度。</w:t>
      </w:r>
    </w:p>
    <w:p>
      <w:pPr>
        <w:spacing w:line="560" w:lineRule="exact"/>
        <w:ind w:firstLine="624" w:firstLineChars="200"/>
        <w:rPr>
          <w:rFonts w:hint="eastAsia"/>
          <w:color w:val="auto"/>
          <w:highlight w:val="none"/>
        </w:rPr>
      </w:pPr>
      <w:r>
        <w:rPr>
          <w:rFonts w:hint="eastAsia" w:ascii="仿宋_GB2312" w:hAnsi="楷体" w:eastAsia="仿宋_GB2312" w:cs="仿宋"/>
          <w:color w:val="auto"/>
          <w:spacing w:val="-4"/>
          <w:sz w:val="32"/>
          <w:szCs w:val="32"/>
          <w:highlight w:val="none"/>
          <w:lang w:eastAsia="zh-CN"/>
        </w:rPr>
        <w:t>成本</w:t>
      </w:r>
      <w:r>
        <w:rPr>
          <w:rFonts w:hint="eastAsia" w:ascii="仿宋_GB2312" w:hAnsi="楷体" w:eastAsia="仿宋_GB2312" w:cs="仿宋"/>
          <w:color w:val="auto"/>
          <w:spacing w:val="-4"/>
          <w:sz w:val="32"/>
          <w:szCs w:val="32"/>
          <w:highlight w:val="none"/>
        </w:rPr>
        <w:t>指标共计</w:t>
      </w:r>
      <w:r>
        <w:rPr>
          <w:rFonts w:hint="eastAsia" w:ascii="仿宋_GB2312" w:hAnsi="楷体" w:eastAsia="仿宋_GB2312" w:cs="仿宋"/>
          <w:color w:val="auto"/>
          <w:spacing w:val="-4"/>
          <w:sz w:val="32"/>
          <w:szCs w:val="32"/>
          <w:highlight w:val="none"/>
          <w:lang w:val="en-US" w:eastAsia="zh-CN"/>
        </w:rPr>
        <w:t>4</w:t>
      </w:r>
      <w:r>
        <w:rPr>
          <w:rFonts w:hint="eastAsia" w:ascii="仿宋_GB2312" w:hAnsi="楷体" w:eastAsia="仿宋_GB2312" w:cs="仿宋"/>
          <w:color w:val="auto"/>
          <w:spacing w:val="-4"/>
          <w:sz w:val="32"/>
          <w:szCs w:val="32"/>
          <w:highlight w:val="none"/>
        </w:rPr>
        <w:t>个，完成</w:t>
      </w:r>
      <w:r>
        <w:rPr>
          <w:rFonts w:hint="eastAsia" w:ascii="仿宋_GB2312" w:hAnsi="楷体" w:eastAsia="仿宋_GB2312" w:cs="仿宋"/>
          <w:color w:val="auto"/>
          <w:spacing w:val="-4"/>
          <w:sz w:val="32"/>
          <w:szCs w:val="32"/>
          <w:highlight w:val="none"/>
          <w:lang w:val="en-US" w:eastAsia="zh-CN"/>
        </w:rPr>
        <w:t>1</w:t>
      </w:r>
      <w:r>
        <w:rPr>
          <w:rFonts w:hint="eastAsia" w:ascii="仿宋_GB2312" w:hAnsi="楷体" w:eastAsia="仿宋_GB2312" w:cs="仿宋"/>
          <w:color w:val="auto"/>
          <w:spacing w:val="-4"/>
          <w:sz w:val="32"/>
          <w:szCs w:val="32"/>
          <w:highlight w:val="none"/>
        </w:rPr>
        <w:t>个，</w:t>
      </w:r>
      <w:r>
        <w:rPr>
          <w:rFonts w:hint="eastAsia" w:ascii="仿宋_GB2312" w:hAnsi="楷体" w:eastAsia="仿宋_GB2312" w:cs="仿宋"/>
          <w:color w:val="auto"/>
          <w:spacing w:val="-4"/>
          <w:sz w:val="32"/>
          <w:szCs w:val="32"/>
          <w:highlight w:val="none"/>
          <w:lang w:eastAsia="zh-CN"/>
        </w:rPr>
        <w:t>未</w:t>
      </w:r>
      <w:r>
        <w:rPr>
          <w:rFonts w:hint="eastAsia" w:ascii="仿宋_GB2312" w:hAnsi="楷体" w:eastAsia="仿宋_GB2312" w:cs="仿宋"/>
          <w:color w:val="auto"/>
          <w:spacing w:val="-4"/>
          <w:sz w:val="32"/>
          <w:szCs w:val="32"/>
          <w:highlight w:val="none"/>
        </w:rPr>
        <w:t>达到预期目标，</w:t>
      </w:r>
      <w:r>
        <w:rPr>
          <w:rFonts w:hint="eastAsia" w:ascii="仿宋_GB2312" w:hAnsi="楷体" w:eastAsia="仿宋_GB2312" w:cs="仿宋"/>
          <w:color w:val="auto"/>
          <w:spacing w:val="-4"/>
          <w:sz w:val="32"/>
          <w:szCs w:val="32"/>
          <w:highlight w:val="none"/>
          <w:lang w:eastAsia="zh-CN"/>
        </w:rPr>
        <w:t>成本</w:t>
      </w:r>
      <w:r>
        <w:rPr>
          <w:rFonts w:hint="eastAsia" w:ascii="仿宋_GB2312" w:hAnsi="楷体" w:eastAsia="仿宋_GB2312" w:cs="仿宋"/>
          <w:color w:val="auto"/>
          <w:spacing w:val="-4"/>
          <w:sz w:val="32"/>
          <w:szCs w:val="32"/>
          <w:highlight w:val="none"/>
        </w:rPr>
        <w:t>指标</w:t>
      </w:r>
      <w:r>
        <w:rPr>
          <w:rFonts w:hint="eastAsia" w:ascii="仿宋_GB2312" w:hAnsi="楷体" w:eastAsia="仿宋_GB2312" w:cs="仿宋"/>
          <w:color w:val="auto"/>
          <w:spacing w:val="-4"/>
          <w:sz w:val="32"/>
          <w:szCs w:val="32"/>
          <w:highlight w:val="none"/>
          <w:lang w:eastAsia="zh-CN"/>
        </w:rPr>
        <w:t>未</w:t>
      </w:r>
      <w:r>
        <w:rPr>
          <w:rFonts w:hint="eastAsia" w:ascii="仿宋_GB2312" w:hAnsi="楷体" w:eastAsia="仿宋_GB2312" w:cs="仿宋"/>
          <w:color w:val="auto"/>
          <w:spacing w:val="-4"/>
          <w:sz w:val="32"/>
          <w:szCs w:val="32"/>
          <w:highlight w:val="none"/>
        </w:rPr>
        <w:t>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lang w:eastAsia="zh-CN"/>
        </w:rPr>
      </w:pPr>
      <w:r>
        <w:rPr>
          <w:rFonts w:hint="eastAsia" w:ascii="仿宋_GB2312" w:hAnsi="楷体" w:eastAsia="仿宋_GB2312" w:cs="仿宋"/>
          <w:color w:val="auto"/>
          <w:spacing w:val="-4"/>
          <w:sz w:val="32"/>
          <w:szCs w:val="32"/>
          <w:highlight w:val="none"/>
          <w:lang w:eastAsia="zh-CN"/>
        </w:rPr>
        <w:t>无。</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w:t>
      </w:r>
      <w:r>
        <w:rPr>
          <w:rFonts w:hint="eastAsia" w:ascii="仿宋_GB2312" w:hAnsi="楷体" w:eastAsia="仿宋_GB2312" w:cs="仿宋"/>
          <w:color w:val="auto"/>
          <w:spacing w:val="-4"/>
          <w:sz w:val="32"/>
          <w:szCs w:val="32"/>
          <w:highlight w:val="none"/>
          <w:lang w:val="en-US" w:eastAsia="zh-CN"/>
        </w:rPr>
        <w:t>2</w:t>
      </w:r>
      <w:r>
        <w:rPr>
          <w:rFonts w:hint="eastAsia" w:ascii="仿宋_GB2312" w:hAnsi="楷体" w:eastAsia="仿宋_GB2312" w:cs="仿宋"/>
          <w:color w:val="auto"/>
          <w:spacing w:val="-4"/>
          <w:sz w:val="32"/>
          <w:szCs w:val="32"/>
          <w:highlight w:val="none"/>
        </w:rPr>
        <w:t>）项目实施的社会效益分析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保障单位正常运转，预期指标有效保障，实际完成值是有效保障，指标完成率是100%，达到预期目标。</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color w:val="auto"/>
          <w:highlight w:val="none"/>
        </w:rPr>
      </w:pPr>
      <w:r>
        <w:rPr>
          <w:rFonts w:hint="eastAsia" w:ascii="仿宋_GB2312" w:hAnsi="楷体" w:eastAsia="仿宋_GB2312" w:cs="仿宋"/>
          <w:color w:val="auto"/>
          <w:spacing w:val="-4"/>
          <w:sz w:val="32"/>
          <w:szCs w:val="32"/>
          <w:highlight w:val="none"/>
          <w:lang w:val="en-US" w:eastAsia="zh-CN"/>
        </w:rPr>
        <w:t>提高就业率</w:t>
      </w:r>
      <w:r>
        <w:rPr>
          <w:rFonts w:hint="eastAsia" w:ascii="仿宋_GB2312" w:hAnsi="楷体" w:eastAsia="仿宋_GB2312" w:cs="仿宋"/>
          <w:color w:val="auto"/>
          <w:spacing w:val="-4"/>
          <w:sz w:val="32"/>
          <w:szCs w:val="32"/>
          <w:highlight w:val="none"/>
        </w:rPr>
        <w:t>，预期指标有效提高，实际完成值是有效提高，指标完成率是100%，达到预期目标。</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社会效益指标共计</w:t>
      </w:r>
      <w:r>
        <w:rPr>
          <w:rFonts w:hint="eastAsia" w:ascii="仿宋_GB2312" w:hAnsi="楷体" w:eastAsia="仿宋_GB2312" w:cs="仿宋"/>
          <w:color w:val="auto"/>
          <w:spacing w:val="-4"/>
          <w:sz w:val="32"/>
          <w:szCs w:val="32"/>
          <w:highlight w:val="none"/>
          <w:lang w:val="en-US" w:eastAsia="zh-CN"/>
        </w:rPr>
        <w:t>2</w:t>
      </w:r>
      <w:r>
        <w:rPr>
          <w:rFonts w:hint="eastAsia" w:ascii="仿宋_GB2312" w:hAnsi="楷体" w:eastAsia="仿宋_GB2312" w:cs="仿宋"/>
          <w:color w:val="auto"/>
          <w:spacing w:val="-4"/>
          <w:sz w:val="32"/>
          <w:szCs w:val="32"/>
          <w:highlight w:val="none"/>
        </w:rPr>
        <w:t>个，完成</w:t>
      </w:r>
      <w:r>
        <w:rPr>
          <w:rFonts w:hint="eastAsia" w:ascii="仿宋_GB2312" w:hAnsi="楷体" w:eastAsia="仿宋_GB2312" w:cs="仿宋"/>
          <w:color w:val="auto"/>
          <w:spacing w:val="-4"/>
          <w:sz w:val="32"/>
          <w:szCs w:val="32"/>
          <w:highlight w:val="none"/>
          <w:lang w:val="en-US" w:eastAsia="zh-CN"/>
        </w:rPr>
        <w:t>2</w:t>
      </w:r>
      <w:r>
        <w:rPr>
          <w:rFonts w:hint="eastAsia" w:ascii="仿宋_GB2312" w:hAnsi="楷体" w:eastAsia="仿宋_GB2312" w:cs="仿宋"/>
          <w:color w:val="auto"/>
          <w:spacing w:val="-4"/>
          <w:sz w:val="32"/>
          <w:szCs w:val="32"/>
          <w:highlight w:val="none"/>
        </w:rPr>
        <w:t>个，达到预期目标，社会效益指标完成。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color w:val="auto"/>
          <w:highlight w:val="none"/>
          <w:lang w:eastAsia="zh-CN"/>
        </w:rPr>
      </w:pPr>
      <w:r>
        <w:rPr>
          <w:rFonts w:hint="eastAsia" w:ascii="仿宋_GB2312" w:hAnsi="仿宋_GB2312" w:eastAsia="仿宋_GB2312" w:cs="仿宋_GB2312"/>
          <w:b w:val="0"/>
          <w:bCs w:val="0"/>
          <w:color w:val="auto"/>
          <w:highlight w:val="none"/>
          <w:lang w:eastAsia="zh-CN"/>
        </w:rPr>
        <w:t>无。</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w:t>
      </w:r>
      <w:r>
        <w:rPr>
          <w:rFonts w:hint="eastAsia" w:ascii="仿宋_GB2312" w:hAnsi="楷体" w:eastAsia="仿宋_GB2312" w:cs="仿宋"/>
          <w:color w:val="auto"/>
          <w:spacing w:val="-4"/>
          <w:sz w:val="32"/>
          <w:szCs w:val="32"/>
          <w:highlight w:val="none"/>
          <w:lang w:val="en-US" w:eastAsia="zh-CN"/>
        </w:rPr>
        <w:t>4</w:t>
      </w:r>
      <w:r>
        <w:rPr>
          <w:rFonts w:hint="eastAsia" w:ascii="仿宋_GB2312" w:hAnsi="楷体" w:eastAsia="仿宋_GB2312" w:cs="仿宋"/>
          <w:color w:val="auto"/>
          <w:spacing w:val="-4"/>
          <w:sz w:val="32"/>
          <w:szCs w:val="32"/>
          <w:highlight w:val="none"/>
        </w:rPr>
        <w:t>）项目实施的可持续影响分析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持续为群众提供政府公共服务能，预期指标长期，实际完成值是长期，指标完成率是100%，达到预期目标。</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可持续指标共计1个，完成1个，达到预期目标，可持续影响指标完成。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rPr>
        <w:t>95%，实际完成值是95%，指标完成率是100%，达到预期目标。</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rPr>
        <w:t>95%，实际完成值是95%，指标完成率是100，达到预期目标。</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满意度指标共计2个，完成2个，达到预期目标，服务对象满意度指标完成。</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在预算资金额度内完成，并通过规范资金管理制度和规范的项目管理制度，严格对项目进行监控，保障项目资金落到实处。三公经费在预算范围内开支，开支范围较上年的变化，有节约。</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效率性评价：各项工作计划是按预期计划按时完成，效益按预期时间产生。</w:t>
      </w:r>
    </w:p>
    <w:p>
      <w:pPr>
        <w:pStyle w:val="12"/>
        <w:spacing w:line="560" w:lineRule="exact"/>
        <w:ind w:firstLine="624"/>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效益性评价：预期的经济效益、社会效益、可持续的影响产生，干部职工满意度95%，受益群众满意度95%。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对项目的评估不足，对项目资金使用方面前期预算不够精准，实际支出数小于预算申报数，出现项目资金结余的情况。</w:t>
      </w:r>
      <w:r>
        <w:rPr>
          <w:rFonts w:ascii="仿宋_GB2312" w:hAnsi="仿宋" w:eastAsia="仿宋_GB2312" w:cs="仿宋"/>
          <w:color w:val="auto"/>
          <w:spacing w:val="-4"/>
          <w:sz w:val="32"/>
          <w:szCs w:val="32"/>
          <w:highlight w:val="none"/>
        </w:rPr>
        <w:t>对个别项目资金使用方面预算不够细致，出现实际支出数超出了预算申报数和出现项目资金结金数额多的情况。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9972F2"/>
    <w:rsid w:val="077D059C"/>
    <w:rsid w:val="085A7547"/>
    <w:rsid w:val="08B25765"/>
    <w:rsid w:val="097807C5"/>
    <w:rsid w:val="0A531B8B"/>
    <w:rsid w:val="0DA768B8"/>
    <w:rsid w:val="0E2D1421"/>
    <w:rsid w:val="0EEB1C2D"/>
    <w:rsid w:val="0F484CBE"/>
    <w:rsid w:val="10DA02A6"/>
    <w:rsid w:val="113B5E82"/>
    <w:rsid w:val="11970B0A"/>
    <w:rsid w:val="12D96413"/>
    <w:rsid w:val="141C6243"/>
    <w:rsid w:val="175A26DC"/>
    <w:rsid w:val="19FE42BD"/>
    <w:rsid w:val="1A7D2E72"/>
    <w:rsid w:val="1ACC0302"/>
    <w:rsid w:val="1CEF2574"/>
    <w:rsid w:val="227375DB"/>
    <w:rsid w:val="29F9207F"/>
    <w:rsid w:val="2F187AB3"/>
    <w:rsid w:val="2F2E1EC8"/>
    <w:rsid w:val="2FCA3E52"/>
    <w:rsid w:val="30E07F90"/>
    <w:rsid w:val="3455214F"/>
    <w:rsid w:val="353C0AD7"/>
    <w:rsid w:val="35C66560"/>
    <w:rsid w:val="3B2B6289"/>
    <w:rsid w:val="3CCA3DC7"/>
    <w:rsid w:val="3FA96963"/>
    <w:rsid w:val="49E31DDF"/>
    <w:rsid w:val="4C176887"/>
    <w:rsid w:val="4D457C38"/>
    <w:rsid w:val="4E31105E"/>
    <w:rsid w:val="4ECD6109"/>
    <w:rsid w:val="517E1B32"/>
    <w:rsid w:val="555C287A"/>
    <w:rsid w:val="55D03A95"/>
    <w:rsid w:val="56644BBB"/>
    <w:rsid w:val="58A75755"/>
    <w:rsid w:val="599F2F96"/>
    <w:rsid w:val="5D6176A7"/>
    <w:rsid w:val="5E2356B9"/>
    <w:rsid w:val="616E0F8F"/>
    <w:rsid w:val="625F26CE"/>
    <w:rsid w:val="652B4FE6"/>
    <w:rsid w:val="66540FAC"/>
    <w:rsid w:val="6FE15325"/>
    <w:rsid w:val="75D3608E"/>
    <w:rsid w:val="7810477E"/>
    <w:rsid w:val="7D086F90"/>
    <w:rsid w:val="7D1349CC"/>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unhideWhenUsed/>
    <w:qFormat/>
    <w:uiPriority w:val="99"/>
    <w:rPr>
      <w:sz w:val="21"/>
      <w:szCs w:val="21"/>
    </w:rPr>
  </w:style>
  <w:style w:type="paragraph" w:customStyle="1"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样式1"/>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8067</Words>
  <Characters>8460</Characters>
  <Lines>58</Lines>
  <Paragraphs>16</Paragraphs>
  <TotalTime>7</TotalTime>
  <ScaleCrop>false</ScaleCrop>
  <LinksUpToDate>false</LinksUpToDate>
  <CharactersWithSpaces>8473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2022-08-30T11:25:39Z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