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p>
    <w:p>
      <w:pPr>
        <w:rPr>
          <w:color w:val="auto"/>
          <w:highlight w:val="none"/>
        </w:rPr>
      </w:pPr>
    </w:p>
    <w:p>
      <w:pPr>
        <w:rPr>
          <w:color w:val="auto"/>
          <w:highlight w:val="none"/>
        </w:rPr>
      </w:pPr>
    </w:p>
    <w:p>
      <w:pPr>
        <w:spacing w:line="540" w:lineRule="exact"/>
        <w:jc w:val="center"/>
        <w:rPr>
          <w:rFonts w:ascii="方正小标宋_GBK" w:hAnsi="华文中宋" w:eastAsia="方正小标宋_GBK" w:cs="宋体"/>
          <w:b/>
          <w:color w:val="auto"/>
          <w:kern w:val="0"/>
          <w:sz w:val="48"/>
          <w:szCs w:val="48"/>
          <w:highlight w:val="none"/>
        </w:rPr>
      </w:pP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lang w:val="en-US" w:eastAsia="zh-CN"/>
        </w:rPr>
        <w:t>和田市京都幼儿园</w:t>
      </w:r>
      <w:r>
        <w:rPr>
          <w:rFonts w:hint="eastAsia" w:ascii="方正小标宋_GBK" w:hAnsi="华文中宋" w:eastAsia="方正小标宋_GBK" w:cs="宋体"/>
          <w:b/>
          <w:color w:val="auto"/>
          <w:kern w:val="0"/>
          <w:sz w:val="44"/>
          <w:szCs w:val="44"/>
          <w:highlight w:val="none"/>
        </w:rPr>
        <w:t>单位整体支出</w:t>
      </w:r>
    </w:p>
    <w:p>
      <w:pPr>
        <w:spacing w:line="600" w:lineRule="exact"/>
        <w:jc w:val="center"/>
        <w:rPr>
          <w:rFonts w:ascii="方正小标宋_GBK" w:hAnsi="华文中宋" w:eastAsia="方正小标宋_GBK" w:cs="宋体"/>
          <w:b/>
          <w:color w:val="auto"/>
          <w:kern w:val="0"/>
          <w:sz w:val="44"/>
          <w:szCs w:val="44"/>
          <w:highlight w:val="none"/>
        </w:rPr>
      </w:pPr>
      <w:r>
        <w:rPr>
          <w:rFonts w:hint="eastAsia" w:ascii="方正小标宋_GBK" w:hAnsi="华文中宋" w:eastAsia="方正小标宋_GBK" w:cs="宋体"/>
          <w:b/>
          <w:color w:val="auto"/>
          <w:kern w:val="0"/>
          <w:sz w:val="44"/>
          <w:szCs w:val="44"/>
          <w:highlight w:val="none"/>
        </w:rPr>
        <w:t>绩效自评报告</w:t>
      </w:r>
    </w:p>
    <w:p>
      <w:pPr>
        <w:spacing w:line="540" w:lineRule="exact"/>
        <w:jc w:val="center"/>
        <w:rPr>
          <w:rFonts w:ascii="Times New Roman" w:hAnsi="宋体" w:eastAsia="仿宋_GB2312" w:cs="宋体"/>
          <w:color w:val="auto"/>
          <w:kern w:val="0"/>
          <w:sz w:val="36"/>
          <w:szCs w:val="36"/>
          <w:highlight w:val="none"/>
        </w:rPr>
      </w:pPr>
    </w:p>
    <w:p>
      <w:pPr>
        <w:jc w:val="center"/>
        <w:rPr>
          <w:rFonts w:hint="eastAsia" w:ascii="仿宋_GB2312" w:hAnsi="宋体" w:eastAsia="仿宋_GB2312" w:cs="宋体"/>
          <w:color w:val="auto"/>
          <w:kern w:val="0"/>
          <w:sz w:val="36"/>
          <w:szCs w:val="36"/>
          <w:highlight w:val="none"/>
        </w:rPr>
      </w:pPr>
      <w:r>
        <w:rPr>
          <w:rFonts w:hint="eastAsia" w:ascii="仿宋_GB2312" w:hAnsi="宋体" w:eastAsia="仿宋_GB2312" w:cs="宋体"/>
          <w:color w:val="auto"/>
          <w:kern w:val="0"/>
          <w:sz w:val="36"/>
          <w:szCs w:val="36"/>
          <w:highlight w:val="none"/>
        </w:rPr>
        <w:t>（</w:t>
      </w:r>
      <w:r>
        <w:rPr>
          <w:rFonts w:hint="eastAsia" w:ascii="仿宋_GB2312" w:hAnsi="宋体" w:eastAsia="仿宋_GB2312" w:cs="宋体"/>
          <w:color w:val="auto"/>
          <w:kern w:val="0"/>
          <w:sz w:val="36"/>
          <w:szCs w:val="36"/>
          <w:highlight w:val="none"/>
          <w:lang w:eastAsia="zh-CN"/>
        </w:rPr>
        <w:t>2021</w:t>
      </w:r>
      <w:r>
        <w:rPr>
          <w:rFonts w:hint="eastAsia" w:ascii="仿宋_GB2312" w:hAnsi="宋体" w:eastAsia="仿宋_GB2312" w:cs="宋体"/>
          <w:color w:val="auto"/>
          <w:kern w:val="0"/>
          <w:sz w:val="36"/>
          <w:szCs w:val="36"/>
          <w:highlight w:val="none"/>
        </w:rPr>
        <w:t>年度）</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hint="eastAsia" w:ascii="Times New Roman" w:hAnsi="宋体" w:eastAsia="仿宋_GB2312" w:cs="宋体"/>
          <w:color w:val="auto"/>
          <w:kern w:val="0"/>
          <w:sz w:val="36"/>
          <w:szCs w:val="36"/>
          <w:highlight w:val="none"/>
          <w:lang w:val="en-US" w:eastAsia="zh-CN"/>
        </w:rPr>
      </w:pPr>
      <w:r>
        <w:rPr>
          <w:rFonts w:hint="eastAsia" w:ascii="Times New Roman" w:hAnsi="宋体" w:eastAsia="仿宋_GB2312" w:cs="宋体"/>
          <w:color w:val="auto"/>
          <w:kern w:val="0"/>
          <w:sz w:val="36"/>
          <w:szCs w:val="36"/>
          <w:highlight w:val="none"/>
        </w:rPr>
        <w:t>单位名称（公章）：</w:t>
      </w:r>
      <w:r>
        <w:rPr>
          <w:rFonts w:hint="eastAsia" w:ascii="Times New Roman" w:hAnsi="宋体" w:eastAsia="仿宋_GB2312" w:cs="宋体"/>
          <w:color w:val="auto"/>
          <w:kern w:val="0"/>
          <w:sz w:val="36"/>
          <w:szCs w:val="36"/>
          <w:highlight w:val="none"/>
          <w:lang w:val="en-US" w:eastAsia="zh-CN"/>
        </w:rPr>
        <w:t>和田市京都幼儿园</w:t>
      </w:r>
    </w:p>
    <w:p>
      <w:pPr>
        <w:rPr>
          <w:rFonts w:ascii="Times New Roman" w:hAnsi="宋体" w:eastAsia="仿宋_GB2312" w:cs="宋体"/>
          <w:color w:val="auto"/>
          <w:kern w:val="0"/>
          <w:sz w:val="36"/>
          <w:szCs w:val="36"/>
          <w:highlight w:val="none"/>
        </w:rPr>
      </w:pPr>
      <w:r>
        <w:rPr>
          <w:rFonts w:hint="eastAsia" w:ascii="Times New Roman" w:hAnsi="宋体" w:eastAsia="仿宋_GB2312" w:cs="宋体"/>
          <w:color w:val="auto"/>
          <w:kern w:val="0"/>
          <w:sz w:val="36"/>
          <w:szCs w:val="36"/>
          <w:highlight w:val="none"/>
        </w:rPr>
        <w:t xml:space="preserve">填报时间：    </w:t>
      </w:r>
      <w:r>
        <w:rPr>
          <w:rFonts w:hint="eastAsia" w:ascii="Times New Roman" w:hAnsi="宋体" w:eastAsia="仿宋_GB2312" w:cs="宋体"/>
          <w:color w:val="auto"/>
          <w:kern w:val="0"/>
          <w:sz w:val="36"/>
          <w:szCs w:val="36"/>
          <w:highlight w:val="none"/>
          <w:lang w:val="en-US" w:eastAsia="zh-CN"/>
        </w:rPr>
        <w:t>2022</w:t>
      </w:r>
      <w:r>
        <w:rPr>
          <w:rFonts w:hint="eastAsia" w:ascii="Times New Roman" w:hAnsi="宋体" w:eastAsia="仿宋_GB2312" w:cs="宋体"/>
          <w:color w:val="auto"/>
          <w:kern w:val="0"/>
          <w:sz w:val="36"/>
          <w:szCs w:val="36"/>
          <w:highlight w:val="none"/>
        </w:rPr>
        <w:t xml:space="preserve"> 年   </w:t>
      </w:r>
      <w:r>
        <w:rPr>
          <w:rFonts w:hint="eastAsia" w:ascii="Times New Roman" w:hAnsi="宋体" w:eastAsia="仿宋_GB2312" w:cs="宋体"/>
          <w:color w:val="auto"/>
          <w:kern w:val="0"/>
          <w:sz w:val="36"/>
          <w:szCs w:val="36"/>
          <w:highlight w:val="none"/>
          <w:lang w:val="en-US" w:eastAsia="zh-CN"/>
        </w:rPr>
        <w:t>01</w:t>
      </w:r>
      <w:r>
        <w:rPr>
          <w:rFonts w:hint="eastAsia" w:ascii="Times New Roman" w:hAnsi="宋体" w:eastAsia="仿宋_GB2312" w:cs="宋体"/>
          <w:color w:val="auto"/>
          <w:kern w:val="0"/>
          <w:sz w:val="36"/>
          <w:szCs w:val="36"/>
          <w:highlight w:val="none"/>
        </w:rPr>
        <w:t xml:space="preserve">  月  </w:t>
      </w:r>
      <w:r>
        <w:rPr>
          <w:rFonts w:hint="eastAsia" w:ascii="Times New Roman" w:hAnsi="宋体" w:eastAsia="仿宋_GB2312" w:cs="宋体"/>
          <w:color w:val="auto"/>
          <w:kern w:val="0"/>
          <w:sz w:val="36"/>
          <w:szCs w:val="36"/>
          <w:highlight w:val="none"/>
          <w:lang w:val="en-US" w:eastAsia="zh-CN"/>
        </w:rPr>
        <w:t>11</w:t>
      </w:r>
      <w:r>
        <w:rPr>
          <w:rFonts w:hint="eastAsia" w:ascii="Times New Roman" w:hAnsi="宋体" w:eastAsia="仿宋_GB2312" w:cs="宋体"/>
          <w:color w:val="auto"/>
          <w:kern w:val="0"/>
          <w:sz w:val="36"/>
          <w:szCs w:val="36"/>
          <w:highlight w:val="none"/>
        </w:rPr>
        <w:t xml:space="preserve">   日</w:t>
      </w:r>
    </w:p>
    <w:p>
      <w:pPr>
        <w:rPr>
          <w:rFonts w:ascii="Times New Roman" w:hAnsi="宋体" w:eastAsia="仿宋_GB2312" w:cs="宋体"/>
          <w:color w:val="auto"/>
          <w:kern w:val="0"/>
          <w:sz w:val="36"/>
          <w:szCs w:val="36"/>
          <w:highlight w:val="none"/>
        </w:rPr>
      </w:pPr>
    </w:p>
    <w:p>
      <w:pPr>
        <w:rPr>
          <w:rFonts w:ascii="方正小标宋简体" w:hAnsi="宋体" w:eastAsia="方正小标宋简体" w:cs="宋体"/>
          <w:color w:val="auto"/>
          <w:kern w:val="0"/>
          <w:sz w:val="36"/>
          <w:szCs w:val="36"/>
          <w:highlight w:val="none"/>
        </w:rPr>
      </w:pPr>
    </w:p>
    <w:p>
      <w:pPr>
        <w:pStyle w:val="2"/>
        <w:rPr>
          <w:color w:val="auto"/>
          <w:highlight w:val="none"/>
        </w:rPr>
      </w:pPr>
    </w:p>
    <w:p>
      <w:pPr>
        <w:rPr>
          <w:color w:val="auto"/>
          <w:highlight w:val="none"/>
        </w:rPr>
      </w:pPr>
    </w:p>
    <w:p>
      <w:pPr>
        <w:rPr>
          <w:color w:val="auto"/>
          <w:highlight w:val="none"/>
        </w:rPr>
      </w:pP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一、基本概况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（一）单位基本情况</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w:t>
      </w:r>
      <w:r>
        <w:rPr>
          <w:rFonts w:hint="eastAsia" w:ascii="仿宋_GB2312" w:hAnsi="仿宋" w:eastAsia="仿宋_GB2312" w:cs="Times New Roman"/>
          <w:bCs/>
          <w:color w:val="auto"/>
          <w:sz w:val="32"/>
          <w:szCs w:val="32"/>
          <w:highlight w:val="none"/>
          <w:lang w:val="en-US" w:eastAsia="zh-CN"/>
        </w:rPr>
        <w:t>单位</w:t>
      </w:r>
      <w:r>
        <w:rPr>
          <w:rFonts w:hint="eastAsia" w:ascii="仿宋_GB2312" w:hAnsi="仿宋" w:eastAsia="仿宋_GB2312" w:cs="Times New Roman"/>
          <w:bCs/>
          <w:color w:val="auto"/>
          <w:sz w:val="32"/>
          <w:szCs w:val="32"/>
          <w:highlight w:val="none"/>
        </w:rPr>
        <w:t>主要职能</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和田市</w:t>
      </w:r>
      <w:r>
        <w:rPr>
          <w:rFonts w:hint="eastAsia" w:ascii="仿宋_GB2312" w:hAnsi="仿宋" w:eastAsia="仿宋_GB2312" w:cs="Times New Roman"/>
          <w:bCs/>
          <w:color w:val="auto"/>
          <w:sz w:val="32"/>
          <w:szCs w:val="32"/>
          <w:highlight w:val="none"/>
          <w:lang w:val="en-US" w:eastAsia="zh-CN"/>
        </w:rPr>
        <w:t>京都</w:t>
      </w:r>
      <w:r>
        <w:rPr>
          <w:rFonts w:hint="eastAsia" w:ascii="仿宋_GB2312" w:hAnsi="仿宋" w:eastAsia="仿宋_GB2312" w:cs="Times New Roman"/>
          <w:bCs/>
          <w:color w:val="auto"/>
          <w:sz w:val="32"/>
          <w:szCs w:val="32"/>
          <w:highlight w:val="none"/>
        </w:rPr>
        <w:t>幼儿园成立于201</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年9月，上级主管单位为和田市教育局，为副科级全额拨款事业单位。主要职能如下：</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（1）认真贯彻执行党和国家的有关法律法规、方针、 政策，坚持民主管理，依法办园，执行上级主管部门的指示和决定。</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 xml:space="preserve">（2）实行保育和教育相结合的原则，对幼儿实施体、智、 德、美诸方面全面发展的教育，促进其身心和谐发展。 </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 xml:space="preserve">（3）合理组织幼儿一日生活活动和其它活动，促进幼儿体 智德美等和谐发展，全面实施素质教育。 </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 xml:space="preserve">（4）严格执行幼儿园安全、卫生保健制度，保证幼儿身心 健康和生命安全。 </w:t>
      </w:r>
    </w:p>
    <w:p>
      <w:pPr>
        <w:pStyle w:val="12"/>
        <w:spacing w:line="560" w:lineRule="exact"/>
        <w:ind w:firstLine="64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（5）密切与家长配合，发挥示范辐射作用。</w:t>
      </w:r>
    </w:p>
    <w:p>
      <w:pPr>
        <w:pStyle w:val="12"/>
        <w:numPr>
          <w:ilvl w:val="0"/>
          <w:numId w:val="1"/>
        </w:numPr>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机构设置及人员构成</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和田市</w:t>
      </w:r>
      <w:r>
        <w:rPr>
          <w:rFonts w:hint="eastAsia" w:ascii="仿宋_GB2312" w:hAnsi="仿宋" w:eastAsia="仿宋_GB2312" w:cs="Times New Roman"/>
          <w:bCs/>
          <w:color w:val="auto"/>
          <w:sz w:val="32"/>
          <w:szCs w:val="32"/>
          <w:highlight w:val="none"/>
          <w:lang w:val="en-US" w:eastAsia="zh-CN"/>
        </w:rPr>
        <w:t>京都</w:t>
      </w:r>
      <w:r>
        <w:rPr>
          <w:rFonts w:hint="eastAsia" w:ascii="仿宋_GB2312" w:hAnsi="仿宋" w:eastAsia="仿宋_GB2312" w:cs="Times New Roman"/>
          <w:bCs/>
          <w:color w:val="auto"/>
          <w:sz w:val="32"/>
          <w:szCs w:val="32"/>
          <w:highlight w:val="none"/>
        </w:rPr>
        <w:t>幼儿园属独立编制机构，核算机构1个。</w:t>
      </w:r>
      <w:r>
        <w:rPr>
          <w:rFonts w:hint="eastAsia" w:ascii="仿宋_GB2312" w:hAnsi="仿宋" w:eastAsia="仿宋_GB2312" w:cs="Times New Roman"/>
          <w:bCs/>
          <w:color w:val="auto"/>
          <w:sz w:val="32"/>
          <w:szCs w:val="32"/>
          <w:highlight w:val="none"/>
          <w:lang w:val="en-US" w:eastAsia="zh-CN"/>
        </w:rPr>
        <w:t>现</w:t>
      </w:r>
      <w:r>
        <w:rPr>
          <w:rFonts w:hint="eastAsia" w:ascii="仿宋_GB2312" w:hAnsi="仿宋" w:eastAsia="仿宋_GB2312" w:cs="Times New Roman"/>
          <w:bCs/>
          <w:color w:val="auto"/>
          <w:sz w:val="32"/>
          <w:szCs w:val="32"/>
          <w:highlight w:val="none"/>
        </w:rPr>
        <w:t>人员编制</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个，实有</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人，其中专业技术岗</w:t>
      </w:r>
      <w:r>
        <w:rPr>
          <w:rFonts w:hint="eastAsia" w:ascii="仿宋_GB2312" w:hAnsi="仿宋" w:eastAsia="仿宋_GB2312" w:cs="Times New Roman"/>
          <w:bCs/>
          <w:color w:val="auto"/>
          <w:sz w:val="32"/>
          <w:szCs w:val="32"/>
          <w:highlight w:val="none"/>
          <w:lang w:val="en-US" w:eastAsia="zh-CN"/>
        </w:rPr>
        <w:t>*</w:t>
      </w:r>
      <w:r>
        <w:rPr>
          <w:rFonts w:hint="eastAsia" w:ascii="仿宋_GB2312" w:hAnsi="仿宋" w:eastAsia="仿宋_GB2312" w:cs="Times New Roman"/>
          <w:bCs/>
          <w:color w:val="auto"/>
          <w:sz w:val="32"/>
          <w:szCs w:val="32"/>
          <w:highlight w:val="none"/>
        </w:rPr>
        <w:t>人。和田市</w:t>
      </w:r>
      <w:r>
        <w:rPr>
          <w:rFonts w:hint="eastAsia" w:ascii="仿宋_GB2312" w:hAnsi="仿宋" w:eastAsia="仿宋_GB2312" w:cs="Times New Roman"/>
          <w:bCs/>
          <w:color w:val="auto"/>
          <w:sz w:val="32"/>
          <w:szCs w:val="32"/>
          <w:highlight w:val="none"/>
          <w:lang w:val="en-US" w:eastAsia="zh-CN"/>
        </w:rPr>
        <w:t>京都</w:t>
      </w:r>
      <w:r>
        <w:rPr>
          <w:rFonts w:hint="eastAsia" w:ascii="仿宋_GB2312" w:hAnsi="仿宋" w:eastAsia="仿宋_GB2312" w:cs="Times New Roman"/>
          <w:bCs/>
          <w:color w:val="auto"/>
          <w:sz w:val="32"/>
          <w:szCs w:val="32"/>
          <w:highlight w:val="none"/>
        </w:rPr>
        <w:t xml:space="preserve">幼儿园下设 </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个处室，分别是：</w:t>
      </w:r>
      <w:r>
        <w:rPr>
          <w:rFonts w:hint="eastAsia" w:ascii="仿宋_GB2312" w:hAnsi="黑体" w:eastAsia="仿宋_GB2312" w:cs="宋体"/>
          <w:bCs/>
          <w:color w:val="auto"/>
          <w:kern w:val="0"/>
          <w:sz w:val="32"/>
          <w:szCs w:val="32"/>
          <w:highlight w:val="none"/>
        </w:rPr>
        <w:t>党支部、工会、团支部、园务委员会、办公室、后勤及财务室</w:t>
      </w:r>
      <w:r>
        <w:rPr>
          <w:rFonts w:hint="eastAsia" w:ascii="仿宋_GB2312" w:hAnsi="仿宋" w:eastAsia="仿宋_GB2312" w:cs="Times New Roman"/>
          <w:bCs/>
          <w:color w:val="auto"/>
          <w:sz w:val="32"/>
          <w:szCs w:val="32"/>
          <w:highlight w:val="none"/>
        </w:rPr>
        <w:t>。</w:t>
      </w:r>
    </w:p>
    <w:p>
      <w:pPr>
        <w:pStyle w:val="12"/>
        <w:spacing w:line="560" w:lineRule="exact"/>
        <w:ind w:firstLine="64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3．202</w:t>
      </w:r>
      <w:r>
        <w:rPr>
          <w:rFonts w:hint="eastAsia" w:ascii="仿宋_GB2312" w:hAnsi="仿宋" w:eastAsia="仿宋_GB2312" w:cs="Times New Roman"/>
          <w:bCs/>
          <w:color w:val="auto"/>
          <w:sz w:val="32"/>
          <w:szCs w:val="32"/>
          <w:highlight w:val="none"/>
          <w:lang w:val="en-US" w:eastAsia="zh-CN"/>
        </w:rPr>
        <w:t>1</w:t>
      </w:r>
      <w:r>
        <w:rPr>
          <w:rFonts w:hint="eastAsia" w:ascii="仿宋_GB2312" w:hAnsi="仿宋" w:eastAsia="仿宋_GB2312" w:cs="Times New Roman"/>
          <w:bCs/>
          <w:color w:val="auto"/>
          <w:sz w:val="32"/>
          <w:szCs w:val="32"/>
          <w:highlight w:val="none"/>
        </w:rPr>
        <w:t>年度</w:t>
      </w: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 xml:space="preserve">重点工作计划 </w:t>
      </w:r>
    </w:p>
    <w:p>
      <w:pPr>
        <w:spacing w:line="560" w:lineRule="exact"/>
        <w:ind w:firstLine="640" w:firstLineChars="20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（1）创设健康、丰富的环境，强化幼儿国语学习以环境促教育，保证幼儿身心和谐发展，关注幼儿社会性的发展，促进幼儿良好个性的发展。</w:t>
      </w:r>
    </w:p>
    <w:p>
      <w:pPr>
        <w:spacing w:line="560" w:lineRule="exact"/>
        <w:ind w:firstLine="640" w:firstLineChars="200"/>
        <w:rPr>
          <w:rFonts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rPr>
        <w:t>（2）运用家长资源，配合幼儿园做好保教工作。</w:t>
      </w:r>
    </w:p>
    <w:p>
      <w:pPr>
        <w:spacing w:line="560" w:lineRule="exact"/>
        <w:ind w:firstLine="640" w:firstLineChars="200"/>
        <w:rPr>
          <w:rFonts w:ascii="仿宋" w:hAnsi="仿宋" w:eastAsia="仿宋" w:cs="Times New Roman"/>
          <w:color w:val="auto"/>
          <w:sz w:val="32"/>
          <w:szCs w:val="32"/>
          <w:highlight w:val="none"/>
        </w:rPr>
      </w:pPr>
      <w:r>
        <w:rPr>
          <w:rFonts w:hint="eastAsia" w:ascii="仿宋_GB2312" w:hAnsi="仿宋" w:eastAsia="仿宋_GB2312" w:cs="Times New Roman"/>
          <w:bCs/>
          <w:color w:val="auto"/>
          <w:sz w:val="32"/>
          <w:szCs w:val="32"/>
          <w:highlight w:val="none"/>
        </w:rPr>
        <w:t>（3）根据教育教学需要和日常后勤保障需求购置部分设备、优化育人环境，逐步提高教育教学质量。</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（二）决策过程</w:t>
      </w:r>
    </w:p>
    <w:p>
      <w:pPr>
        <w:pStyle w:val="12"/>
        <w:spacing w:line="560" w:lineRule="exact"/>
        <w:ind w:firstLine="640"/>
        <w:rPr>
          <w:rFonts w:hint="eastAsia" w:ascii="仿宋" w:hAnsi="仿宋" w:eastAsia="仿宋" w:cs="宋体"/>
          <w:color w:val="auto"/>
          <w:sz w:val="32"/>
          <w:szCs w:val="32"/>
          <w:highlight w:val="none"/>
        </w:rPr>
      </w:pPr>
      <w:r>
        <w:rPr>
          <w:rFonts w:hint="eastAsia" w:ascii="仿宋" w:hAnsi="仿宋" w:eastAsia="仿宋" w:cs="宋体"/>
          <w:color w:val="auto"/>
          <w:sz w:val="32"/>
          <w:szCs w:val="32"/>
          <w:highlight w:val="none"/>
        </w:rPr>
        <w:t>本</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的项目立项符合相关法规政策及</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职责，依据充分；项目按照规定的程序申请设立；审批文件、材料符合相关要求；项目前期已经经过必要的可行性研究、专家论证、风险评估、绩效评估、集体决策。</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（三）资金分配</w:t>
      </w:r>
    </w:p>
    <w:p>
      <w:pPr>
        <w:pStyle w:val="12"/>
        <w:spacing w:line="560" w:lineRule="exact"/>
        <w:ind w:firstLine="64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在资金投入方面，预算编制经过科学论证、有明确标准，资金额度与年度目标一致，用以反映和考核项目预算编制的科学性、合理性情况。本年度合理安排重点项目与</w:t>
      </w:r>
      <w:r>
        <w:rPr>
          <w:rFonts w:hint="eastAsia" w:ascii="仿宋" w:hAnsi="仿宋" w:eastAsia="仿宋" w:cs="宋体"/>
          <w:color w:val="auto"/>
          <w:sz w:val="32"/>
          <w:szCs w:val="32"/>
          <w:highlight w:val="none"/>
          <w:lang w:eastAsia="zh-CN"/>
        </w:rPr>
        <w:t>单位</w:t>
      </w:r>
      <w:r>
        <w:rPr>
          <w:rFonts w:hint="eastAsia" w:ascii="仿宋" w:hAnsi="仿宋" w:eastAsia="仿宋" w:cs="宋体"/>
          <w:color w:val="auto"/>
          <w:sz w:val="32"/>
          <w:szCs w:val="32"/>
          <w:highlight w:val="none"/>
        </w:rPr>
        <w:t>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w:t>
      </w:r>
      <w:r>
        <w:rPr>
          <w:rStyle w:val="10"/>
          <w:rFonts w:hint="eastAsia" w:ascii="楷体" w:hAnsi="楷体" w:eastAsia="楷体" w:cs="Times New Roman"/>
          <w:b w:val="0"/>
          <w:bCs w:val="0"/>
          <w:color w:val="auto"/>
          <w:spacing w:val="-4"/>
          <w:sz w:val="32"/>
          <w:szCs w:val="32"/>
          <w:highlight w:val="none"/>
          <w:lang w:eastAsia="zh-CN"/>
        </w:rPr>
        <w:t>单位</w:t>
      </w:r>
      <w:r>
        <w:rPr>
          <w:rStyle w:val="10"/>
          <w:rFonts w:hint="eastAsia" w:ascii="楷体" w:hAnsi="楷体" w:eastAsia="楷体" w:cs="Times New Roman"/>
          <w:b w:val="0"/>
          <w:bCs w:val="0"/>
          <w:color w:val="auto"/>
          <w:spacing w:val="-4"/>
          <w:sz w:val="32"/>
          <w:szCs w:val="32"/>
          <w:highlight w:val="none"/>
        </w:rPr>
        <w:t>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w:t>
      </w:r>
      <w:r>
        <w:rPr>
          <w:rFonts w:hint="eastAsia" w:ascii="仿宋_GB2312" w:hAnsi="方正楷体简体" w:eastAsia="仿宋_GB2312" w:cs="宋体"/>
          <w:b/>
          <w:bCs/>
          <w:color w:val="auto"/>
          <w:sz w:val="32"/>
          <w:szCs w:val="32"/>
          <w:highlight w:val="none"/>
          <w:lang w:eastAsia="zh-CN"/>
        </w:rPr>
        <w:t>单位</w:t>
      </w:r>
      <w:r>
        <w:rPr>
          <w:rFonts w:hint="eastAsia" w:ascii="仿宋_GB2312" w:hAnsi="方正楷体简体" w:eastAsia="仿宋_GB2312" w:cs="宋体"/>
          <w:b/>
          <w:bCs/>
          <w:color w:val="auto"/>
          <w:sz w:val="32"/>
          <w:szCs w:val="32"/>
          <w:highlight w:val="none"/>
        </w:rPr>
        <w:t>整体支出规模</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w:t>
      </w:r>
      <w:r>
        <w:rPr>
          <w:rFonts w:hint="eastAsia" w:ascii="仿宋_GB2312" w:hAnsi="方正楷体简体" w:eastAsia="仿宋_GB2312" w:cs="宋体"/>
          <w:color w:val="auto"/>
          <w:sz w:val="32"/>
          <w:szCs w:val="32"/>
          <w:highlight w:val="none"/>
          <w:lang w:val="en-US" w:eastAsia="zh-CN"/>
        </w:rPr>
        <w:t>和田市京都幼儿园</w:t>
      </w:r>
      <w:r>
        <w:rPr>
          <w:rFonts w:hint="eastAsia" w:ascii="仿宋_GB2312" w:hAnsi="方正楷体简体" w:eastAsia="仿宋_GB2312" w:cs="宋体"/>
          <w:color w:val="auto"/>
          <w:sz w:val="32"/>
          <w:szCs w:val="32"/>
          <w:highlight w:val="none"/>
        </w:rPr>
        <w:t>整体支出全年预算总额为</w:t>
      </w:r>
      <w:r>
        <w:rPr>
          <w:rFonts w:hint="eastAsia" w:ascii="仿宋_GB2312" w:hAnsi="方正楷体简体" w:eastAsia="仿宋_GB2312" w:cs="宋体"/>
          <w:color w:val="auto"/>
          <w:sz w:val="32"/>
          <w:szCs w:val="32"/>
          <w:highlight w:val="none"/>
          <w:lang w:val="en-US" w:eastAsia="zh-CN"/>
        </w:rPr>
        <w:t>208.91</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186.78</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89.4</w:t>
      </w:r>
      <w:r>
        <w:rPr>
          <w:rFonts w:hint="eastAsia" w:ascii="仿宋_GB2312" w:hAnsi="方正楷体简体" w:eastAsia="仿宋_GB2312" w:cs="宋体"/>
          <w:color w:val="auto"/>
          <w:sz w:val="32"/>
          <w:szCs w:val="32"/>
          <w:highlight w:val="none"/>
        </w:rPr>
        <w:t>%；全年预算总额较上年</w:t>
      </w:r>
      <w:r>
        <w:rPr>
          <w:rFonts w:hint="eastAsia" w:ascii="仿宋_GB2312" w:hAnsi="方正楷体简体" w:eastAsia="仿宋_GB2312" w:cs="宋体"/>
          <w:color w:val="auto"/>
          <w:sz w:val="32"/>
          <w:szCs w:val="32"/>
          <w:highlight w:val="none"/>
          <w:lang w:val="en-US" w:eastAsia="zh-CN"/>
        </w:rPr>
        <w:t>94.09</w:t>
      </w:r>
      <w:r>
        <w:rPr>
          <w:rFonts w:hint="eastAsia" w:ascii="仿宋_GB2312" w:hAnsi="方正楷体简体" w:eastAsia="仿宋_GB2312" w:cs="宋体"/>
          <w:color w:val="auto"/>
          <w:sz w:val="32"/>
          <w:szCs w:val="32"/>
          <w:highlight w:val="none"/>
        </w:rPr>
        <w:t>万元增加</w:t>
      </w:r>
      <w:r>
        <w:rPr>
          <w:rFonts w:hint="eastAsia" w:ascii="仿宋_GB2312" w:hAnsi="方正楷体简体" w:eastAsia="仿宋_GB2312" w:cs="宋体"/>
          <w:color w:val="auto"/>
          <w:sz w:val="32"/>
          <w:szCs w:val="32"/>
          <w:highlight w:val="none"/>
          <w:lang w:val="en-US" w:eastAsia="zh-CN"/>
        </w:rPr>
        <w:t>114.82</w:t>
      </w:r>
      <w:r>
        <w:rPr>
          <w:rFonts w:hint="eastAsia" w:ascii="仿宋_GB2312" w:hAnsi="方正楷体简体" w:eastAsia="仿宋_GB2312" w:cs="宋体"/>
          <w:color w:val="auto"/>
          <w:sz w:val="32"/>
          <w:szCs w:val="32"/>
          <w:highlight w:val="none"/>
        </w:rPr>
        <w:t>万元，增幅：</w:t>
      </w:r>
      <w:r>
        <w:rPr>
          <w:rFonts w:hint="eastAsia" w:ascii="仿宋_GB2312" w:hAnsi="方正楷体简体" w:eastAsia="仿宋_GB2312" w:cs="宋体"/>
          <w:color w:val="auto"/>
          <w:sz w:val="32"/>
          <w:szCs w:val="32"/>
          <w:highlight w:val="none"/>
          <w:lang w:val="en-US" w:eastAsia="zh-CN"/>
        </w:rPr>
        <w:t>122</w:t>
      </w:r>
      <w:r>
        <w:rPr>
          <w:rFonts w:hint="eastAsia" w:ascii="仿宋_GB2312" w:hAnsi="方正楷体简体" w:eastAsia="仿宋_GB2312" w:cs="宋体"/>
          <w:color w:val="auto"/>
          <w:sz w:val="32"/>
          <w:szCs w:val="32"/>
          <w:highlight w:val="none"/>
        </w:rPr>
        <w:t>%，变动主要原因是：</w:t>
      </w:r>
      <w:r>
        <w:rPr>
          <w:rFonts w:hint="eastAsia" w:ascii="仿宋_GB2312" w:hAnsi="方正楷体简体" w:eastAsia="仿宋_GB2312" w:cs="宋体"/>
          <w:color w:val="auto"/>
          <w:sz w:val="32"/>
          <w:szCs w:val="32"/>
          <w:highlight w:val="none"/>
          <w:lang w:val="en-US" w:eastAsia="zh-CN"/>
        </w:rPr>
        <w:t>人员变动相比去年增多</w:t>
      </w:r>
      <w:r>
        <w:rPr>
          <w:rFonts w:hint="eastAsia" w:ascii="仿宋_GB2312" w:hAnsi="方正楷体简体" w:eastAsia="仿宋_GB2312" w:cs="宋体"/>
          <w:color w:val="auto"/>
          <w:sz w:val="32"/>
          <w:szCs w:val="32"/>
          <w:highlight w:val="none"/>
        </w:rPr>
        <w:t xml:space="preserve">。 </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截至12月31日，基本支出全年预算数</w:t>
      </w:r>
      <w:r>
        <w:rPr>
          <w:rFonts w:hint="eastAsia" w:ascii="仿宋_GB2312" w:hAnsi="方正楷体简体" w:eastAsia="仿宋_GB2312" w:cs="宋体"/>
          <w:color w:val="auto"/>
          <w:sz w:val="32"/>
          <w:szCs w:val="32"/>
          <w:highlight w:val="none"/>
          <w:lang w:val="en-US" w:eastAsia="zh-CN"/>
        </w:rPr>
        <w:t>208.91</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186.78</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89.4</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预算批复的整体支出绩效目标表中，基本支出预算数</w:t>
      </w:r>
      <w:r>
        <w:rPr>
          <w:rFonts w:hint="eastAsia" w:ascii="仿宋_GB2312" w:hAnsi="方正楷体简体" w:eastAsia="仿宋_GB2312" w:cs="宋体"/>
          <w:color w:val="auto"/>
          <w:sz w:val="32"/>
          <w:szCs w:val="32"/>
          <w:highlight w:val="none"/>
          <w:lang w:val="en-US" w:eastAsia="zh-CN"/>
        </w:rPr>
        <w:t>135.52</w:t>
      </w:r>
      <w:r>
        <w:rPr>
          <w:rFonts w:hint="eastAsia" w:ascii="仿宋_GB2312" w:hAnsi="方正楷体简体" w:eastAsia="仿宋_GB2312" w:cs="宋体"/>
          <w:color w:val="auto"/>
          <w:sz w:val="32"/>
          <w:szCs w:val="32"/>
          <w:highlight w:val="none"/>
        </w:rPr>
        <w:t>万元，年中追加基本支出预算数</w:t>
      </w:r>
      <w:r>
        <w:rPr>
          <w:rFonts w:hint="eastAsia" w:ascii="仿宋_GB2312" w:hAnsi="方正楷体简体" w:eastAsia="仿宋_GB2312" w:cs="宋体"/>
          <w:color w:val="auto"/>
          <w:sz w:val="32"/>
          <w:szCs w:val="32"/>
          <w:highlight w:val="none"/>
          <w:lang w:val="en-US" w:eastAsia="zh-CN"/>
        </w:rPr>
        <w:t>73.39</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预算项目支出数共计</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%；其中，年初</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预算批复的整体支出绩效目标表中，项目支出预算数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万元，年中追加项目支出预算数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万元，绩效结果应用调整项目支出预算数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（3）专项资金项目支出情况</w:t>
      </w:r>
      <w:r>
        <w:rPr>
          <w:rFonts w:hint="eastAsia" w:ascii="仿宋_GB2312" w:hAnsi="方正楷体简体" w:eastAsia="仿宋_GB2312" w:cs="宋体"/>
          <w:color w:val="auto"/>
          <w:sz w:val="32"/>
          <w:szCs w:val="32"/>
          <w:highlight w:val="none"/>
        </w:rPr>
        <w:tab/>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截至12月31日，上级专项资金项目共计</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个，全年预算数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万元，资金执行数</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2．使用方法</w:t>
      </w:r>
    </w:p>
    <w:p>
      <w:pPr>
        <w:spacing w:line="560" w:lineRule="exact"/>
        <w:ind w:firstLine="640"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color w:val="auto"/>
          <w:sz w:val="32"/>
          <w:szCs w:val="32"/>
          <w:highlight w:val="none"/>
        </w:rPr>
        <w:t>基本支出由财政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3．主要内容及涉及范围</w:t>
      </w:r>
    </w:p>
    <w:p>
      <w:pPr>
        <w:pStyle w:val="15"/>
        <w:spacing w:line="560" w:lineRule="exact"/>
        <w:ind w:firstLineChars="200"/>
        <w:jc w:val="both"/>
        <w:rPr>
          <w:rFonts w:hAnsi="方正楷体简体"/>
          <w:color w:val="auto"/>
          <w:highlight w:val="none"/>
        </w:rPr>
      </w:pPr>
      <w:r>
        <w:rPr>
          <w:rFonts w:hint="eastAsia" w:hAnsi="方正楷体简体"/>
          <w:color w:val="auto"/>
          <w:highlight w:val="none"/>
        </w:rPr>
        <w:t>（1）基本支出包括人员经费和公用经费。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w:t>
      </w:r>
    </w:p>
    <w:p>
      <w:pPr>
        <w:pStyle w:val="15"/>
        <w:spacing w:line="560" w:lineRule="exact"/>
        <w:ind w:firstLineChars="200"/>
        <w:jc w:val="both"/>
        <w:rPr>
          <w:rFonts w:hint="eastAsia" w:hAnsi="方正楷体简体" w:eastAsia="仿宋_GB2312"/>
          <w:b/>
          <w:color w:val="auto"/>
          <w:highlight w:val="none"/>
          <w:lang w:eastAsia="zh-CN"/>
        </w:rPr>
      </w:pPr>
      <w:r>
        <w:rPr>
          <w:rFonts w:hint="eastAsia" w:hAnsi="方正楷体简体"/>
          <w:color w:val="auto"/>
          <w:highlight w:val="none"/>
        </w:rPr>
        <w:t>（2）202</w:t>
      </w:r>
      <w:r>
        <w:rPr>
          <w:rFonts w:hint="eastAsia" w:hAnsi="方正楷体简体"/>
          <w:color w:val="auto"/>
          <w:highlight w:val="none"/>
          <w:lang w:val="en-US" w:eastAsia="zh-CN"/>
        </w:rPr>
        <w:t>1</w:t>
      </w:r>
      <w:r>
        <w:rPr>
          <w:rFonts w:hint="eastAsia" w:hAnsi="方正楷体简体"/>
          <w:color w:val="auto"/>
          <w:highlight w:val="none"/>
        </w:rPr>
        <w:t>年度</w:t>
      </w:r>
      <w:r>
        <w:rPr>
          <w:rFonts w:hint="eastAsia" w:hAnsi="方正楷体简体"/>
          <w:color w:val="auto"/>
          <w:highlight w:val="none"/>
          <w:lang w:val="en-US" w:eastAsia="zh-CN"/>
        </w:rPr>
        <w:t>和田市京都幼儿园</w:t>
      </w:r>
      <w:r>
        <w:rPr>
          <w:rFonts w:hint="eastAsia" w:hAnsi="方正楷体简体"/>
          <w:color w:val="auto"/>
          <w:highlight w:val="none"/>
        </w:rPr>
        <w:t>项目支出共涉及</w:t>
      </w:r>
      <w:r>
        <w:rPr>
          <w:rFonts w:hint="eastAsia" w:hAnsi="方正楷体简体"/>
          <w:color w:val="auto"/>
          <w:highlight w:val="none"/>
          <w:lang w:val="en-US" w:eastAsia="zh-CN"/>
        </w:rPr>
        <w:t>0</w:t>
      </w:r>
      <w:r>
        <w:rPr>
          <w:rFonts w:hint="eastAsia" w:hAnsi="方正楷体简体"/>
          <w:color w:val="auto"/>
          <w:highlight w:val="none"/>
        </w:rPr>
        <w:t>个项目</w:t>
      </w:r>
      <w:r>
        <w:rPr>
          <w:rFonts w:hint="eastAsia" w:hAnsi="方正楷体简体"/>
          <w:color w:val="auto"/>
          <w:highlight w:val="none"/>
          <w:lang w:eastAsia="zh-CN"/>
        </w:rPr>
        <w:t>。</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二、</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整体支出管理及使用情况</w:t>
      </w:r>
    </w:p>
    <w:p>
      <w:pPr>
        <w:spacing w:line="560" w:lineRule="exact"/>
        <w:ind w:firstLine="624" w:firstLineChars="200"/>
        <w:rPr>
          <w:rStyle w:val="10"/>
          <w:rFonts w:ascii="楷体" w:hAnsi="楷体" w:eastAsia="楷体" w:cs="Times New Roman"/>
          <w:b w:val="0"/>
          <w:bCs w:val="0"/>
          <w:color w:val="auto"/>
          <w:spacing w:val="-4"/>
          <w:highlight w:val="none"/>
        </w:rPr>
      </w:pPr>
      <w:r>
        <w:rPr>
          <w:rStyle w:val="10"/>
          <w:rFonts w:hint="eastAsia" w:ascii="楷体" w:hAnsi="楷体" w:eastAsia="楷体" w:cs="Times New Roman"/>
          <w:b w:val="0"/>
          <w:bCs w:val="0"/>
          <w:color w:val="auto"/>
          <w:spacing w:val="-4"/>
          <w:sz w:val="32"/>
          <w:szCs w:val="32"/>
          <w:highlight w:val="none"/>
        </w:rPr>
        <w:t>（一）资金管理情况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严格按照国家财经法规、预算资金管理办法、财务管理制度以及专项资金管理办法的规定，建立了《幼儿园收支管理制度》制度，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1．基本支出管理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 202</w:t>
      </w:r>
      <w:r>
        <w:rPr>
          <w:rFonts w:hint="eastAsia" w:ascii="仿宋_GB2312" w:hAnsi="方正楷体简体" w:eastAsia="仿宋_GB2312" w:cs="宋体"/>
          <w:color w:val="auto"/>
          <w:sz w:val="32"/>
          <w:szCs w:val="32"/>
          <w:highlight w:val="none"/>
          <w:lang w:val="en-US" w:eastAsia="zh-CN"/>
        </w:rPr>
        <w:t>1</w:t>
      </w:r>
      <w:r>
        <w:rPr>
          <w:rFonts w:hint="eastAsia" w:ascii="仿宋_GB2312" w:hAnsi="方正楷体简体" w:eastAsia="仿宋_GB2312" w:cs="宋体"/>
          <w:color w:val="auto"/>
          <w:sz w:val="32"/>
          <w:szCs w:val="32"/>
          <w:highlight w:val="none"/>
        </w:rPr>
        <w:t>年度本单位无“三公"经费支出。</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2．基本支出情况</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w:t>
      </w:r>
      <w:r>
        <w:rPr>
          <w:rFonts w:hint="eastAsia" w:ascii="仿宋_GB2312" w:hAnsi="方正楷体简体" w:eastAsia="仿宋_GB2312" w:cs="宋体"/>
          <w:color w:val="auto"/>
          <w:sz w:val="32"/>
          <w:szCs w:val="32"/>
          <w:highlight w:val="none"/>
          <w:lang w:val="en-US" w:eastAsia="zh-CN"/>
        </w:rPr>
        <w:t>和田市京都幼儿园</w:t>
      </w:r>
      <w:r>
        <w:rPr>
          <w:rFonts w:hint="eastAsia" w:ascii="仿宋_GB2312" w:hAnsi="方正楷体简体" w:eastAsia="仿宋_GB2312" w:cs="宋体"/>
          <w:color w:val="auto"/>
          <w:sz w:val="32"/>
          <w:szCs w:val="32"/>
          <w:highlight w:val="none"/>
        </w:rPr>
        <w:t>基本支出预算总额</w:t>
      </w:r>
      <w:r>
        <w:rPr>
          <w:rFonts w:hint="eastAsia" w:ascii="仿宋_GB2312" w:hAnsi="方正楷体简体" w:eastAsia="仿宋_GB2312" w:cs="宋体"/>
          <w:color w:val="auto"/>
          <w:sz w:val="32"/>
          <w:szCs w:val="32"/>
          <w:highlight w:val="none"/>
          <w:lang w:val="en-US" w:eastAsia="zh-CN"/>
        </w:rPr>
        <w:t>208.91</w:t>
      </w:r>
      <w:r>
        <w:rPr>
          <w:rFonts w:hint="eastAsia" w:ascii="仿宋_GB2312" w:hAnsi="方正楷体简体" w:eastAsia="仿宋_GB2312" w:cs="宋体"/>
          <w:color w:val="auto"/>
          <w:sz w:val="32"/>
          <w:szCs w:val="32"/>
          <w:highlight w:val="none"/>
        </w:rPr>
        <w:t>万元，其中人员经费</w:t>
      </w:r>
      <w:r>
        <w:rPr>
          <w:rFonts w:hint="eastAsia" w:ascii="仿宋_GB2312" w:hAnsi="方正楷体简体" w:eastAsia="仿宋_GB2312" w:cs="宋体"/>
          <w:color w:val="auto"/>
          <w:sz w:val="32"/>
          <w:szCs w:val="32"/>
          <w:highlight w:val="none"/>
          <w:lang w:val="en-US" w:eastAsia="zh-CN"/>
        </w:rPr>
        <w:t>71.21</w:t>
      </w:r>
      <w:r>
        <w:rPr>
          <w:rFonts w:hint="eastAsia" w:ascii="仿宋_GB2312" w:hAnsi="方正楷体简体" w:eastAsia="仿宋_GB2312" w:cs="宋体"/>
          <w:color w:val="auto"/>
          <w:sz w:val="32"/>
          <w:szCs w:val="32"/>
          <w:highlight w:val="none"/>
        </w:rPr>
        <w:t>万元，公用经费</w:t>
      </w:r>
      <w:r>
        <w:rPr>
          <w:rFonts w:hint="eastAsia" w:ascii="仿宋_GB2312" w:hAnsi="方正楷体简体" w:eastAsia="仿宋_GB2312" w:cs="宋体"/>
          <w:color w:val="auto"/>
          <w:sz w:val="32"/>
          <w:szCs w:val="32"/>
          <w:highlight w:val="none"/>
          <w:lang w:val="en-US" w:eastAsia="zh-CN"/>
        </w:rPr>
        <w:t>63.18</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186.78</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89.4</w:t>
      </w:r>
      <w:r>
        <w:rPr>
          <w:rFonts w:hint="eastAsia" w:ascii="仿宋_GB2312" w:hAnsi="方正楷体简体" w:eastAsia="仿宋_GB2312" w:cs="宋体"/>
          <w:color w:val="auto"/>
          <w:sz w:val="32"/>
          <w:szCs w:val="32"/>
          <w:highlight w:val="none"/>
        </w:rPr>
        <w:t>%。</w:t>
      </w:r>
    </w:p>
    <w:p>
      <w:pPr>
        <w:spacing w:line="560" w:lineRule="exact"/>
        <w:ind w:firstLine="643" w:firstLineChars="200"/>
        <w:rPr>
          <w:rFonts w:ascii="仿宋_GB2312" w:hAnsi="方正楷体简体" w:eastAsia="仿宋_GB2312" w:cs="宋体"/>
          <w:b/>
          <w:bCs/>
          <w:color w:val="auto"/>
          <w:sz w:val="32"/>
          <w:szCs w:val="32"/>
          <w:highlight w:val="none"/>
        </w:rPr>
      </w:pPr>
      <w:r>
        <w:rPr>
          <w:rFonts w:hint="eastAsia" w:ascii="仿宋_GB2312" w:hAnsi="方正楷体简体" w:eastAsia="仿宋_GB2312" w:cs="宋体"/>
          <w:b/>
          <w:bCs/>
          <w:color w:val="auto"/>
          <w:sz w:val="32"/>
          <w:szCs w:val="32"/>
          <w:highlight w:val="none"/>
        </w:rPr>
        <w:t>3．“三公”经费控制情况</w:t>
      </w:r>
    </w:p>
    <w:p>
      <w:p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本单位无公务用车、公务接待及因公出国费用预算安排， 2020年度全年“三公”经费支出为0万元。</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（三）专项资金支出预算安排及支出情况</w:t>
      </w:r>
    </w:p>
    <w:p>
      <w:pPr>
        <w:spacing w:line="560" w:lineRule="exact"/>
        <w:ind w:firstLine="640" w:firstLineChars="200"/>
        <w:rPr>
          <w:rFonts w:ascii="仿宋_GB2312" w:eastAsia="仿宋_GB2312"/>
          <w:color w:val="auto"/>
          <w:sz w:val="32"/>
          <w:szCs w:val="32"/>
          <w:highlight w:val="none"/>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年专项支出预算总额</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万元，实际支出</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万元，预算执行率</w:t>
      </w:r>
      <w:r>
        <w:rPr>
          <w:rFonts w:hint="eastAsia" w:ascii="仿宋_GB2312" w:hAnsi="方正楷体简体" w:eastAsia="仿宋_GB2312" w:cs="宋体"/>
          <w:color w:val="auto"/>
          <w:sz w:val="32"/>
          <w:szCs w:val="32"/>
          <w:highlight w:val="none"/>
          <w:lang w:val="en-US" w:eastAsia="zh-CN"/>
        </w:rPr>
        <w:t>0</w:t>
      </w:r>
      <w:r>
        <w:rPr>
          <w:rFonts w:hint="eastAsia" w:ascii="仿宋_GB2312" w:hAnsi="方正楷体简体" w:eastAsia="仿宋_GB2312" w:cs="宋体"/>
          <w:color w:val="auto"/>
          <w:sz w:val="32"/>
          <w:szCs w:val="32"/>
          <w:highlight w:val="none"/>
        </w:rPr>
        <w:t>%。</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三、</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专项组织实施情况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（一）专项组织情况分析</w:t>
      </w:r>
      <w:r>
        <w:rPr>
          <w:rStyle w:val="10"/>
          <w:rFonts w:hint="eastAsia" w:ascii="楷体" w:hAnsi="楷体" w:eastAsia="楷体" w:cs="Times New Roman"/>
          <w:b w:val="0"/>
          <w:bCs w:val="0"/>
          <w:color w:val="auto"/>
          <w:spacing w:val="-4"/>
          <w:sz w:val="32"/>
          <w:szCs w:val="32"/>
          <w:highlight w:val="none"/>
        </w:rPr>
        <w:tab/>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1．前期准备</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我单位作为项目承担单位，组织实施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开展项目前期准备工作，根据项目特点和内容组织项目小组，制定详细的项目计划和实施方案，并提请单位党组会议研究，待党组会议研究通过后项目实施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方可实施。</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2．组织实施</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lang w:eastAsia="zh-CN"/>
        </w:rPr>
      </w:pPr>
      <w:r>
        <w:rPr>
          <w:rStyle w:val="10"/>
          <w:rFonts w:hint="eastAsia" w:ascii="仿宋_GB2312" w:hAnsi="黑体" w:eastAsia="仿宋_GB2312" w:cs="Times New Roman"/>
          <w:b w:val="0"/>
          <w:color w:val="auto"/>
          <w:spacing w:val="-4"/>
          <w:sz w:val="32"/>
          <w:szCs w:val="32"/>
          <w:highlight w:val="none"/>
        </w:rPr>
        <w:t>项目需根据前期制定的计划和实施方案进行实施。实施过程中，专项资金项目实施</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负责项目的实施、实施过程中的协调、重大事项的审批工作负责以及项目完成目标的验收工作</w:t>
      </w:r>
      <w:r>
        <w:rPr>
          <w:rStyle w:val="10"/>
          <w:rFonts w:hint="eastAsia" w:ascii="仿宋_GB2312" w:hAnsi="黑体" w:eastAsia="仿宋_GB2312" w:cs="Times New Roman"/>
          <w:b w:val="0"/>
          <w:color w:val="auto"/>
          <w:spacing w:val="-4"/>
          <w:sz w:val="32"/>
          <w:szCs w:val="32"/>
          <w:highlight w:val="none"/>
          <w:lang w:eastAsia="zh-CN"/>
        </w:rPr>
        <w:t>。</w:t>
      </w:r>
    </w:p>
    <w:p>
      <w:pPr>
        <w:pStyle w:val="12"/>
        <w:numPr>
          <w:ilvl w:val="0"/>
          <w:numId w:val="2"/>
        </w:numPr>
        <w:spacing w:line="560" w:lineRule="exact"/>
        <w:ind w:firstLine="624"/>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本单位</w:t>
      </w:r>
      <w:r>
        <w:rPr>
          <w:rStyle w:val="10"/>
          <w:rFonts w:hint="eastAsia" w:ascii="仿宋_GB2312" w:hAnsi="黑体" w:eastAsia="仿宋_GB2312" w:cs="Times New Roman"/>
          <w:b w:val="0"/>
          <w:color w:val="auto"/>
          <w:spacing w:val="-4"/>
          <w:sz w:val="32"/>
          <w:szCs w:val="32"/>
          <w:highlight w:val="none"/>
          <w:lang w:eastAsia="zh-CN"/>
        </w:rPr>
        <w:t>2021</w:t>
      </w:r>
      <w:r>
        <w:rPr>
          <w:rStyle w:val="10"/>
          <w:rFonts w:hint="eastAsia" w:ascii="仿宋_GB2312" w:hAnsi="黑体" w:eastAsia="仿宋_GB2312" w:cs="Times New Roman"/>
          <w:b w:val="0"/>
          <w:color w:val="auto"/>
          <w:spacing w:val="-4"/>
          <w:sz w:val="32"/>
          <w:szCs w:val="32"/>
          <w:highlight w:val="none"/>
        </w:rPr>
        <w:t>年共有项目</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个，项目总预算</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万元，资金到位</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万元，资金执行数</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万元，执行率</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%；资金严格按照《财务管理制度》、《专项资金使用管理制度》、《内部控制管理制度》实行专款专用，在本年度审计和财政监督检查过程中</w:t>
      </w:r>
      <w:r>
        <w:rPr>
          <w:rStyle w:val="10"/>
          <w:rFonts w:hint="eastAsia" w:ascii="仿宋_GB2312" w:hAnsi="黑体" w:eastAsia="仿宋_GB2312" w:cs="Times New Roman"/>
          <w:b w:val="0"/>
          <w:color w:val="auto"/>
          <w:spacing w:val="-4"/>
          <w:sz w:val="32"/>
          <w:szCs w:val="32"/>
          <w:highlight w:val="none"/>
          <w:lang w:val="en-US" w:eastAsia="zh-CN"/>
        </w:rPr>
        <w:t>未</w:t>
      </w:r>
      <w:r>
        <w:rPr>
          <w:rStyle w:val="10"/>
          <w:rFonts w:hint="eastAsia" w:ascii="仿宋_GB2312" w:hAnsi="黑体" w:eastAsia="仿宋_GB2312" w:cs="Times New Roman"/>
          <w:b w:val="0"/>
          <w:color w:val="auto"/>
          <w:spacing w:val="-4"/>
          <w:sz w:val="32"/>
          <w:szCs w:val="32"/>
          <w:highlight w:val="none"/>
        </w:rPr>
        <w:t>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2．项目实施情况分析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按照项目工作内容、工作措施、工作时限和要达到的预期效果，进一步分解细化，将责任落实到岗位，形成完整的绩效管理工作方案和指标考核评价体系，使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项目经办人、负责人定期对项目执行及资金的使用情况进行自查，重点检查项目资金的使用进度，使用情况、落实情况。财政</w:t>
      </w:r>
      <w:r>
        <w:rPr>
          <w:rStyle w:val="10"/>
          <w:rFonts w:hint="eastAsia" w:ascii="仿宋_GB2312" w:hAnsi="黑体" w:eastAsia="仿宋_GB2312" w:cs="Times New Roman"/>
          <w:b w:val="0"/>
          <w:color w:val="auto"/>
          <w:spacing w:val="-4"/>
          <w:sz w:val="32"/>
          <w:szCs w:val="32"/>
          <w:highlight w:val="none"/>
          <w:lang w:eastAsia="zh-CN"/>
        </w:rPr>
        <w:t>单位</w:t>
      </w:r>
      <w:r>
        <w:rPr>
          <w:rStyle w:val="10"/>
          <w:rFonts w:hint="eastAsia" w:ascii="仿宋_GB2312" w:hAnsi="黑体" w:eastAsia="仿宋_GB2312" w:cs="Times New Roman"/>
          <w:b w:val="0"/>
          <w:color w:val="auto"/>
          <w:spacing w:val="-4"/>
          <w:sz w:val="32"/>
          <w:szCs w:val="32"/>
          <w:highlight w:val="none"/>
        </w:rPr>
        <w:t>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highlight w:val="none"/>
        </w:rPr>
      </w:pPr>
      <w:r>
        <w:rPr>
          <w:rStyle w:val="10"/>
          <w:rFonts w:hint="eastAsia" w:ascii="仿宋_GB2312" w:hAnsi="黑体" w:eastAsia="仿宋_GB2312" w:cs="Times New Roman"/>
          <w:bCs w:val="0"/>
          <w:color w:val="auto"/>
          <w:spacing w:val="-4"/>
          <w:sz w:val="32"/>
          <w:szCs w:val="32"/>
          <w:highlight w:val="none"/>
        </w:rPr>
        <w:t>3．项目绩效情况分析</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成本节约：我单位</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个项目成本均未超预算，预算执行率达</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（2）项目效率性分析</w:t>
      </w:r>
    </w:p>
    <w:p>
      <w:pPr>
        <w:spacing w:line="560" w:lineRule="exact"/>
        <w:ind w:firstLine="624" w:firstLineChars="200"/>
        <w:rPr>
          <w:rStyle w:val="10"/>
          <w:rFonts w:hint="eastAsia"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实施进度：我单位共有</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个项目均在项目计划期间完成，项目按期完成及时率</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w:t>
      </w:r>
    </w:p>
    <w:p>
      <w:pPr>
        <w:spacing w:line="560" w:lineRule="exact"/>
        <w:ind w:firstLine="624" w:firstLineChars="200"/>
        <w:rPr>
          <w:rStyle w:val="10"/>
          <w:rFonts w:ascii="仿宋_GB2312" w:hAnsi="黑体" w:eastAsia="仿宋_GB2312" w:cs="Times New Roman"/>
          <w:b w:val="0"/>
          <w:color w:val="auto"/>
          <w:spacing w:val="-4"/>
          <w:sz w:val="32"/>
          <w:szCs w:val="32"/>
          <w:highlight w:val="none"/>
        </w:rPr>
      </w:pPr>
      <w:r>
        <w:rPr>
          <w:rStyle w:val="10"/>
          <w:rFonts w:hint="eastAsia" w:ascii="仿宋_GB2312" w:hAnsi="黑体" w:eastAsia="仿宋_GB2312" w:cs="Times New Roman"/>
          <w:b w:val="0"/>
          <w:color w:val="auto"/>
          <w:spacing w:val="-4"/>
          <w:sz w:val="32"/>
          <w:szCs w:val="32"/>
          <w:highlight w:val="none"/>
        </w:rPr>
        <w:t>完成质量：我单位共有</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个项目均验收完成，验收合格率</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w:t>
      </w:r>
    </w:p>
    <w:p>
      <w:pPr>
        <w:numPr>
          <w:ilvl w:val="0"/>
          <w:numId w:val="3"/>
        </w:numPr>
        <w:spacing w:line="560" w:lineRule="exact"/>
        <w:ind w:firstLine="640" w:firstLineChars="200"/>
        <w:rPr>
          <w:rFonts w:hint="eastAsia"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项目效益性分析</w:t>
      </w:r>
    </w:p>
    <w:p>
      <w:pPr>
        <w:spacing w:line="560" w:lineRule="exact"/>
        <w:ind w:firstLine="640" w:firstLineChars="200"/>
        <w:rPr>
          <w:rFonts w:hint="eastAsia" w:ascii="仿宋_GB2312" w:hAnsi="方正楷体简体" w:eastAsia="仿宋_GB2312" w:cs="宋体"/>
          <w:color w:val="auto"/>
          <w:sz w:val="32"/>
          <w:szCs w:val="32"/>
          <w:highlight w:val="none"/>
          <w:lang w:eastAsia="zh-CN"/>
        </w:rPr>
      </w:pPr>
      <w:r>
        <w:rPr>
          <w:rFonts w:hint="eastAsia" w:ascii="仿宋_GB2312" w:hAnsi="方正楷体简体" w:eastAsia="仿宋_GB2312" w:cs="宋体"/>
          <w:color w:val="auto"/>
          <w:sz w:val="32"/>
          <w:szCs w:val="32"/>
          <w:highlight w:val="none"/>
          <w:lang w:eastAsia="zh-CN"/>
        </w:rPr>
        <w:t>2021</w:t>
      </w:r>
      <w:r>
        <w:rPr>
          <w:rFonts w:hint="eastAsia" w:ascii="仿宋_GB2312" w:hAnsi="方正楷体简体" w:eastAsia="仿宋_GB2312" w:cs="宋体"/>
          <w:color w:val="auto"/>
          <w:sz w:val="32"/>
          <w:szCs w:val="32"/>
          <w:highlight w:val="none"/>
        </w:rPr>
        <w:t>年度本单位实</w:t>
      </w:r>
      <w:r>
        <w:rPr>
          <w:rStyle w:val="10"/>
          <w:rFonts w:hint="eastAsia" w:ascii="仿宋_GB2312" w:hAnsi="黑体" w:eastAsia="仿宋_GB2312" w:cs="Times New Roman"/>
          <w:b w:val="0"/>
          <w:color w:val="auto"/>
          <w:spacing w:val="-4"/>
          <w:sz w:val="32"/>
          <w:szCs w:val="32"/>
          <w:highlight w:val="none"/>
        </w:rPr>
        <w:t>施</w:t>
      </w:r>
      <w:r>
        <w:rPr>
          <w:rStyle w:val="10"/>
          <w:rFonts w:hint="eastAsia" w:ascii="仿宋_GB2312" w:hAnsi="黑体" w:eastAsia="仿宋_GB2312" w:cs="Times New Roman"/>
          <w:b w:val="0"/>
          <w:color w:val="auto"/>
          <w:spacing w:val="-4"/>
          <w:sz w:val="32"/>
          <w:szCs w:val="32"/>
          <w:highlight w:val="none"/>
          <w:lang w:val="en-US" w:eastAsia="zh-CN"/>
        </w:rPr>
        <w:t>0</w:t>
      </w:r>
      <w:r>
        <w:rPr>
          <w:rStyle w:val="10"/>
          <w:rFonts w:hint="eastAsia" w:ascii="仿宋_GB2312" w:hAnsi="黑体" w:eastAsia="仿宋_GB2312" w:cs="Times New Roman"/>
          <w:b w:val="0"/>
          <w:color w:val="auto"/>
          <w:spacing w:val="-4"/>
          <w:sz w:val="32"/>
          <w:szCs w:val="32"/>
          <w:highlight w:val="none"/>
        </w:rPr>
        <w:t>个项目</w:t>
      </w:r>
      <w:r>
        <w:rPr>
          <w:rStyle w:val="10"/>
          <w:rFonts w:hint="eastAsia" w:ascii="仿宋_GB2312" w:hAnsi="黑体" w:eastAsia="仿宋_GB2312" w:cs="Times New Roman"/>
          <w:b w:val="0"/>
          <w:color w:val="auto"/>
          <w:spacing w:val="-4"/>
          <w:sz w:val="32"/>
          <w:szCs w:val="32"/>
          <w:highlight w:val="none"/>
          <w:lang w:eastAsia="zh-CN"/>
        </w:rPr>
        <w:t>。</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四、资产管理情况</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（一）资产管理体制和制度建设方面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（二）运行机制和管理方式</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资产管理由财务</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（三）信息化建设方面</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highlight w:val="none"/>
        </w:rPr>
      </w:pPr>
      <w:r>
        <w:rPr>
          <w:rStyle w:val="10"/>
          <w:rFonts w:hint="eastAsia" w:ascii="楷体" w:hAnsi="楷体" w:eastAsia="楷体" w:cs="Times New Roman"/>
          <w:b w:val="0"/>
          <w:bCs w:val="0"/>
          <w:color w:val="auto"/>
          <w:spacing w:val="-4"/>
          <w:sz w:val="32"/>
          <w:szCs w:val="32"/>
          <w:highlight w:val="none"/>
        </w:rPr>
        <w:t>（四）流动资产的管理</w:t>
      </w:r>
    </w:p>
    <w:p>
      <w:pPr>
        <w:spacing w:line="560" w:lineRule="exact"/>
        <w:ind w:firstLine="640" w:firstLineChars="200"/>
        <w:rPr>
          <w:rFonts w:ascii="仿宋_GB2312" w:hAnsi="方正楷体简体" w:eastAsia="仿宋_GB2312" w:cs="宋体"/>
          <w:color w:val="auto"/>
          <w:sz w:val="32"/>
          <w:szCs w:val="32"/>
          <w:highlight w:val="none"/>
        </w:rPr>
      </w:pPr>
      <w:r>
        <w:rPr>
          <w:rFonts w:hint="eastAsia" w:ascii="仿宋_GB2312" w:hAnsi="方正楷体简体" w:eastAsia="仿宋_GB2312" w:cs="宋体"/>
          <w:color w:val="auto"/>
          <w:sz w:val="32"/>
          <w:szCs w:val="32"/>
          <w:highlight w:val="none"/>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highlight w:val="none"/>
        </w:rPr>
      </w:pPr>
      <w:r>
        <w:rPr>
          <w:rStyle w:val="10"/>
          <w:rFonts w:hint="eastAsia" w:ascii="楷体" w:hAnsi="楷体" w:eastAsia="楷体"/>
          <w:b w:val="0"/>
          <w:bCs w:val="0"/>
          <w:color w:val="auto"/>
          <w:spacing w:val="-4"/>
          <w:sz w:val="32"/>
          <w:szCs w:val="32"/>
          <w:highlight w:val="none"/>
        </w:rPr>
        <w:t>（五）固定资产的管理</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方正楷体简体" w:eastAsia="仿宋_GB2312" w:cs="宋体"/>
          <w:color w:val="auto"/>
          <w:sz w:val="32"/>
          <w:szCs w:val="32"/>
          <w:highlight w:val="none"/>
        </w:rPr>
        <w:t>本单位的资产管理详细按照的相关要求执行,符合财政</w:t>
      </w:r>
      <w:r>
        <w:rPr>
          <w:rFonts w:hint="eastAsia" w:ascii="仿宋_GB2312" w:hAnsi="方正楷体简体" w:eastAsia="仿宋_GB2312" w:cs="宋体"/>
          <w:color w:val="auto"/>
          <w:sz w:val="32"/>
          <w:szCs w:val="32"/>
          <w:highlight w:val="none"/>
          <w:lang w:eastAsia="zh-CN"/>
        </w:rPr>
        <w:t>单位</w:t>
      </w:r>
      <w:r>
        <w:rPr>
          <w:rFonts w:hint="eastAsia" w:ascii="仿宋_GB2312" w:hAnsi="方正楷体简体" w:eastAsia="仿宋_GB2312" w:cs="宋体"/>
          <w:color w:val="auto"/>
          <w:sz w:val="32"/>
          <w:szCs w:val="32"/>
          <w:highlight w:val="none"/>
        </w:rPr>
        <w:t>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五、</w:t>
      </w:r>
      <w:r>
        <w:rPr>
          <w:rStyle w:val="10"/>
          <w:rFonts w:hint="eastAsia" w:ascii="黑体" w:hAnsi="黑体" w:eastAsia="黑体" w:cs="Times New Roman"/>
          <w:b w:val="0"/>
          <w:color w:val="auto"/>
          <w:spacing w:val="-4"/>
          <w:sz w:val="32"/>
          <w:szCs w:val="32"/>
          <w:highlight w:val="none"/>
          <w:lang w:eastAsia="zh-CN"/>
        </w:rPr>
        <w:t>单位</w:t>
      </w:r>
      <w:r>
        <w:rPr>
          <w:rStyle w:val="10"/>
          <w:rFonts w:hint="eastAsia" w:ascii="黑体" w:hAnsi="黑体" w:eastAsia="黑体" w:cs="Times New Roman"/>
          <w:b w:val="0"/>
          <w:color w:val="auto"/>
          <w:spacing w:val="-4"/>
          <w:sz w:val="32"/>
          <w:szCs w:val="32"/>
          <w:highlight w:val="none"/>
        </w:rPr>
        <w:t>整体支出绩效情况</w:t>
      </w:r>
    </w:p>
    <w:p>
      <w:pPr>
        <w:spacing w:line="560" w:lineRule="exact"/>
        <w:ind w:firstLine="640" w:firstLineChars="200"/>
        <w:rPr>
          <w:rFonts w:hint="eastAsia" w:ascii="仿宋_GB2312" w:hAnsi="仿宋" w:eastAsia="仿宋_GB2312" w:cs="Times New Roman"/>
          <w:bCs/>
          <w:color w:val="auto"/>
          <w:sz w:val="32"/>
          <w:szCs w:val="32"/>
          <w:highlight w:val="none"/>
        </w:rPr>
      </w:pPr>
      <w:r>
        <w:rPr>
          <w:rFonts w:hint="eastAsia" w:ascii="仿宋_GB2312" w:hAnsi="仿宋" w:eastAsia="仿宋_GB2312" w:cs="Times New Roman"/>
          <w:bCs/>
          <w:color w:val="auto"/>
          <w:sz w:val="32"/>
          <w:szCs w:val="32"/>
          <w:highlight w:val="none"/>
          <w:lang w:eastAsia="zh-CN"/>
        </w:rPr>
        <w:t>单位</w:t>
      </w:r>
      <w:r>
        <w:rPr>
          <w:rFonts w:hint="eastAsia" w:ascii="仿宋_GB2312" w:hAnsi="仿宋" w:eastAsia="仿宋_GB2312" w:cs="Times New Roman"/>
          <w:bCs/>
          <w:color w:val="auto"/>
          <w:sz w:val="32"/>
          <w:szCs w:val="32"/>
          <w:highlight w:val="none"/>
        </w:rPr>
        <w:t>整体支出共设置一级指标3个，二级指标</w:t>
      </w:r>
      <w:r>
        <w:rPr>
          <w:rFonts w:hint="eastAsia" w:ascii="仿宋_GB2312" w:hAnsi="仿宋" w:eastAsia="仿宋_GB2312" w:cs="Times New Roman"/>
          <w:bCs/>
          <w:color w:val="auto"/>
          <w:sz w:val="32"/>
          <w:szCs w:val="32"/>
          <w:highlight w:val="none"/>
          <w:lang w:val="en-US" w:eastAsia="zh-CN"/>
        </w:rPr>
        <w:t>7</w:t>
      </w:r>
      <w:r>
        <w:rPr>
          <w:rFonts w:hint="eastAsia" w:ascii="仿宋_GB2312" w:hAnsi="仿宋" w:eastAsia="仿宋_GB2312" w:cs="Times New Roman"/>
          <w:bCs/>
          <w:color w:val="auto"/>
          <w:sz w:val="32"/>
          <w:szCs w:val="32"/>
          <w:highlight w:val="none"/>
        </w:rPr>
        <w:t>个，三级指标</w:t>
      </w:r>
      <w:r>
        <w:rPr>
          <w:rFonts w:hint="eastAsia" w:ascii="仿宋_GB2312" w:hAnsi="仿宋" w:eastAsia="仿宋_GB2312" w:cs="Times New Roman"/>
          <w:bCs/>
          <w:color w:val="auto"/>
          <w:sz w:val="32"/>
          <w:szCs w:val="32"/>
          <w:highlight w:val="none"/>
          <w:lang w:val="en-US" w:eastAsia="zh-CN"/>
        </w:rPr>
        <w:t>11</w:t>
      </w:r>
      <w:r>
        <w:rPr>
          <w:rFonts w:hint="eastAsia" w:ascii="仿宋_GB2312" w:hAnsi="仿宋" w:eastAsia="仿宋_GB2312" w:cs="Times New Roman"/>
          <w:bCs/>
          <w:color w:val="auto"/>
          <w:sz w:val="32"/>
          <w:szCs w:val="32"/>
          <w:highlight w:val="none"/>
        </w:rPr>
        <w:t>个，其中已完成三级指</w:t>
      </w:r>
      <w:r>
        <w:rPr>
          <w:rFonts w:hint="eastAsia" w:ascii="仿宋_GB2312" w:hAnsi="仿宋" w:eastAsia="仿宋_GB2312" w:cs="Times New Roman"/>
          <w:bCs/>
          <w:color w:val="auto"/>
          <w:sz w:val="32"/>
          <w:szCs w:val="32"/>
          <w:highlight w:val="none"/>
          <w:lang w:val="en-US" w:eastAsia="zh-CN"/>
        </w:rPr>
        <w:t>11</w:t>
      </w:r>
      <w:r>
        <w:rPr>
          <w:rFonts w:hint="eastAsia" w:ascii="仿宋_GB2312" w:hAnsi="仿宋" w:eastAsia="仿宋_GB2312" w:cs="Times New Roman"/>
          <w:bCs/>
          <w:color w:val="auto"/>
          <w:sz w:val="32"/>
          <w:szCs w:val="32"/>
          <w:highlight w:val="none"/>
        </w:rPr>
        <w:t>个，指标完成率为</w:t>
      </w:r>
      <w:r>
        <w:rPr>
          <w:rFonts w:hint="eastAsia" w:ascii="仿宋_GB2312" w:hAnsi="仿宋" w:eastAsia="仿宋_GB2312" w:cs="Times New Roman"/>
          <w:bCs/>
          <w:color w:val="auto"/>
          <w:sz w:val="32"/>
          <w:szCs w:val="32"/>
          <w:highlight w:val="none"/>
          <w:lang w:val="en-US" w:eastAsia="zh-CN"/>
        </w:rPr>
        <w:t>100</w:t>
      </w:r>
      <w:r>
        <w:rPr>
          <w:rFonts w:hint="eastAsia" w:ascii="仿宋_GB2312" w:hAnsi="仿宋" w:eastAsia="仿宋_GB2312" w:cs="Times New Roman"/>
          <w:bCs/>
          <w:color w:val="auto"/>
          <w:sz w:val="32"/>
          <w:szCs w:val="32"/>
          <w:highlight w:val="none"/>
        </w:rPr>
        <w:t>%。</w:t>
      </w:r>
    </w:p>
    <w:p>
      <w:p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1．产出指标完成情况分析</w:t>
      </w:r>
    </w:p>
    <w:p>
      <w:pPr>
        <w:spacing w:line="560" w:lineRule="exact"/>
        <w:ind w:firstLine="624" w:firstLineChars="200"/>
        <w:rPr>
          <w:rFonts w:hint="eastAsia" w:ascii="仿宋_GB2312" w:hAnsi="楷体" w:eastAsia="仿宋_GB2312" w:cs="仿宋"/>
          <w:color w:val="auto"/>
          <w:spacing w:val="-4"/>
          <w:sz w:val="32"/>
          <w:szCs w:val="32"/>
          <w:highlight w:val="none"/>
          <w:lang w:val="en-US" w:eastAsia="zh-CN"/>
        </w:rPr>
      </w:pPr>
      <w:r>
        <w:rPr>
          <w:rFonts w:hint="eastAsia" w:ascii="仿宋_GB2312" w:hAnsi="楷体" w:eastAsia="仿宋_GB2312" w:cs="仿宋"/>
          <w:color w:val="auto"/>
          <w:spacing w:val="-4"/>
          <w:sz w:val="32"/>
          <w:szCs w:val="32"/>
          <w:highlight w:val="none"/>
        </w:rPr>
        <w:t>（1）数量</w:t>
      </w:r>
      <w:r>
        <w:rPr>
          <w:rFonts w:hint="eastAsia" w:ascii="仿宋_GB2312" w:hAnsi="楷体" w:eastAsia="仿宋_GB2312" w:cs="仿宋"/>
          <w:color w:val="auto"/>
          <w:spacing w:val="-4"/>
          <w:sz w:val="32"/>
          <w:szCs w:val="32"/>
          <w:highlight w:val="none"/>
          <w:lang w:val="en-US" w:eastAsia="zh-CN"/>
        </w:rPr>
        <w:t>指标：</w:t>
      </w:r>
    </w:p>
    <w:p>
      <w:pPr>
        <w:spacing w:line="560" w:lineRule="exact"/>
        <w:ind w:firstLine="640" w:firstLineChars="200"/>
        <w:rPr>
          <w:rFonts w:hint="eastAsia" w:ascii="仿宋_GB2312" w:hAnsi="仿宋" w:eastAsia="仿宋_GB2312" w:cstheme="minorBidi"/>
          <w:b w:val="0"/>
          <w:bCs w:val="0"/>
          <w:color w:val="auto"/>
          <w:kern w:val="2"/>
          <w:sz w:val="32"/>
          <w:szCs w:val="32"/>
          <w:highlight w:val="none"/>
          <w:lang w:val="en-US" w:eastAsia="zh-CN" w:bidi="ar-SA"/>
        </w:rPr>
      </w:pPr>
      <w:r>
        <w:rPr>
          <w:rFonts w:hint="eastAsia" w:ascii="仿宋_GB2312" w:hAnsi="仿宋" w:eastAsia="仿宋_GB2312"/>
          <w:color w:val="auto"/>
          <w:sz w:val="32"/>
          <w:szCs w:val="32"/>
          <w:highlight w:val="none"/>
        </w:rPr>
        <w:t>保障单位教职工工资正常发放人数，</w:t>
      </w:r>
      <w:r>
        <w:rPr>
          <w:rFonts w:hint="eastAsia" w:ascii="仿宋_GB2312" w:hAnsi="仿宋" w:eastAsia="仿宋_GB2312" w:cstheme="minorBidi"/>
          <w:b w:val="0"/>
          <w:bCs w:val="0"/>
          <w:color w:val="auto"/>
          <w:kern w:val="2"/>
          <w:sz w:val="32"/>
          <w:szCs w:val="32"/>
          <w:highlight w:val="none"/>
          <w:lang w:val="en-US" w:eastAsia="zh-CN" w:bidi="ar-SA"/>
        </w:rPr>
        <w:t>预期值为等于10人，实际完成值为*</w:t>
      </w:r>
      <w:bookmarkStart w:id="0" w:name="_GoBack"/>
      <w:bookmarkEnd w:id="0"/>
      <w:r>
        <w:rPr>
          <w:rFonts w:hint="eastAsia" w:ascii="仿宋_GB2312" w:hAnsi="仿宋" w:eastAsia="仿宋_GB2312" w:cstheme="minorBidi"/>
          <w:b w:val="0"/>
          <w:bCs w:val="0"/>
          <w:color w:val="auto"/>
          <w:kern w:val="2"/>
          <w:sz w:val="32"/>
          <w:szCs w:val="32"/>
          <w:highlight w:val="none"/>
          <w:lang w:val="en-US" w:eastAsia="zh-CN" w:bidi="ar-SA"/>
        </w:rPr>
        <w:t>人，完成率为100%。达到预期目标。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stheme="minorBidi"/>
          <w:b w:val="0"/>
          <w:bCs w:val="0"/>
          <w:color w:val="auto"/>
          <w:kern w:val="2"/>
          <w:sz w:val="32"/>
          <w:szCs w:val="32"/>
          <w:highlight w:val="none"/>
          <w:lang w:val="en-US" w:eastAsia="zh-CN" w:bidi="ar-SA"/>
        </w:rPr>
        <w:t>数量指标共计1个，完成1个，达到预期目标，数量指标完成</w:t>
      </w:r>
      <w:r>
        <w:rPr>
          <w:rFonts w:hint="eastAsia" w:ascii="仿宋_GB2312" w:hAnsi="仿宋" w:eastAsia="仿宋_GB2312"/>
          <w:color w:val="auto"/>
          <w:sz w:val="32"/>
          <w:szCs w:val="32"/>
          <w:highlight w:val="none"/>
          <w:lang w:val="en-US" w:eastAsia="zh-CN"/>
        </w:rPr>
        <w:t>。</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质量指标：</w:t>
      </w:r>
    </w:p>
    <w:p>
      <w:pPr>
        <w:spacing w:line="560" w:lineRule="exact"/>
        <w:ind w:firstLine="640" w:firstLineChars="200"/>
        <w:rPr>
          <w:rFonts w:hint="eastAsia" w:ascii="仿宋_GB2312" w:hAnsi="仿宋" w:eastAsia="仿宋_GB2312" w:cstheme="minorBidi"/>
          <w:b w:val="0"/>
          <w:bCs w:val="0"/>
          <w:color w:val="auto"/>
          <w:kern w:val="2"/>
          <w:sz w:val="32"/>
          <w:szCs w:val="32"/>
          <w:highlight w:val="none"/>
          <w:lang w:val="en-US" w:eastAsia="zh-CN" w:bidi="ar-SA"/>
        </w:rPr>
      </w:pPr>
      <w:r>
        <w:rPr>
          <w:rFonts w:hint="eastAsia" w:ascii="仿宋_GB2312" w:hAnsi="仿宋" w:eastAsia="仿宋_GB2312"/>
          <w:color w:val="auto"/>
          <w:sz w:val="32"/>
          <w:szCs w:val="32"/>
          <w:highlight w:val="none"/>
          <w:lang w:val="en-US" w:eastAsia="zh-CN"/>
        </w:rPr>
        <w:t xml:space="preserve"> </w:t>
      </w:r>
      <w:r>
        <w:rPr>
          <w:rFonts w:hint="eastAsia" w:ascii="仿宋_GB2312" w:eastAsia="仿宋_GB2312" w:hAnsiTheme="minorEastAsia"/>
          <w:color w:val="auto"/>
          <w:sz w:val="32"/>
          <w:szCs w:val="32"/>
          <w:highlight w:val="none"/>
        </w:rPr>
        <w:t>工资及社保等各项缴费发放准确率</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hAnsi="仿宋" w:eastAsia="仿宋_GB2312" w:cstheme="minorBidi"/>
          <w:b w:val="0"/>
          <w:bCs w:val="0"/>
          <w:color w:val="auto"/>
          <w:kern w:val="2"/>
          <w:sz w:val="32"/>
          <w:szCs w:val="32"/>
          <w:highlight w:val="none"/>
          <w:lang w:val="en-US" w:eastAsia="zh-CN" w:bidi="ar-SA"/>
        </w:rPr>
        <w:t>达到预期目标。</w:t>
      </w:r>
    </w:p>
    <w:p>
      <w:pPr>
        <w:spacing w:line="560" w:lineRule="exact"/>
        <w:ind w:firstLine="640" w:firstLineChars="200"/>
        <w:rPr>
          <w:rFonts w:hint="default" w:ascii="仿宋_GB2312" w:hAnsi="仿宋" w:eastAsia="仿宋_GB2312"/>
          <w:color w:val="auto"/>
          <w:sz w:val="32"/>
          <w:szCs w:val="32"/>
          <w:highlight w:val="none"/>
          <w:lang w:val="en-US" w:eastAsia="zh-CN"/>
        </w:rPr>
      </w:pPr>
      <w:r>
        <w:rPr>
          <w:rFonts w:hint="eastAsia" w:ascii="仿宋_GB2312" w:hAnsi="仿宋" w:eastAsia="仿宋_GB2312"/>
          <w:color w:val="auto"/>
          <w:sz w:val="32"/>
          <w:szCs w:val="32"/>
          <w:highlight w:val="none"/>
          <w:lang w:val="en-US" w:eastAsia="zh-CN"/>
        </w:rPr>
        <w:t>质量</w:t>
      </w:r>
      <w:r>
        <w:rPr>
          <w:rFonts w:hint="eastAsia" w:ascii="仿宋_GB2312" w:hAnsi="仿宋" w:eastAsia="仿宋_GB2312"/>
          <w:color w:val="auto"/>
          <w:sz w:val="32"/>
          <w:szCs w:val="32"/>
          <w:highlight w:val="none"/>
        </w:rPr>
        <w:t>指标共计</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1</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lang w:val="en-US" w:eastAsia="zh-CN"/>
        </w:rPr>
        <w:t>质量指标完成。</w:t>
      </w:r>
    </w:p>
    <w:p>
      <w:pPr>
        <w:spacing w:line="560" w:lineRule="exact"/>
        <w:ind w:firstLine="624" w:firstLineChars="200"/>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（3）</w:t>
      </w:r>
      <w:r>
        <w:rPr>
          <w:rFonts w:hint="eastAsia" w:ascii="仿宋_GB2312" w:eastAsia="仿宋_GB2312" w:hAnsiTheme="minorEastAsia"/>
          <w:color w:val="auto"/>
          <w:sz w:val="32"/>
          <w:szCs w:val="32"/>
          <w:highlight w:val="none"/>
        </w:rPr>
        <w:t>时效指标</w:t>
      </w:r>
    </w:p>
    <w:p>
      <w:pPr>
        <w:spacing w:line="560" w:lineRule="exact"/>
        <w:ind w:firstLine="640" w:firstLineChars="200"/>
        <w:rPr>
          <w:rFonts w:hint="eastAsia"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rPr>
        <w:t>工资及社保等各项缴费发放及时率，预期值为</w:t>
      </w:r>
      <w:r>
        <w:rPr>
          <w:rFonts w:hint="eastAsia" w:ascii="仿宋_GB2312" w:eastAsia="仿宋_GB2312" w:hAnsiTheme="minorEastAsia"/>
          <w:color w:val="auto"/>
          <w:sz w:val="32"/>
          <w:szCs w:val="32"/>
          <w:highlight w:val="none"/>
          <w:lang w:val="en-US" w:eastAsia="zh-CN"/>
        </w:rPr>
        <w:t>大于等于99%</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eastAsia="仿宋_GB2312" w:hAnsiTheme="minorEastAsia"/>
          <w:color w:val="auto"/>
          <w:sz w:val="32"/>
          <w:szCs w:val="32"/>
          <w:highlight w:val="none"/>
        </w:rPr>
        <w:t>项目完成时间</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等于2021年12月</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2021年12月</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spacing w:line="560" w:lineRule="exact"/>
        <w:ind w:firstLine="640" w:firstLineChars="20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时效指标共计</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个，完成</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个，达到预期目标</w:t>
      </w:r>
      <w:r>
        <w:rPr>
          <w:rFonts w:hint="eastAsia" w:ascii="仿宋_GB2312" w:hAnsi="仿宋" w:eastAsia="仿宋_GB2312"/>
          <w:color w:val="auto"/>
          <w:sz w:val="32"/>
          <w:szCs w:val="32"/>
          <w:highlight w:val="none"/>
          <w:lang w:eastAsia="zh-CN"/>
        </w:rPr>
        <w:t>。</w:t>
      </w:r>
    </w:p>
    <w:p>
      <w:pPr>
        <w:spacing w:line="560" w:lineRule="exact"/>
        <w:ind w:firstLine="640" w:firstLineChars="200"/>
        <w:rPr>
          <w:rFonts w:hint="eastAsia" w:ascii="仿宋_GB2312" w:eastAsia="仿宋_GB2312" w:hAnsiTheme="minorEastAsia"/>
          <w:color w:val="auto"/>
          <w:sz w:val="32"/>
          <w:szCs w:val="32"/>
          <w:highlight w:val="none"/>
        </w:rPr>
      </w:pPr>
      <w:r>
        <w:rPr>
          <w:rFonts w:hint="eastAsia" w:ascii="仿宋_GB2312" w:eastAsia="仿宋_GB2312" w:hAnsiTheme="minorEastAsia"/>
          <w:color w:val="auto"/>
          <w:sz w:val="32"/>
          <w:szCs w:val="32"/>
          <w:highlight w:val="none"/>
        </w:rPr>
        <w:t>（4）成本指标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hAnsiTheme="minorEastAsia"/>
          <w:color w:val="auto"/>
          <w:sz w:val="32"/>
          <w:szCs w:val="32"/>
          <w:highlight w:val="none"/>
          <w:lang w:val="en-US" w:eastAsia="zh-CN"/>
        </w:rPr>
      </w:pPr>
      <w:r>
        <w:rPr>
          <w:rFonts w:hint="eastAsia" w:ascii="仿宋_GB2312" w:eastAsia="仿宋_GB2312" w:hAnsiTheme="minorEastAsia"/>
          <w:color w:val="auto"/>
          <w:sz w:val="32"/>
          <w:szCs w:val="32"/>
          <w:highlight w:val="none"/>
        </w:rPr>
        <w:t>各项工资、福利、补助费用成本</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小于等于7.12万元/人</w:t>
      </w:r>
      <w:r>
        <w:rPr>
          <w:rFonts w:hint="eastAsia" w:ascii="仿宋_GB2312" w:eastAsia="仿宋_GB2312" w:hAnsiTheme="minorEastAsia"/>
          <w:color w:val="auto"/>
          <w:sz w:val="32"/>
          <w:szCs w:val="32"/>
          <w:highlight w:val="none"/>
        </w:rPr>
        <w:t>，实际完成值为</w:t>
      </w:r>
      <w:r>
        <w:rPr>
          <w:rFonts w:hint="eastAsia" w:ascii="仿宋_GB2312" w:eastAsia="仿宋_GB2312" w:hAnsiTheme="minorEastAsia"/>
          <w:color w:val="auto"/>
          <w:sz w:val="32"/>
          <w:szCs w:val="32"/>
          <w:highlight w:val="none"/>
          <w:lang w:val="en-US" w:eastAsia="zh-CN"/>
        </w:rPr>
        <w:t>4.45万元/人</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eastAsia="仿宋_GB2312" w:hAnsiTheme="minorEastAsia"/>
          <w:color w:val="auto"/>
          <w:sz w:val="32"/>
          <w:szCs w:val="32"/>
          <w:highlight w:val="none"/>
        </w:rPr>
        <w:t>%</w:t>
      </w:r>
      <w:r>
        <w:rPr>
          <w:rFonts w:hint="eastAsia" w:ascii="仿宋_GB2312" w:eastAsia="仿宋_GB2312" w:hAnsiTheme="minorEastAsia"/>
          <w:color w:val="auto"/>
          <w:sz w:val="32"/>
          <w:szCs w:val="32"/>
          <w:highlight w:val="none"/>
          <w:lang w:eastAsia="zh-CN"/>
        </w:rPr>
        <w:t>。</w:t>
      </w:r>
      <w:r>
        <w:rPr>
          <w:rFonts w:hint="eastAsia" w:ascii="仿宋_GB2312" w:hAnsi="仿宋" w:eastAsia="仿宋_GB2312"/>
          <w:color w:val="auto"/>
          <w:sz w:val="32"/>
          <w:szCs w:val="32"/>
          <w:highlight w:val="none"/>
        </w:rPr>
        <w:t>达到预期目标。</w:t>
      </w:r>
      <w:r>
        <w:rPr>
          <w:rFonts w:hint="eastAsia" w:ascii="仿宋_GB2312" w:hAnsi="仿宋" w:eastAsia="仿宋_GB2312"/>
          <w:color w:val="auto"/>
          <w:sz w:val="32"/>
          <w:szCs w:val="32"/>
          <w:highlight w:val="none"/>
          <w:lang w:val="en-US" w:eastAsia="zh-CN"/>
        </w:rPr>
        <w:t>原因：人员变动增加。措施;后期申请预算追加。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eastAsia="仿宋_GB2312" w:hAnsiTheme="minorEastAsia"/>
          <w:color w:val="auto"/>
          <w:sz w:val="32"/>
          <w:szCs w:val="32"/>
          <w:highlight w:val="none"/>
        </w:rPr>
        <w:t>对个人和家庭补助成本</w:t>
      </w:r>
      <w:r>
        <w:rPr>
          <w:rFonts w:hint="eastAsia" w:ascii="仿宋_GB2312" w:eastAsia="仿宋_GB2312" w:hAnsiTheme="minorEastAsia"/>
          <w:color w:val="auto"/>
          <w:sz w:val="32"/>
          <w:szCs w:val="32"/>
          <w:highlight w:val="none"/>
          <w:lang w:eastAsia="zh-CN"/>
        </w:rPr>
        <w:t>，</w:t>
      </w:r>
      <w:r>
        <w:rPr>
          <w:rFonts w:hint="eastAsia" w:ascii="仿宋_GB2312" w:eastAsia="仿宋_GB2312" w:hAnsiTheme="minorEastAsia"/>
          <w:color w:val="auto"/>
          <w:sz w:val="32"/>
          <w:szCs w:val="32"/>
          <w:highlight w:val="none"/>
        </w:rPr>
        <w:t>预期值为</w:t>
      </w:r>
      <w:r>
        <w:rPr>
          <w:rFonts w:hint="eastAsia" w:ascii="仿宋_GB2312" w:eastAsia="仿宋_GB2312" w:hAnsiTheme="minorEastAsia"/>
          <w:color w:val="auto"/>
          <w:sz w:val="32"/>
          <w:szCs w:val="32"/>
          <w:highlight w:val="none"/>
          <w:lang w:val="en-US" w:eastAsia="zh-CN"/>
        </w:rPr>
        <w:t>小于等于1.13万元</w:t>
      </w:r>
      <w:r>
        <w:rPr>
          <w:rFonts w:hint="eastAsia" w:ascii="仿宋_GB2312" w:eastAsia="仿宋_GB2312" w:hAnsiTheme="minorEastAsia"/>
          <w:color w:val="auto"/>
          <w:sz w:val="32"/>
          <w:szCs w:val="32"/>
          <w:highlight w:val="none"/>
        </w:rPr>
        <w:t>，实际完成</w:t>
      </w:r>
      <w:r>
        <w:rPr>
          <w:rFonts w:hint="eastAsia" w:ascii="仿宋_GB2312" w:eastAsia="仿宋_GB2312" w:hAnsiTheme="minorEastAsia"/>
          <w:color w:val="auto"/>
          <w:sz w:val="32"/>
          <w:szCs w:val="32"/>
          <w:highlight w:val="none"/>
          <w:lang w:val="en-US" w:eastAsia="zh-CN"/>
        </w:rPr>
        <w:t>值1.13万元</w:t>
      </w:r>
      <w:r>
        <w:rPr>
          <w:rFonts w:hint="eastAsia" w:ascii="仿宋_GB2312" w:eastAsia="仿宋_GB2312" w:hAnsiTheme="minorEastAsia"/>
          <w:color w:val="auto"/>
          <w:sz w:val="32"/>
          <w:szCs w:val="32"/>
          <w:highlight w:val="none"/>
        </w:rPr>
        <w:t>，完成率为</w:t>
      </w:r>
      <w:r>
        <w:rPr>
          <w:rFonts w:hint="eastAsia" w:ascii="仿宋_GB2312" w:eastAsia="仿宋_GB2312" w:hAnsiTheme="minorEastAsia"/>
          <w:color w:val="auto"/>
          <w:sz w:val="32"/>
          <w:szCs w:val="32"/>
          <w:highlight w:val="none"/>
          <w:lang w:val="en-US" w:eastAsia="zh-CN"/>
        </w:rPr>
        <w:t>100%。</w:t>
      </w:r>
      <w:r>
        <w:rPr>
          <w:rFonts w:hint="eastAsia" w:ascii="仿宋_GB2312" w:hAnsi="仿宋" w:eastAsia="仿宋_GB2312"/>
          <w:color w:val="auto"/>
          <w:sz w:val="32"/>
          <w:szCs w:val="32"/>
          <w:highlight w:val="none"/>
        </w:rPr>
        <w:t>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
          <w:color w:val="auto"/>
          <w:spacing w:val="-4"/>
          <w:sz w:val="32"/>
          <w:szCs w:val="32"/>
          <w:highlight w:val="none"/>
          <w:lang w:val="en-US" w:eastAsia="zh-CN"/>
        </w:rPr>
      </w:pPr>
      <w:r>
        <w:rPr>
          <w:rFonts w:hint="eastAsia" w:ascii="仿宋_GB2312" w:eastAsia="仿宋_GB2312" w:hAnsiTheme="minorEastAsia" w:cstheme="minorBidi"/>
          <w:b w:val="0"/>
          <w:bCs w:val="0"/>
          <w:color w:val="auto"/>
          <w:kern w:val="2"/>
          <w:sz w:val="32"/>
          <w:szCs w:val="32"/>
          <w:highlight w:val="none"/>
          <w:lang w:val="en-US" w:eastAsia="zh-CN" w:bidi="ar-SA"/>
        </w:rPr>
        <w:t>正常运转支出成本，预期值为小于等于63.18万元，实际完成值为42.17万元，完成率为100%。达到预期目标</w:t>
      </w:r>
      <w:r>
        <w:rPr>
          <w:rFonts w:ascii="仿宋_GB2312" w:hAnsi="仿宋" w:eastAsia="仿宋_GB2312" w:cs="仿宋"/>
          <w:color w:val="auto"/>
          <w:spacing w:val="-4"/>
          <w:sz w:val="32"/>
          <w:szCs w:val="32"/>
          <w:highlight w:val="none"/>
        </w:rPr>
        <w:t>。</w:t>
      </w:r>
      <w:r>
        <w:rPr>
          <w:rFonts w:hint="eastAsia" w:ascii="仿宋_GB2312" w:hAnsi="仿宋" w:eastAsia="仿宋_GB2312" w:cs="仿宋"/>
          <w:color w:val="auto"/>
          <w:spacing w:val="-4"/>
          <w:sz w:val="32"/>
          <w:szCs w:val="32"/>
          <w:highlight w:val="none"/>
          <w:lang w:val="en-US" w:eastAsia="zh-CN"/>
        </w:rPr>
        <w:t>原因;报账不及时，导致资金未支付完毕。措施：后期督促相关人员及时报账。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stheme="minorBidi"/>
          <w:b w:val="0"/>
          <w:bCs w:val="0"/>
          <w:color w:val="auto"/>
          <w:kern w:val="2"/>
          <w:sz w:val="32"/>
          <w:szCs w:val="32"/>
          <w:highlight w:val="none"/>
          <w:lang w:val="en-US" w:eastAsia="zh-CN" w:bidi="ar-SA"/>
        </w:rPr>
        <w:t>成本指标共计3个，完成2个，未完成1个，达到预期目标2个，未达到预期目标1个，成本指标未完成。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2．效益指标完成情况分析</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（1）项目实施的经济效益分析</w:t>
      </w:r>
    </w:p>
    <w:p>
      <w:pPr>
        <w:spacing w:line="560" w:lineRule="exact"/>
        <w:ind w:firstLine="640" w:firstLineChars="200"/>
        <w:rPr>
          <w:rFonts w:hint="eastAsia" w:ascii="仿宋_GB2312" w:eastAsia="仿宋_GB2312"/>
          <w:color w:val="auto"/>
          <w:sz w:val="32"/>
          <w:szCs w:val="32"/>
          <w:highlight w:val="none"/>
        </w:rPr>
      </w:pPr>
      <w:r>
        <w:rPr>
          <w:rFonts w:hint="eastAsia" w:ascii="仿宋_GB2312" w:hAnsi="仿宋" w:eastAsia="仿宋_GB2312"/>
          <w:color w:val="auto"/>
          <w:sz w:val="32"/>
          <w:szCs w:val="32"/>
          <w:highlight w:val="none"/>
        </w:rPr>
        <w:t>无。</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（2）项目实施的社会效益分析</w:t>
      </w:r>
    </w:p>
    <w:p>
      <w:pPr>
        <w:spacing w:line="560" w:lineRule="exact"/>
        <w:ind w:firstLine="640" w:firstLineChars="200"/>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保障单位正常运转，预期指标有效保障，实际完成值是有效保障，指标完成率是有效保障，达到预期目标。</w:t>
      </w:r>
    </w:p>
    <w:p>
      <w:pPr>
        <w:spacing w:line="560" w:lineRule="exact"/>
        <w:ind w:firstLine="640" w:firstLineChars="20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社会效益指标共计1个，完成1个，达到预期目标，</w:t>
      </w:r>
      <w:r>
        <w:rPr>
          <w:rFonts w:hint="eastAsia" w:ascii="仿宋_GB2312" w:hAnsi="Times New Roman" w:eastAsia="仿宋_GB2312" w:cs="Times New Roman"/>
          <w:color w:val="auto"/>
          <w:sz w:val="32"/>
          <w:szCs w:val="28"/>
          <w:highlight w:val="none"/>
        </w:rPr>
        <w:t>社会效益指标完成。</w:t>
      </w:r>
    </w:p>
    <w:p>
      <w:pPr>
        <w:spacing w:line="560" w:lineRule="exact"/>
        <w:ind w:firstLine="624" w:firstLineChars="200"/>
        <w:rPr>
          <w:rFonts w:ascii="仿宋_GB2312" w:hAnsi="楷体" w:eastAsia="仿宋_GB2312" w:cs="仿宋"/>
          <w:bCs/>
          <w:color w:val="auto"/>
          <w:spacing w:val="-4"/>
          <w:sz w:val="32"/>
          <w:szCs w:val="32"/>
          <w:highlight w:val="none"/>
        </w:rPr>
      </w:pPr>
      <w:r>
        <w:rPr>
          <w:rFonts w:hint="eastAsia" w:ascii="仿宋_GB2312" w:hAnsi="楷体" w:eastAsia="仿宋_GB2312" w:cs="仿宋"/>
          <w:color w:val="auto"/>
          <w:spacing w:val="-4"/>
          <w:sz w:val="32"/>
          <w:szCs w:val="32"/>
          <w:highlight w:val="none"/>
        </w:rPr>
        <w:t>（3）项目实施的生态效益分</w:t>
      </w:r>
      <w:r>
        <w:rPr>
          <w:rFonts w:hint="eastAsia" w:ascii="仿宋_GB2312" w:hAnsi="楷体" w:eastAsia="仿宋_GB2312" w:cs="仿宋"/>
          <w:bCs/>
          <w:color w:val="auto"/>
          <w:spacing w:val="-4"/>
          <w:sz w:val="32"/>
          <w:szCs w:val="32"/>
          <w:highlight w:val="none"/>
        </w:rPr>
        <w:t>析</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无。</w:t>
      </w:r>
    </w:p>
    <w:p>
      <w:pPr>
        <w:spacing w:line="560" w:lineRule="exact"/>
        <w:ind w:firstLine="624" w:firstLineChars="200"/>
        <w:rPr>
          <w:rFonts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（4）项目实施的可持续影响分析</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持续为群众提供公共服务能力，预期指标长期，实际完成值是长期，指标完成率是100%，达到预期目标。</w:t>
      </w:r>
    </w:p>
    <w:p>
      <w:pPr>
        <w:spacing w:line="560" w:lineRule="exact"/>
        <w:ind w:firstLine="624" w:firstLineChars="200"/>
        <w:rPr>
          <w:rFonts w:ascii="仿宋_GB2312" w:eastAsia="仿宋_GB2312"/>
          <w:color w:val="auto"/>
          <w:sz w:val="32"/>
          <w:szCs w:val="32"/>
          <w:highlight w:val="none"/>
        </w:rPr>
      </w:pPr>
      <w:r>
        <w:rPr>
          <w:rFonts w:hint="eastAsia" w:ascii="仿宋_GB2312" w:hAnsi="仿宋" w:eastAsia="仿宋_GB2312" w:cs="仿宋"/>
          <w:color w:val="auto"/>
          <w:spacing w:val="-4"/>
          <w:sz w:val="32"/>
          <w:szCs w:val="32"/>
          <w:highlight w:val="none"/>
        </w:rPr>
        <w:t>可持续指标共计1个，完成1个，达到预期目标，</w:t>
      </w:r>
      <w:r>
        <w:rPr>
          <w:rFonts w:hint="eastAsia" w:ascii="仿宋_GB2312" w:hAnsi="Times New Roman" w:eastAsia="仿宋_GB2312" w:cs="Times New Roman"/>
          <w:color w:val="auto"/>
          <w:sz w:val="32"/>
          <w:szCs w:val="32"/>
          <w:highlight w:val="none"/>
        </w:rPr>
        <w:t>可持续影响指标完成。</w:t>
      </w:r>
    </w:p>
    <w:p>
      <w:pPr>
        <w:spacing w:line="560" w:lineRule="exact"/>
        <w:ind w:firstLine="627" w:firstLineChars="200"/>
        <w:rPr>
          <w:rFonts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3．满意度指标完成情况分析</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按计划完成项目实施，已做满意度调查问卷，具体如下：</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教职工满意度，预期指标是大于等于95%，实际完成值是95%，指标完成率是100%，达到预期目标。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lang w:val="en-US" w:eastAsia="zh-CN"/>
        </w:rPr>
        <w:t>幼儿家长</w:t>
      </w:r>
      <w:r>
        <w:rPr>
          <w:rFonts w:hint="eastAsia" w:ascii="仿宋_GB2312" w:hAnsi="仿宋" w:eastAsia="仿宋_GB2312" w:cs="仿宋"/>
          <w:color w:val="auto"/>
          <w:spacing w:val="-4"/>
          <w:sz w:val="32"/>
          <w:szCs w:val="32"/>
          <w:highlight w:val="none"/>
        </w:rPr>
        <w:t>满意度</w:t>
      </w:r>
      <w:r>
        <w:rPr>
          <w:rFonts w:hint="eastAsia" w:ascii="仿宋_GB2312" w:hAnsi="仿宋" w:eastAsia="仿宋_GB2312" w:cs="仿宋"/>
          <w:color w:val="auto"/>
          <w:spacing w:val="-4"/>
          <w:sz w:val="32"/>
          <w:szCs w:val="32"/>
          <w:highlight w:val="none"/>
          <w:lang w:eastAsia="zh-CN"/>
        </w:rPr>
        <w:t>，</w:t>
      </w:r>
      <w:r>
        <w:rPr>
          <w:rFonts w:hint="eastAsia" w:ascii="仿宋_GB2312" w:hAnsi="仿宋" w:eastAsia="仿宋_GB2312" w:cs="仿宋"/>
          <w:color w:val="auto"/>
          <w:spacing w:val="-4"/>
          <w:sz w:val="32"/>
          <w:szCs w:val="32"/>
          <w:highlight w:val="none"/>
        </w:rPr>
        <w:t>预期指标是大于等于95%，实际完成值是95%，指标完成率是100%。达到预期目标。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满意度指标共计2个，完成2个，达到预期目标，服务对象满意度指标完成。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经济性评价：单位年度任务在预算资金额度内完成，并通过规范的资金管理及其他创新的管理措施实现了资金的节约。</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效率性评价：各项工作计划按预期计划按时完成，效益按预期时间产生。</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rPr>
        <w:t>效益性评价：预期的经济效益、社会效益、可持续影响产生，教职工满意度达到95%，幼儿家长满意度达到95%，满意度指标完成。</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六、存在的主要问题</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(一)预算执行存在偏差</w:t>
      </w:r>
    </w:p>
    <w:p>
      <w:pPr>
        <w:spacing w:line="560" w:lineRule="exact"/>
        <w:ind w:firstLine="624" w:firstLineChars="200"/>
        <w:rPr>
          <w:rFonts w:ascii="仿宋_GB2312" w:hAnsi="仿宋" w:eastAsia="仿宋_GB2312" w:cs="仿宋"/>
          <w:color w:val="auto"/>
          <w:spacing w:val="-4"/>
          <w:sz w:val="32"/>
          <w:szCs w:val="32"/>
          <w:highlight w:val="none"/>
        </w:rPr>
      </w:pPr>
      <w:r>
        <w:rPr>
          <w:rFonts w:hint="eastAsia" w:ascii="仿宋_GB2312" w:hAnsi="仿宋" w:eastAsia="仿宋_GB2312" w:cs="仿宋"/>
          <w:color w:val="auto"/>
          <w:spacing w:val="-4"/>
          <w:sz w:val="32"/>
          <w:szCs w:val="32"/>
          <w:highlight w:val="none"/>
          <w:lang w:val="en-US" w:eastAsia="zh-CN"/>
        </w:rPr>
        <w:t>因人员变动及资金报账不及时，导致成本指标实际完成情况比年初预算指标值偏低</w:t>
      </w:r>
      <w:r>
        <w:rPr>
          <w:rFonts w:ascii="仿宋_GB2312" w:hAnsi="仿宋" w:eastAsia="仿宋_GB2312" w:cs="仿宋"/>
          <w:color w:val="auto"/>
          <w:spacing w:val="-4"/>
          <w:sz w:val="32"/>
          <w:szCs w:val="32"/>
          <w:highlight w:val="none"/>
        </w:rPr>
        <w:t>。</w:t>
      </w:r>
    </w:p>
    <w:p>
      <w:pPr>
        <w:spacing w:line="560" w:lineRule="exact"/>
        <w:ind w:firstLine="624" w:firstLineChars="200"/>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目标设定科学性及评价存在难度</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对于目标设定需要分科室</w:t>
      </w:r>
      <w:r>
        <w:rPr>
          <w:rFonts w:hint="eastAsia" w:ascii="仿宋_GB2312" w:hAnsi="仿宋" w:eastAsia="仿宋_GB2312" w:cs="仿宋"/>
          <w:color w:val="auto"/>
          <w:spacing w:val="-4"/>
          <w:sz w:val="32"/>
          <w:szCs w:val="32"/>
          <w:highlight w:val="none"/>
          <w:lang w:eastAsia="zh-CN"/>
        </w:rPr>
        <w:t>单位</w:t>
      </w:r>
      <w:r>
        <w:rPr>
          <w:rFonts w:ascii="仿宋_GB2312" w:hAnsi="仿宋" w:eastAsia="仿宋_GB2312" w:cs="仿宋"/>
          <w:color w:val="auto"/>
          <w:spacing w:val="-4"/>
          <w:sz w:val="32"/>
          <w:szCs w:val="32"/>
          <w:highlight w:val="none"/>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（四）固定资产管理水平有待提高</w:t>
      </w:r>
    </w:p>
    <w:p>
      <w:pPr>
        <w:spacing w:line="560" w:lineRule="exact"/>
        <w:ind w:firstLine="624" w:firstLineChars="200"/>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highlight w:val="none"/>
        </w:rPr>
      </w:pPr>
      <w:r>
        <w:rPr>
          <w:rStyle w:val="10"/>
          <w:rFonts w:hint="eastAsia" w:ascii="黑体" w:hAnsi="黑体" w:eastAsia="黑体" w:cs="Times New Roman"/>
          <w:b w:val="0"/>
          <w:color w:val="auto"/>
          <w:spacing w:val="-4"/>
          <w:sz w:val="32"/>
          <w:szCs w:val="32"/>
          <w:highlight w:val="none"/>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（一）</w:t>
      </w:r>
      <w:r>
        <w:rPr>
          <w:rFonts w:ascii="楷体" w:hAnsi="楷体" w:eastAsia="楷体" w:cs="仿宋"/>
          <w:color w:val="auto"/>
          <w:spacing w:val="-4"/>
          <w:sz w:val="32"/>
          <w:szCs w:val="32"/>
          <w:highlight w:val="none"/>
        </w:rPr>
        <w:t>加强新行政单位会计制度和新预算法学习培训</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规范账务处理</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加强新《预算法》、《行政单位会计制度》 、《会计法》 、《行政单位财务规则》等学习培训,规范</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预算收支核算</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highlight w:val="none"/>
        </w:rPr>
        <w:t>；</w:t>
      </w:r>
      <w:r>
        <w:rPr>
          <w:rFonts w:ascii="楷体" w:hAnsi="楷体" w:eastAsia="楷体" w:cs="仿宋"/>
          <w:color w:val="auto"/>
          <w:spacing w:val="-4"/>
          <w:sz w:val="32"/>
          <w:szCs w:val="32"/>
          <w:highlight w:val="none"/>
        </w:rPr>
        <w:t>落实预算执行分析,及时了解预算执行差异,合理调整、纠正预算执行偏差，切实提高</w:t>
      </w:r>
      <w:r>
        <w:rPr>
          <w:rFonts w:hint="eastAsia" w:ascii="楷体" w:hAnsi="楷体" w:eastAsia="楷体" w:cs="仿宋"/>
          <w:color w:val="auto"/>
          <w:spacing w:val="-4"/>
          <w:sz w:val="32"/>
          <w:szCs w:val="32"/>
          <w:highlight w:val="none"/>
          <w:lang w:eastAsia="zh-CN"/>
        </w:rPr>
        <w:t>单位</w:t>
      </w:r>
      <w:r>
        <w:rPr>
          <w:rFonts w:ascii="楷体" w:hAnsi="楷体" w:eastAsia="楷体" w:cs="仿宋"/>
          <w:color w:val="auto"/>
          <w:spacing w:val="-4"/>
          <w:sz w:val="32"/>
          <w:szCs w:val="32"/>
          <w:highlight w:val="none"/>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hint="eastAsia" w:ascii="楷体" w:hAnsi="楷体" w:eastAsia="楷体" w:cs="仿宋"/>
          <w:color w:val="auto"/>
          <w:spacing w:val="-4"/>
          <w:sz w:val="32"/>
          <w:szCs w:val="32"/>
          <w:highlight w:val="none"/>
        </w:rPr>
        <w:t>（二）</w:t>
      </w:r>
      <w:r>
        <w:rPr>
          <w:rFonts w:ascii="楷体" w:hAnsi="楷体" w:eastAsia="楷体" w:cs="仿宋"/>
          <w:color w:val="auto"/>
          <w:spacing w:val="-4"/>
          <w:sz w:val="32"/>
          <w:szCs w:val="32"/>
          <w:highlight w:val="none"/>
        </w:rPr>
        <w:t>完善管理制度,进</w:t>
      </w:r>
      <w:r>
        <w:rPr>
          <w:rFonts w:hint="eastAsia" w:ascii="楷体" w:hAnsi="楷体" w:eastAsia="楷体" w:cs="仿宋"/>
          <w:color w:val="auto"/>
          <w:spacing w:val="-4"/>
          <w:sz w:val="32"/>
          <w:szCs w:val="32"/>
          <w:highlight w:val="none"/>
          <w:lang w:val="en-US" w:eastAsia="zh-CN"/>
        </w:rPr>
        <w:t>一步</w:t>
      </w:r>
      <w:r>
        <w:rPr>
          <w:rFonts w:ascii="楷体" w:hAnsi="楷体" w:eastAsia="楷体" w:cs="仿宋"/>
          <w:color w:val="auto"/>
          <w:spacing w:val="-4"/>
          <w:sz w:val="32"/>
          <w:szCs w:val="32"/>
          <w:highlight w:val="none"/>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highlight w:val="none"/>
        </w:rPr>
      </w:pPr>
      <w:r>
        <w:rPr>
          <w:rFonts w:ascii="仿宋_GB2312" w:hAnsi="仿宋" w:eastAsia="仿宋_GB2312" w:cs="仿宋"/>
          <w:color w:val="auto"/>
          <w:spacing w:val="-4"/>
          <w:sz w:val="32"/>
          <w:szCs w:val="32"/>
          <w:highlight w:val="none"/>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（三）加强学习如何科学合理制定绩效目标及考核体系，充分发挥绩效工作效用</w:t>
      </w:r>
      <w:r>
        <w:rPr>
          <w:rFonts w:hint="eastAsia" w:ascii="楷体" w:hAnsi="楷体" w:eastAsia="楷体" w:cs="仿宋"/>
          <w:color w:val="auto"/>
          <w:spacing w:val="-4"/>
          <w:sz w:val="32"/>
          <w:szCs w:val="32"/>
          <w:highlight w:val="none"/>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实行专项资金预算管理， 结合单位实际, 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（六）按时间进度分解资金使用计划</w:t>
      </w:r>
    </w:p>
    <w:p>
      <w:pPr>
        <w:pStyle w:val="6"/>
        <w:widowControl/>
        <w:spacing w:before="0" w:beforeAutospacing="0" w:after="0" w:afterAutospacing="0" w:line="560" w:lineRule="exact"/>
        <w:ind w:firstLine="624" w:firstLineChars="200"/>
        <w:jc w:val="both"/>
        <w:rPr>
          <w:rFonts w:hint="eastAsia" w:ascii="仿宋_GB2312" w:hAnsi="楷体" w:eastAsia="仿宋_GB2312" w:cs="仿宋"/>
          <w:color w:val="auto"/>
          <w:spacing w:val="-4"/>
          <w:sz w:val="32"/>
          <w:szCs w:val="32"/>
          <w:highlight w:val="none"/>
        </w:rPr>
      </w:pPr>
      <w:r>
        <w:rPr>
          <w:rFonts w:hint="eastAsia" w:ascii="仿宋_GB2312" w:hAnsi="楷体" w:eastAsia="仿宋_GB2312" w:cs="仿宋"/>
          <w:color w:val="auto"/>
          <w:spacing w:val="-4"/>
          <w:sz w:val="32"/>
          <w:szCs w:val="32"/>
          <w:highlight w:val="none"/>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hint="eastAsia" w:ascii="楷体" w:hAnsi="楷体" w:eastAsia="楷体" w:cs="仿宋"/>
          <w:color w:val="auto"/>
          <w:spacing w:val="-4"/>
          <w:sz w:val="32"/>
          <w:szCs w:val="32"/>
          <w:highlight w:val="none"/>
        </w:rPr>
      </w:pPr>
      <w:r>
        <w:rPr>
          <w:rFonts w:ascii="楷体" w:hAnsi="楷体" w:eastAsia="楷体" w:cs="仿宋"/>
          <w:color w:val="auto"/>
          <w:spacing w:val="-4"/>
          <w:sz w:val="32"/>
          <w:szCs w:val="32"/>
          <w:highlight w:val="none"/>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highlight w:val="none"/>
        </w:rPr>
      </w:pPr>
      <w:r>
        <w:rPr>
          <w:rFonts w:ascii="仿宋_GB2312" w:hAnsi="楷体" w:eastAsia="仿宋_GB2312" w:cs="仿宋"/>
          <w:color w:val="auto"/>
          <w:spacing w:val="-4"/>
          <w:sz w:val="32"/>
          <w:szCs w:val="32"/>
          <w:highlight w:val="none"/>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highlight w:val="none"/>
          <w:lang w:eastAsia="zh-CN"/>
        </w:rPr>
        <w:t>单位</w:t>
      </w:r>
      <w:r>
        <w:rPr>
          <w:rFonts w:ascii="仿宋_GB2312" w:hAnsi="楷体" w:eastAsia="仿宋_GB2312" w:cs="仿宋"/>
          <w:color w:val="auto"/>
          <w:spacing w:val="-4"/>
          <w:sz w:val="32"/>
          <w:szCs w:val="32"/>
          <w:highlight w:val="none"/>
        </w:rPr>
        <w:t>的紧密配合,开展好整体支出及项目资金绩效管理工作,运用好绩 效评价的结果,不断提升预算管理水平。</w:t>
      </w:r>
    </w:p>
    <w:p>
      <w:pPr>
        <w:rPr>
          <w:rFonts w:ascii="仿宋" w:hAnsi="仿宋" w:eastAsia="仿宋" w:cs="Times New Roman"/>
          <w:bCs/>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script"/>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2"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abstractNum w:abstractNumId="1">
    <w:nsid w:val="DF2B7707"/>
    <w:multiLevelType w:val="singleLevel"/>
    <w:tmpl w:val="DF2B7707"/>
    <w:lvl w:ilvl="0" w:tentative="0">
      <w:start w:val="3"/>
      <w:numFmt w:val="decimal"/>
      <w:suff w:val="nothing"/>
      <w:lvlText w:val="（%1）"/>
      <w:lvlJc w:val="left"/>
    </w:lvl>
  </w:abstractNum>
  <w:abstractNum w:abstractNumId="2">
    <w:nsid w:val="0C269B3F"/>
    <w:multiLevelType w:val="singleLevel"/>
    <w:tmpl w:val="0C269B3F"/>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wOTdhZDMzNjg0ZDQxNWU5ZTU5YjEwM2U0YTJlYTkifQ=="/>
  </w:docVars>
  <w:rsids>
    <w:rsidRoot w:val="077D059C"/>
    <w:rsid w:val="00032827"/>
    <w:rsid w:val="0003628E"/>
    <w:rsid w:val="00064105"/>
    <w:rsid w:val="000930E8"/>
    <w:rsid w:val="00094B04"/>
    <w:rsid w:val="000F213A"/>
    <w:rsid w:val="00114469"/>
    <w:rsid w:val="00161FE4"/>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5128A"/>
    <w:rsid w:val="00A63A7B"/>
    <w:rsid w:val="00A662E5"/>
    <w:rsid w:val="00AD5912"/>
    <w:rsid w:val="00B022E4"/>
    <w:rsid w:val="00B039E5"/>
    <w:rsid w:val="00B25AE7"/>
    <w:rsid w:val="00B43522"/>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77D059C"/>
    <w:rsid w:val="07865F07"/>
    <w:rsid w:val="085A7547"/>
    <w:rsid w:val="097807C5"/>
    <w:rsid w:val="0A531B8B"/>
    <w:rsid w:val="0E2D1421"/>
    <w:rsid w:val="0EDE073C"/>
    <w:rsid w:val="0F484CBE"/>
    <w:rsid w:val="11970B0A"/>
    <w:rsid w:val="141C6243"/>
    <w:rsid w:val="15001278"/>
    <w:rsid w:val="1A7D2E72"/>
    <w:rsid w:val="1ACC0302"/>
    <w:rsid w:val="1CEF2574"/>
    <w:rsid w:val="208D2F22"/>
    <w:rsid w:val="227375DB"/>
    <w:rsid w:val="29F9207F"/>
    <w:rsid w:val="2F187AB3"/>
    <w:rsid w:val="2F2E1EC8"/>
    <w:rsid w:val="30E07F90"/>
    <w:rsid w:val="3455214F"/>
    <w:rsid w:val="346A6D13"/>
    <w:rsid w:val="353C0AD7"/>
    <w:rsid w:val="370C7C38"/>
    <w:rsid w:val="3AE55345"/>
    <w:rsid w:val="3B2B6289"/>
    <w:rsid w:val="3CCA3DC7"/>
    <w:rsid w:val="4D457C38"/>
    <w:rsid w:val="4DDE2F16"/>
    <w:rsid w:val="4E31105E"/>
    <w:rsid w:val="4ECD6109"/>
    <w:rsid w:val="517E1B32"/>
    <w:rsid w:val="555C287A"/>
    <w:rsid w:val="55D03A95"/>
    <w:rsid w:val="599F2F96"/>
    <w:rsid w:val="5AC664B8"/>
    <w:rsid w:val="5D6176A7"/>
    <w:rsid w:val="5D6F2B20"/>
    <w:rsid w:val="616E0F8F"/>
    <w:rsid w:val="66171FA7"/>
    <w:rsid w:val="66540FAC"/>
    <w:rsid w:val="6FE15325"/>
    <w:rsid w:val="70E82C69"/>
    <w:rsid w:val="7810477E"/>
    <w:rsid w:val="7AB1439F"/>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6343</Words>
  <Characters>6556</Characters>
  <Lines>58</Lines>
  <Paragraphs>16</Paragraphs>
  <TotalTime>10</TotalTime>
  <ScaleCrop>false</ScaleCrop>
  <LinksUpToDate>false</LinksUpToDate>
  <CharactersWithSpaces>6592</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Administrator</cp:lastModifiedBy>
  <cp:lastPrinted>2022-05-16T03:29:00Z</cp:lastPrinted>
  <dcterms:modified xsi:type="dcterms:W3CDTF">2022-08-31T10:08:43Z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KSOSaveFontToCloudKey">
    <vt:lpwstr>405071676_stopsync</vt:lpwstr>
  </property>
  <property fmtid="{D5CDD505-2E9C-101B-9397-08002B2CF9AE}" pid="4" name="ICV">
    <vt:lpwstr>B97F772AD34546D294CAEEC88B538755</vt:lpwstr>
  </property>
</Properties>
</file>