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auto"/>
          <w:highlight w:val="none"/>
        </w:rPr>
      </w:pPr>
    </w:p>
    <w:p>
      <w:pPr>
        <w:rPr>
          <w:color w:val="auto"/>
          <w:highlight w:val="none"/>
        </w:rPr>
      </w:pPr>
    </w:p>
    <w:p>
      <w:pPr>
        <w:rPr>
          <w:color w:val="auto"/>
          <w:highlight w:val="none"/>
        </w:rPr>
      </w:pPr>
    </w:p>
    <w:p>
      <w:pPr>
        <w:spacing w:line="540" w:lineRule="exact"/>
        <w:jc w:val="center"/>
        <w:rPr>
          <w:rFonts w:ascii="方正小标宋_GBK" w:hAnsi="华文中宋" w:eastAsia="方正小标宋_GBK" w:cs="宋体"/>
          <w:b/>
          <w:color w:val="auto"/>
          <w:kern w:val="0"/>
          <w:sz w:val="48"/>
          <w:szCs w:val="48"/>
          <w:highlight w:val="none"/>
        </w:rPr>
      </w:pPr>
    </w:p>
    <w:p>
      <w:pPr>
        <w:spacing w:line="600" w:lineRule="exact"/>
        <w:jc w:val="center"/>
        <w:rPr>
          <w:rFonts w:ascii="方正小标宋_GBK" w:hAnsi="华文中宋" w:eastAsia="方正小标宋_GBK" w:cs="宋体"/>
          <w:b/>
          <w:color w:val="auto"/>
          <w:kern w:val="0"/>
          <w:sz w:val="44"/>
          <w:szCs w:val="44"/>
          <w:highlight w:val="none"/>
        </w:rPr>
      </w:pPr>
      <w:r>
        <w:rPr>
          <w:rFonts w:hint="eastAsia" w:ascii="方正小标宋_GBK" w:hAnsi="华文中宋" w:eastAsia="方正小标宋_GBK" w:cs="宋体"/>
          <w:b/>
          <w:color w:val="auto"/>
          <w:kern w:val="0"/>
          <w:sz w:val="44"/>
          <w:szCs w:val="44"/>
          <w:highlight w:val="none"/>
        </w:rPr>
        <w:t>和田市医疗保障局单位整体支出</w:t>
      </w:r>
    </w:p>
    <w:p>
      <w:pPr>
        <w:spacing w:line="600" w:lineRule="exact"/>
        <w:jc w:val="center"/>
        <w:rPr>
          <w:rFonts w:ascii="方正小标宋_GBK" w:hAnsi="华文中宋" w:eastAsia="方正小标宋_GBK" w:cs="宋体"/>
          <w:b/>
          <w:color w:val="auto"/>
          <w:kern w:val="0"/>
          <w:sz w:val="44"/>
          <w:szCs w:val="44"/>
          <w:highlight w:val="none"/>
        </w:rPr>
      </w:pPr>
      <w:r>
        <w:rPr>
          <w:rFonts w:hint="eastAsia" w:ascii="方正小标宋_GBK" w:hAnsi="华文中宋" w:eastAsia="方正小标宋_GBK" w:cs="宋体"/>
          <w:b/>
          <w:color w:val="auto"/>
          <w:kern w:val="0"/>
          <w:sz w:val="44"/>
          <w:szCs w:val="44"/>
          <w:highlight w:val="none"/>
        </w:rPr>
        <w:t>绩效自评报告</w:t>
      </w:r>
    </w:p>
    <w:p>
      <w:pPr>
        <w:spacing w:line="540" w:lineRule="exact"/>
        <w:jc w:val="center"/>
        <w:rPr>
          <w:rFonts w:ascii="Times New Roman" w:hAnsi="宋体" w:eastAsia="仿宋_GB2312" w:cs="宋体"/>
          <w:color w:val="auto"/>
          <w:kern w:val="0"/>
          <w:sz w:val="36"/>
          <w:szCs w:val="36"/>
          <w:highlight w:val="none"/>
        </w:rPr>
      </w:pPr>
    </w:p>
    <w:p>
      <w:pPr>
        <w:jc w:val="center"/>
        <w:rPr>
          <w:rFonts w:ascii="仿宋_GB2312" w:hAnsi="宋体" w:eastAsia="仿宋_GB2312" w:cs="宋体"/>
          <w:color w:val="auto"/>
          <w:kern w:val="0"/>
          <w:sz w:val="36"/>
          <w:szCs w:val="36"/>
          <w:highlight w:val="none"/>
        </w:rPr>
      </w:pPr>
      <w:r>
        <w:rPr>
          <w:rFonts w:hint="eastAsia" w:ascii="仿宋_GB2312" w:hAnsi="宋体" w:eastAsia="仿宋_GB2312" w:cs="宋体"/>
          <w:color w:val="auto"/>
          <w:kern w:val="0"/>
          <w:sz w:val="36"/>
          <w:szCs w:val="36"/>
          <w:highlight w:val="none"/>
        </w:rPr>
        <w:t>（2021年度）</w:t>
      </w: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rFonts w:ascii="Times New Roman" w:hAnsi="宋体" w:eastAsia="仿宋_GB2312" w:cs="宋体"/>
          <w:color w:val="auto"/>
          <w:kern w:val="0"/>
          <w:sz w:val="36"/>
          <w:szCs w:val="36"/>
          <w:highlight w:val="none"/>
        </w:rPr>
      </w:pPr>
      <w:r>
        <w:rPr>
          <w:rFonts w:hint="eastAsia" w:ascii="Times New Roman" w:hAnsi="宋体" w:eastAsia="仿宋_GB2312" w:cs="宋体"/>
          <w:color w:val="auto"/>
          <w:kern w:val="0"/>
          <w:sz w:val="36"/>
          <w:szCs w:val="36"/>
          <w:highlight w:val="none"/>
        </w:rPr>
        <w:t>单位名称（公章）：和田市医疗保障局</w:t>
      </w:r>
    </w:p>
    <w:p>
      <w:pPr>
        <w:rPr>
          <w:rFonts w:ascii="Times New Roman" w:hAnsi="宋体" w:eastAsia="仿宋_GB2312" w:cs="宋体"/>
          <w:color w:val="auto"/>
          <w:kern w:val="0"/>
          <w:sz w:val="36"/>
          <w:szCs w:val="36"/>
          <w:highlight w:val="none"/>
        </w:rPr>
      </w:pPr>
      <w:r>
        <w:rPr>
          <w:rFonts w:hint="eastAsia" w:ascii="Times New Roman" w:hAnsi="宋体" w:eastAsia="仿宋_GB2312" w:cs="宋体"/>
          <w:color w:val="auto"/>
          <w:kern w:val="0"/>
          <w:sz w:val="36"/>
          <w:szCs w:val="36"/>
          <w:highlight w:val="none"/>
        </w:rPr>
        <w:t>填报时间： 2022 年  1 月  11 日</w:t>
      </w:r>
    </w:p>
    <w:p>
      <w:pPr>
        <w:rPr>
          <w:rFonts w:ascii="Times New Roman" w:hAnsi="宋体" w:eastAsia="仿宋_GB2312" w:cs="宋体"/>
          <w:color w:val="auto"/>
          <w:kern w:val="0"/>
          <w:sz w:val="36"/>
          <w:szCs w:val="36"/>
          <w:highlight w:val="none"/>
        </w:rPr>
      </w:pPr>
    </w:p>
    <w:p>
      <w:pPr>
        <w:rPr>
          <w:rFonts w:ascii="方正小标宋简体" w:hAnsi="宋体" w:eastAsia="方正小标宋简体" w:cs="宋体"/>
          <w:color w:val="auto"/>
          <w:kern w:val="0"/>
          <w:sz w:val="36"/>
          <w:szCs w:val="36"/>
          <w:highlight w:val="none"/>
        </w:rPr>
      </w:pPr>
    </w:p>
    <w:p>
      <w:pPr>
        <w:pStyle w:val="2"/>
        <w:rPr>
          <w:color w:val="auto"/>
          <w:highlight w:val="none"/>
        </w:rPr>
      </w:pPr>
    </w:p>
    <w:p>
      <w:pPr>
        <w:rPr>
          <w:color w:val="auto"/>
          <w:highlight w:val="none"/>
        </w:rPr>
      </w:pPr>
    </w:p>
    <w:p>
      <w:pPr>
        <w:rPr>
          <w:color w:val="auto"/>
          <w:highlight w:val="none"/>
        </w:rPr>
      </w:pPr>
    </w:p>
    <w:p>
      <w:pPr>
        <w:pStyle w:val="12"/>
        <w:spacing w:line="560" w:lineRule="exact"/>
        <w:ind w:firstLine="624"/>
        <w:rPr>
          <w:rStyle w:val="10"/>
          <w:rFonts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一、基本概况</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（一）单位基本情况</w:t>
      </w:r>
    </w:p>
    <w:p>
      <w:pPr>
        <w:widowControl/>
        <w:spacing w:line="560" w:lineRule="exact"/>
        <w:ind w:firstLine="640"/>
        <w:jc w:val="left"/>
        <w:rPr>
          <w:rFonts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rPr>
        <w:t>1．单位主要职能</w:t>
      </w:r>
    </w:p>
    <w:p>
      <w:pPr>
        <w:widowControl/>
        <w:spacing w:line="560" w:lineRule="exact"/>
        <w:ind w:firstLine="640"/>
        <w:jc w:val="left"/>
        <w:rPr>
          <w:rFonts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1）贯彻实施国家、自治区、地区医疗保险、生育保险、医疗救助等医疗保障制度，执行医疗保障制度的地方性法规、规划、政策和标准；组织实施人身意外伤害保险、大额医疗补助、公务员医疗补助、企事业单位补充医疗保险、离休人员和优抚对象医疗保障等政策和管理办法。组织实施医疗保险、生育保险等政策。</w:t>
      </w:r>
    </w:p>
    <w:p>
      <w:pPr>
        <w:widowControl/>
        <w:spacing w:line="560" w:lineRule="exact"/>
        <w:ind w:firstLine="640"/>
        <w:jc w:val="left"/>
        <w:rPr>
          <w:rFonts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（2）实施医疗保障基金监督管理办法，承担推进医疗保障基金支付方式改革工作。</w:t>
      </w:r>
    </w:p>
    <w:p>
      <w:pPr>
        <w:widowControl/>
        <w:spacing w:line="560" w:lineRule="exact"/>
        <w:ind w:firstLine="640"/>
        <w:jc w:val="left"/>
        <w:rPr>
          <w:rFonts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（3）贯彻落实医疗保障筹资和待遇政策，统筹城乡医疗保障待遇标准。</w:t>
      </w:r>
    </w:p>
    <w:p>
      <w:pPr>
        <w:widowControl/>
        <w:spacing w:line="560" w:lineRule="exact"/>
        <w:ind w:firstLine="640"/>
        <w:jc w:val="left"/>
        <w:rPr>
          <w:rFonts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（4）贯彻落实城乡统一的药品、医用耗材、医疗服务项目、医疗服务设施等医保目录和支付标准，并建立动态调整机制。</w:t>
      </w:r>
    </w:p>
    <w:p>
      <w:pPr>
        <w:widowControl/>
        <w:spacing w:line="560" w:lineRule="exact"/>
        <w:ind w:firstLine="640"/>
        <w:jc w:val="left"/>
        <w:rPr>
          <w:rFonts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5）贯彻执行药品、医用耗材价格和医疗服务项目、医疗服务设施收费等政策；建立医保支付医药服务价格合理确定和动态机制；建立价格信息监测和信息发布制度；贯彻执行药品、医用耗材的招标采购政策并监督实施。</w:t>
      </w:r>
    </w:p>
    <w:p>
      <w:pPr>
        <w:widowControl/>
        <w:spacing w:line="560" w:lineRule="exact"/>
        <w:ind w:firstLine="640"/>
        <w:jc w:val="left"/>
        <w:rPr>
          <w:rFonts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（6）组织实施定点医疗机构协议和支付管理办法，建立健全医疗保障信用评价体系和信息披露制度，监督管理纳入医保范围内的医疗服务行为和医疗费用，依法查处医疗保障领域违法违规行为。</w:t>
      </w:r>
    </w:p>
    <w:p>
      <w:pPr>
        <w:widowControl/>
        <w:spacing w:line="560" w:lineRule="exact"/>
        <w:ind w:firstLine="640"/>
        <w:jc w:val="left"/>
        <w:rPr>
          <w:rFonts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（7）负责医疗保障经办管理、公共服务体系和信息化建设；执行异地就医管理和费用结算政策；建立健全医疗保障关系转移接续制度。监督指导医疗保障经办机构开展业务工作。</w:t>
      </w:r>
    </w:p>
    <w:p>
      <w:pPr>
        <w:widowControl/>
        <w:spacing w:line="560" w:lineRule="exact"/>
        <w:ind w:firstLine="640"/>
        <w:jc w:val="left"/>
        <w:rPr>
          <w:rFonts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（8）完成市委、市政府交办的其他任务。</w:t>
      </w:r>
    </w:p>
    <w:p>
      <w:pPr>
        <w:widowControl/>
        <w:spacing w:line="560" w:lineRule="exact"/>
        <w:ind w:firstLine="640"/>
        <w:jc w:val="left"/>
        <w:rPr>
          <w:rFonts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9）职能转变。完善统一的城乡居民基本医疗保险制度和大病保险制度，建立健全覆盖全民、城乡统筹的多层次医疗保障，不断提高医疗保障水平，确保医保资金合理使用、安全可控，推进医疗、医保、医药“三医联动”改革，更好保障人民群众就医需求、减轻医药费用负担。</w:t>
      </w:r>
    </w:p>
    <w:p>
      <w:pPr>
        <w:widowControl/>
        <w:spacing w:line="560" w:lineRule="exact"/>
        <w:ind w:firstLine="640"/>
        <w:jc w:val="left"/>
        <w:rPr>
          <w:rFonts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10）与和田市卫生健康委员会的有关职责分工。和田市卫生健康委员会、和田市医疗保障局等部门在医疗、医保、医药等方面加强制度、政策衔接，建立沟通协商机制，协同推进改革，提高医疗资源使用效率和医疗保障水平。</w:t>
      </w:r>
    </w:p>
    <w:p>
      <w:pPr>
        <w:pStyle w:val="12"/>
        <w:ind w:firstLine="640"/>
        <w:rPr>
          <w:rFonts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rPr>
        <w:t>2．单位机构设置及人员构成</w:t>
      </w:r>
    </w:p>
    <w:p>
      <w:pPr>
        <w:pStyle w:val="12"/>
        <w:ind w:firstLine="640"/>
        <w:rPr>
          <w:rFonts w:ascii="仿宋_GB2312" w:hAnsi="仿宋" w:eastAsia="仿宋_GB2312" w:cs="Times New Roman"/>
          <w:bCs/>
          <w:color w:val="auto"/>
          <w:sz w:val="32"/>
          <w:szCs w:val="32"/>
          <w:highlight w:val="none"/>
        </w:rPr>
      </w:pPr>
      <w:r>
        <w:rPr>
          <w:rFonts w:hint="eastAsia" w:ascii="仿宋_GB2312" w:hAnsi="宋体" w:eastAsia="仿宋_GB2312" w:cs="宋体"/>
          <w:color w:val="auto"/>
          <w:kern w:val="0"/>
          <w:sz w:val="32"/>
          <w:szCs w:val="32"/>
          <w:highlight w:val="none"/>
        </w:rPr>
        <w:t>和田市医疗保障局是全额拨款的行政管理单位，隶属于和田市人民政府，正科级。核定编制**个，科级领导职数**人。无</w:t>
      </w:r>
      <w:r>
        <w:rPr>
          <w:rFonts w:hint="eastAsia" w:ascii="仿宋_GB2312" w:hAnsi="黑体" w:eastAsia="仿宋_GB2312" w:cs="宋体"/>
          <w:bCs/>
          <w:color w:val="auto"/>
          <w:kern w:val="0"/>
          <w:sz w:val="32"/>
          <w:szCs w:val="32"/>
          <w:highlight w:val="none"/>
        </w:rPr>
        <w:t>下属预算单位，下设5个处室，分别是：办公室、基金监督科、财务室、基金征缴大厅、综合科</w:t>
      </w:r>
      <w:r>
        <w:rPr>
          <w:rFonts w:hint="eastAsia" w:ascii="仿宋_GB2312" w:hAnsi="宋体" w:eastAsia="仿宋_GB2312" w:cs="宋体"/>
          <w:color w:val="auto"/>
          <w:kern w:val="0"/>
          <w:sz w:val="32"/>
          <w:szCs w:val="32"/>
          <w:highlight w:val="none"/>
        </w:rPr>
        <w:t>。</w:t>
      </w:r>
    </w:p>
    <w:p>
      <w:pPr>
        <w:pStyle w:val="12"/>
        <w:spacing w:line="560" w:lineRule="exact"/>
        <w:ind w:firstLine="640"/>
        <w:rPr>
          <w:rFonts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rPr>
        <w:t>3．2021年度单位重点工作计划</w:t>
      </w:r>
    </w:p>
    <w:p>
      <w:pPr>
        <w:pStyle w:val="12"/>
        <w:ind w:firstLine="640"/>
        <w:rPr>
          <w:rFonts w:ascii="仿宋_GB2312" w:hAnsi="楷体" w:eastAsia="仿宋_GB2312"/>
          <w:bCs/>
          <w:color w:val="auto"/>
          <w:spacing w:val="-4"/>
          <w:sz w:val="32"/>
          <w:szCs w:val="32"/>
          <w:highlight w:val="none"/>
        </w:rPr>
      </w:pPr>
      <w:r>
        <w:rPr>
          <w:rFonts w:hint="eastAsia" w:ascii="仿宋_GB2312" w:hAnsi="仿宋" w:eastAsia="仿宋_GB2312" w:cs="Times New Roman"/>
          <w:bCs/>
          <w:color w:val="auto"/>
          <w:sz w:val="32"/>
          <w:szCs w:val="32"/>
          <w:highlight w:val="none"/>
        </w:rPr>
        <w:t>（1）</w:t>
      </w:r>
      <w:r>
        <w:rPr>
          <w:rFonts w:hint="eastAsia" w:ascii="仿宋_GB2312" w:hAnsi="仿宋" w:eastAsia="仿宋_GB2312" w:cs="Times New Roman"/>
          <w:bCs/>
          <w:color w:val="auto"/>
          <w:sz w:val="32"/>
          <w:szCs w:val="32"/>
          <w:highlight w:val="none"/>
        </w:rPr>
        <w:t>医疗保障局工作经费项目</w:t>
      </w:r>
      <w:r>
        <w:rPr>
          <w:rFonts w:hint="eastAsia" w:ascii="仿宋" w:hAnsi="仿宋" w:eastAsia="仿宋" w:cs="Times New Roman"/>
          <w:bCs/>
          <w:color w:val="auto"/>
          <w:sz w:val="32"/>
          <w:szCs w:val="32"/>
          <w:highlight w:val="none"/>
        </w:rPr>
        <w:t>。</w:t>
      </w:r>
      <w:r>
        <w:rPr>
          <w:rFonts w:hint="eastAsia" w:ascii="仿宋_GB2312" w:hAnsi="黑体" w:eastAsia="仿宋_GB2312" w:cs="宋体"/>
          <w:bCs/>
          <w:color w:val="auto"/>
          <w:kern w:val="0"/>
          <w:sz w:val="32"/>
          <w:szCs w:val="32"/>
          <w:highlight w:val="none"/>
        </w:rPr>
        <w:t>局办公室要切实加强正规化运行、提升工作效率和质量，加强对车辆的管理、落实消防责任，做好业务部门后勤保障工作。基金监督科加强医保基金监督管理，加大稽核力度，做好中心异地住院医疗报销结算事宜，按月做好定点医疗机构清算工作。医保征缴大厅</w:t>
      </w:r>
      <w:r>
        <w:rPr>
          <w:rFonts w:hint="eastAsia" w:ascii="仿宋_GB2312" w:hAnsi="楷体" w:eastAsia="仿宋_GB2312"/>
          <w:bCs/>
          <w:color w:val="auto"/>
          <w:spacing w:val="-4"/>
          <w:sz w:val="32"/>
          <w:szCs w:val="32"/>
          <w:highlight w:val="none"/>
        </w:rPr>
        <w:t>继续做好医保扩面、征缴工作，做好基础信息维护、慢性性病管理，业务咨询等事宜。</w:t>
      </w:r>
    </w:p>
    <w:p>
      <w:pPr>
        <w:pStyle w:val="12"/>
        <w:ind w:firstLine="624"/>
        <w:rPr>
          <w:rFonts w:ascii="仿宋_GB2312" w:hAnsi="楷体" w:eastAsia="仿宋_GB2312"/>
          <w:bCs/>
          <w:color w:val="auto"/>
          <w:spacing w:val="-4"/>
          <w:sz w:val="32"/>
          <w:szCs w:val="32"/>
          <w:highlight w:val="none"/>
        </w:rPr>
      </w:pPr>
      <w:r>
        <w:rPr>
          <w:rFonts w:hint="eastAsia" w:ascii="仿宋_GB2312" w:hAnsi="楷体" w:eastAsia="仿宋_GB2312"/>
          <w:bCs/>
          <w:color w:val="auto"/>
          <w:spacing w:val="-4"/>
          <w:sz w:val="32"/>
          <w:szCs w:val="32"/>
          <w:highlight w:val="none"/>
        </w:rPr>
        <w:t>（2）“***</w:t>
      </w:r>
      <w:bookmarkStart w:id="0" w:name="_GoBack"/>
      <w:bookmarkEnd w:id="0"/>
      <w:r>
        <w:rPr>
          <w:rFonts w:hint="eastAsia" w:ascii="仿宋_GB2312" w:hAnsi="楷体" w:eastAsia="仿宋_GB2312"/>
          <w:bCs/>
          <w:color w:val="auto"/>
          <w:spacing w:val="-4"/>
          <w:sz w:val="32"/>
          <w:szCs w:val="32"/>
          <w:highlight w:val="none"/>
        </w:rPr>
        <w:t>”工作经费项目。准确控制村级经费、基础设施修缮费、帮扶困难群众费的合理使用，解决群众最关心、最直接、最现实的利益问题，保证了群众困难诉求满足率高于95%，保障了2021年访惠聚工作队工作顺利开展。</w:t>
      </w:r>
    </w:p>
    <w:p>
      <w:pPr>
        <w:pStyle w:val="12"/>
        <w:ind w:firstLine="624"/>
        <w:rPr>
          <w:rFonts w:ascii="仿宋_GB2312" w:hAnsi="楷体" w:eastAsia="仿宋_GB2312"/>
          <w:bCs/>
          <w:color w:val="auto"/>
          <w:spacing w:val="-4"/>
          <w:sz w:val="32"/>
          <w:szCs w:val="32"/>
          <w:highlight w:val="none"/>
        </w:rPr>
      </w:pPr>
      <w:r>
        <w:rPr>
          <w:rFonts w:hint="eastAsia" w:ascii="仿宋_GB2312" w:hAnsi="楷体" w:eastAsia="仿宋_GB2312"/>
          <w:bCs/>
          <w:color w:val="auto"/>
          <w:spacing w:val="-4"/>
          <w:sz w:val="32"/>
          <w:szCs w:val="32"/>
          <w:highlight w:val="none"/>
        </w:rPr>
        <w:t>（3）全民参保及医疗服务经费项目。基本医疗保险参保率提高到95%以上，加大基本医疗保险政策宣传力度，保障医保政策知晓率大幅提高，确保参保人员待遇的享受，减轻参保人员就医经济负担，缓解社会矛盾。</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（二）决策过程</w:t>
      </w:r>
    </w:p>
    <w:p>
      <w:pPr>
        <w:pStyle w:val="12"/>
        <w:spacing w:line="560" w:lineRule="exact"/>
        <w:ind w:firstLine="640"/>
        <w:rPr>
          <w:rFonts w:ascii="仿宋" w:hAnsi="仿宋" w:eastAsia="仿宋" w:cs="宋体"/>
          <w:color w:val="auto"/>
          <w:sz w:val="32"/>
          <w:szCs w:val="32"/>
          <w:highlight w:val="none"/>
        </w:rPr>
      </w:pPr>
      <w:r>
        <w:rPr>
          <w:rFonts w:hint="eastAsia" w:ascii="仿宋" w:hAnsi="仿宋" w:eastAsia="仿宋" w:cs="宋体"/>
          <w:color w:val="auto"/>
          <w:sz w:val="32"/>
          <w:szCs w:val="32"/>
          <w:highlight w:val="none"/>
        </w:rPr>
        <w:t>本单位的项目立项符合相关法规政策及单位职责，依据充分；项目按照规定的程序申请设立；审批文件、材料符合相关要求；项目前期已经经过必要的绩效评估、集体决策。</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（三）资金分配</w:t>
      </w:r>
    </w:p>
    <w:p>
      <w:pPr>
        <w:pStyle w:val="12"/>
        <w:spacing w:line="560" w:lineRule="exact"/>
        <w:ind w:firstLine="640"/>
        <w:rPr>
          <w:rFonts w:ascii="仿宋" w:hAnsi="仿宋" w:eastAsia="仿宋" w:cs="宋体"/>
          <w:color w:val="auto"/>
          <w:sz w:val="32"/>
          <w:szCs w:val="32"/>
          <w:highlight w:val="none"/>
        </w:rPr>
      </w:pPr>
      <w:r>
        <w:rPr>
          <w:rFonts w:hint="eastAsia" w:ascii="仿宋" w:hAnsi="仿宋" w:eastAsia="仿宋" w:cs="宋体"/>
          <w:color w:val="auto"/>
          <w:sz w:val="32"/>
          <w:szCs w:val="32"/>
          <w:highlight w:val="none"/>
        </w:rPr>
        <w:t>在资金投入方面，预算编制经过科学论证、有明确标准，资金额度与年度目标一致，用以反映和考核项目预算编制的科学性、合理性情况。本年度合理安排重点项目与单位项目资金，根据相关文件要求设置了绩效目标，项目绩效目标基本合理，与实际工作内容相关；项目预期产出效益和效果符合正常的业绩水平；与预算确定的项目投资额或资金量相匹配；将项目绩效目标细化分解为具体的绩效指标；通过清晰、可衡量的指标值予以体现；与项目目标任务数或计划数相对应，有效提升了单位履行主要职能及完成重点任务的保障程度。</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（四）单位整体支出规模、使用方法、主要内容及涉及范围</w:t>
      </w:r>
    </w:p>
    <w:p>
      <w:pPr>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1．单位整体支出规模</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2021年度和田市医疗保障局整体支出全年预算总额为746.48万元，资金执行数721.51万元，执行率96.7%；全年预算总额较上年344.35万元增加402.13万元，增幅116.7%，变动主要原因是：2021年是脱贫攻坚工作收尾年，为加快本市脱贫工作，对大量贫困户进行城乡医疗救助帮扶，所以本年度的城乡医疗救助资金项目金额较大。</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（1）基本支出情况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截至12月31日，基本支出全年预算数383.58万元，资金执行数374.85万元，执行率97.7%；其中，年初单位预算批复的整体支出绩效目标表中，基本支出预算数320.66万元，年中追加基本支出预算数62.92万元。</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（2）单位预算项目支出情况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截至12月31日，单位预算项目支出数共计1个，全年预算数8.4万元，资金执行数6.2万元，执行率73.81%；其中，年初单位预算批复的整体支出绩效目标表中，项目支出预算数8.4万元，资金执行数6.2万元，年中追加项目支出预算数0万元，资金执行数0万元，绩效结果应用调整项目支出预算数0万元。</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（3）专项资金项目支出情况</w:t>
      </w:r>
      <w:r>
        <w:rPr>
          <w:rFonts w:hint="eastAsia" w:ascii="仿宋_GB2312" w:hAnsi="方正楷体简体" w:eastAsia="仿宋_GB2312" w:cs="宋体"/>
          <w:color w:val="auto"/>
          <w:sz w:val="32"/>
          <w:szCs w:val="32"/>
          <w:highlight w:val="none"/>
        </w:rPr>
        <w:tab/>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截至12月31日，上级专项资金项目共计3个，全年预算数354.5万元，资金执行数340.46万元，执行率96 %。</w:t>
      </w:r>
    </w:p>
    <w:p>
      <w:pPr>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2．使用方法</w:t>
      </w:r>
    </w:p>
    <w:p>
      <w:pPr>
        <w:spacing w:line="560" w:lineRule="exact"/>
        <w:ind w:firstLine="640"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color w:val="auto"/>
          <w:sz w:val="32"/>
          <w:szCs w:val="32"/>
          <w:highlight w:val="none"/>
        </w:rPr>
        <w:t>基本支出由财政单位按照进度每月分期拨付，人员支出按照工资计划发放工资；涉及资金出按照我单位《内控制度》中设定的流程申报审批进行；项目支出属于政府采购的，组织人员制定采购计划，委托公共资源交易中心或采购中心进行公开招标、邀请招标等方式进行；属于非政府采购的项目，按照“三重一大”制度规定，重大项目支出上党组会研究决定。</w:t>
      </w:r>
    </w:p>
    <w:p>
      <w:pPr>
        <w:tabs>
          <w:tab w:val="left" w:pos="312"/>
        </w:tabs>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3．主要内容及涉及范围</w:t>
      </w:r>
    </w:p>
    <w:p>
      <w:pPr>
        <w:pStyle w:val="15"/>
        <w:spacing w:line="560" w:lineRule="exact"/>
        <w:ind w:firstLineChars="200"/>
        <w:jc w:val="both"/>
        <w:rPr>
          <w:rFonts w:hAnsi="方正楷体简体"/>
          <w:color w:val="auto"/>
          <w:highlight w:val="none"/>
        </w:rPr>
      </w:pPr>
      <w:r>
        <w:rPr>
          <w:rFonts w:hint="eastAsia" w:hAnsi="方正楷体简体"/>
          <w:color w:val="auto"/>
          <w:highlight w:val="none"/>
        </w:rPr>
        <w:t>（1）基本支出包括人员经费和公用经费。公用经费主要包括：办公费、印刷费、咨询费、手续费、水费、电费、邮电费、取暖费、差旅费、维修（护）费、租赁费、培训费、工会经费、公务用车运行维护费、税金及附加费用、其他商品和服务支出、办公设备购置、专用设备购置等。</w:t>
      </w:r>
    </w:p>
    <w:p>
      <w:pPr>
        <w:pStyle w:val="15"/>
        <w:spacing w:line="560" w:lineRule="exact"/>
        <w:ind w:firstLineChars="200"/>
        <w:jc w:val="both"/>
        <w:rPr>
          <w:rFonts w:hAnsi="方正楷体简体"/>
          <w:b/>
          <w:color w:val="auto"/>
          <w:highlight w:val="none"/>
        </w:rPr>
      </w:pPr>
      <w:r>
        <w:rPr>
          <w:rFonts w:hint="eastAsia" w:hAnsi="方正楷体简体"/>
          <w:color w:val="auto"/>
          <w:highlight w:val="none"/>
        </w:rPr>
        <w:t>（2）2021年度和田市医疗保障局单位项目支出共涉及4个项目，分别为：</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pStyle w:val="12"/>
              <w:spacing w:line="560" w:lineRule="exact"/>
              <w:ind w:firstLine="200" w:firstLineChars="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项目名称</w:t>
            </w:r>
          </w:p>
        </w:tc>
        <w:tc>
          <w:tcPr>
            <w:tcW w:w="4261" w:type="dxa"/>
            <w:vAlign w:val="center"/>
          </w:tcPr>
          <w:p>
            <w:pPr>
              <w:pStyle w:val="12"/>
              <w:spacing w:line="560" w:lineRule="exact"/>
              <w:ind w:firstLine="200" w:firstLineChars="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总预算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pStyle w:val="12"/>
              <w:spacing w:line="560" w:lineRule="exact"/>
              <w:ind w:firstLine="200" w:firstLineChars="0"/>
              <w:rPr>
                <w:rFonts w:ascii="仿宋_GB2312" w:hAnsi="仿宋" w:eastAsia="仿宋_GB2312" w:cs="宋体"/>
                <w:color w:val="auto"/>
                <w:sz w:val="32"/>
                <w:szCs w:val="32"/>
                <w:highlight w:val="none"/>
              </w:rPr>
            </w:pPr>
            <w:r>
              <w:rPr>
                <w:rFonts w:hint="eastAsia" w:ascii="仿宋_GB2312" w:hAnsi="仿宋" w:eastAsia="仿宋_GB2312" w:cs="宋体"/>
                <w:color w:val="auto"/>
                <w:sz w:val="32"/>
                <w:szCs w:val="32"/>
                <w:highlight w:val="none"/>
              </w:rPr>
              <w:t>“***”工作经费项目</w:t>
            </w:r>
          </w:p>
        </w:tc>
        <w:tc>
          <w:tcPr>
            <w:tcW w:w="4261" w:type="dxa"/>
            <w:vAlign w:val="center"/>
          </w:tcPr>
          <w:p>
            <w:pPr>
              <w:pStyle w:val="12"/>
              <w:spacing w:line="560" w:lineRule="exact"/>
              <w:ind w:firstLine="200" w:firstLineChars="0"/>
              <w:rPr>
                <w:rFonts w:ascii="仿宋_GB2312" w:hAnsi="仿宋" w:eastAsia="仿宋_GB2312" w:cs="宋体"/>
                <w:color w:val="auto"/>
                <w:sz w:val="32"/>
                <w:szCs w:val="32"/>
                <w:highlight w:val="none"/>
              </w:rPr>
            </w:pPr>
            <w:r>
              <w:rPr>
                <w:rFonts w:hint="eastAsia" w:ascii="仿宋_GB2312" w:hAnsi="仿宋" w:eastAsia="仿宋_GB2312" w:cs="宋体"/>
                <w:color w:val="auto"/>
                <w:sz w:val="32"/>
                <w:szCs w:val="32"/>
                <w:highlight w:val="none"/>
              </w:rPr>
              <w:t>10万元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pStyle w:val="12"/>
              <w:spacing w:line="560" w:lineRule="exact"/>
              <w:ind w:firstLine="200" w:firstLineChars="0"/>
              <w:rPr>
                <w:rFonts w:ascii="仿宋_GB2312" w:hAnsi="仿宋" w:eastAsia="仿宋_GB2312" w:cs="宋体"/>
                <w:color w:val="auto"/>
                <w:sz w:val="32"/>
                <w:szCs w:val="32"/>
                <w:highlight w:val="none"/>
              </w:rPr>
            </w:pPr>
            <w:r>
              <w:rPr>
                <w:rFonts w:hint="eastAsia" w:ascii="仿宋_GB2312" w:hAnsi="仿宋" w:eastAsia="仿宋_GB2312" w:cs="宋体"/>
                <w:color w:val="auto"/>
                <w:sz w:val="32"/>
                <w:szCs w:val="32"/>
                <w:highlight w:val="none"/>
              </w:rPr>
              <w:t>医疗保障局工作经费项目</w:t>
            </w:r>
          </w:p>
        </w:tc>
        <w:tc>
          <w:tcPr>
            <w:tcW w:w="4261" w:type="dxa"/>
            <w:vAlign w:val="center"/>
          </w:tcPr>
          <w:p>
            <w:pPr>
              <w:pStyle w:val="12"/>
              <w:spacing w:line="560" w:lineRule="exact"/>
              <w:ind w:firstLine="200" w:firstLineChars="0"/>
              <w:rPr>
                <w:rFonts w:ascii="仿宋_GB2312" w:hAnsi="仿宋" w:eastAsia="仿宋_GB2312" w:cs="宋体"/>
                <w:color w:val="auto"/>
                <w:sz w:val="32"/>
                <w:szCs w:val="32"/>
                <w:highlight w:val="none"/>
              </w:rPr>
            </w:pPr>
            <w:r>
              <w:rPr>
                <w:rFonts w:hint="eastAsia" w:ascii="仿宋_GB2312" w:hAnsi="仿宋" w:eastAsia="仿宋_GB2312" w:cs="宋体"/>
                <w:color w:val="auto"/>
                <w:sz w:val="32"/>
                <w:szCs w:val="32"/>
                <w:highlight w:val="none"/>
              </w:rPr>
              <w:t>8.4万元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pStyle w:val="12"/>
              <w:spacing w:line="560" w:lineRule="exact"/>
              <w:ind w:firstLine="200" w:firstLineChars="0"/>
              <w:rPr>
                <w:rFonts w:ascii="仿宋_GB2312" w:hAnsi="仿宋" w:eastAsia="仿宋_GB2312" w:cs="宋体"/>
                <w:color w:val="auto"/>
                <w:sz w:val="32"/>
                <w:szCs w:val="32"/>
                <w:highlight w:val="none"/>
              </w:rPr>
            </w:pPr>
            <w:r>
              <w:rPr>
                <w:rFonts w:hint="eastAsia" w:ascii="仿宋_GB2312" w:hAnsi="仿宋" w:eastAsia="仿宋_GB2312" w:cs="宋体"/>
                <w:color w:val="auto"/>
                <w:sz w:val="32"/>
                <w:szCs w:val="32"/>
                <w:highlight w:val="none"/>
              </w:rPr>
              <w:t>全民参保及医疗服务经费</w:t>
            </w:r>
          </w:p>
        </w:tc>
        <w:tc>
          <w:tcPr>
            <w:tcW w:w="4261" w:type="dxa"/>
            <w:vAlign w:val="center"/>
          </w:tcPr>
          <w:p>
            <w:pPr>
              <w:pStyle w:val="12"/>
              <w:spacing w:line="560" w:lineRule="exact"/>
              <w:ind w:firstLine="200" w:firstLineChars="0"/>
              <w:rPr>
                <w:rFonts w:ascii="仿宋_GB2312" w:hAnsi="仿宋" w:eastAsia="仿宋_GB2312" w:cs="宋体"/>
                <w:color w:val="auto"/>
                <w:sz w:val="32"/>
                <w:szCs w:val="32"/>
                <w:highlight w:val="none"/>
              </w:rPr>
            </w:pPr>
            <w:r>
              <w:rPr>
                <w:rFonts w:hint="eastAsia" w:ascii="仿宋_GB2312" w:hAnsi="仿宋" w:eastAsia="仿宋_GB2312" w:cs="宋体"/>
                <w:color w:val="auto"/>
                <w:sz w:val="32"/>
                <w:szCs w:val="32"/>
                <w:highlight w:val="none"/>
              </w:rPr>
              <w:t>10.5万元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pStyle w:val="12"/>
              <w:spacing w:line="560" w:lineRule="exact"/>
              <w:ind w:firstLine="200" w:firstLineChars="0"/>
              <w:rPr>
                <w:rFonts w:ascii="仿宋_GB2312" w:hAnsi="仿宋" w:eastAsia="仿宋_GB2312" w:cs="宋体"/>
                <w:color w:val="auto"/>
                <w:sz w:val="32"/>
                <w:szCs w:val="32"/>
                <w:highlight w:val="none"/>
              </w:rPr>
            </w:pPr>
            <w:r>
              <w:rPr>
                <w:rFonts w:hint="eastAsia" w:ascii="仿宋_GB2312" w:hAnsi="仿宋" w:eastAsia="仿宋_GB2312" w:cs="宋体"/>
                <w:color w:val="auto"/>
                <w:sz w:val="32"/>
                <w:szCs w:val="32"/>
                <w:highlight w:val="none"/>
              </w:rPr>
              <w:t>中央专项彩票公益金支持城乡医疗救助资金</w:t>
            </w:r>
          </w:p>
        </w:tc>
        <w:tc>
          <w:tcPr>
            <w:tcW w:w="4261" w:type="dxa"/>
            <w:vAlign w:val="center"/>
          </w:tcPr>
          <w:p>
            <w:pPr>
              <w:pStyle w:val="12"/>
              <w:spacing w:line="560" w:lineRule="exact"/>
              <w:ind w:firstLine="200" w:firstLineChars="0"/>
              <w:rPr>
                <w:rFonts w:ascii="仿宋_GB2312" w:hAnsi="仿宋" w:eastAsia="仿宋_GB2312" w:cs="宋体"/>
                <w:color w:val="auto"/>
                <w:sz w:val="32"/>
                <w:szCs w:val="32"/>
                <w:highlight w:val="none"/>
              </w:rPr>
            </w:pPr>
            <w:r>
              <w:rPr>
                <w:rFonts w:hint="eastAsia" w:ascii="仿宋_GB2312" w:hAnsi="仿宋" w:eastAsia="仿宋_GB2312" w:cs="宋体"/>
                <w:color w:val="auto"/>
                <w:sz w:val="32"/>
                <w:szCs w:val="32"/>
                <w:highlight w:val="none"/>
              </w:rPr>
              <w:t>334万元</w:t>
            </w:r>
          </w:p>
        </w:tc>
      </w:tr>
    </w:tbl>
    <w:p>
      <w:pPr>
        <w:pStyle w:val="12"/>
        <w:spacing w:line="560" w:lineRule="exact"/>
        <w:ind w:firstLine="624"/>
        <w:rPr>
          <w:rStyle w:val="10"/>
          <w:rFonts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二、单位整体支出管理及使用情况</w:t>
      </w:r>
    </w:p>
    <w:p>
      <w:pPr>
        <w:spacing w:line="560" w:lineRule="exact"/>
        <w:ind w:firstLine="624" w:firstLineChars="200"/>
        <w:rPr>
          <w:rStyle w:val="10"/>
          <w:rFonts w:ascii="楷体" w:hAnsi="楷体" w:eastAsia="楷体" w:cs="Times New Roman"/>
          <w:b w:val="0"/>
          <w:bCs w:val="0"/>
          <w:color w:val="auto"/>
          <w:spacing w:val="-4"/>
          <w:highlight w:val="none"/>
        </w:rPr>
      </w:pPr>
      <w:r>
        <w:rPr>
          <w:rStyle w:val="10"/>
          <w:rFonts w:hint="eastAsia" w:ascii="楷体" w:hAnsi="楷体" w:eastAsia="楷体" w:cs="Times New Roman"/>
          <w:b w:val="0"/>
          <w:bCs w:val="0"/>
          <w:color w:val="auto"/>
          <w:spacing w:val="-4"/>
          <w:sz w:val="32"/>
          <w:szCs w:val="32"/>
          <w:highlight w:val="none"/>
        </w:rPr>
        <w:t>（一）资金管理情况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我单位严格按照国家财经法规、预算资金管理办法、财务管理制度以及专项资金管理办法的规定，和田市医疗保障局财务制度，严控经费支出，并严格按照公示制度要求进行公示，对项目资金，把资金的审批分配、监督检查与绩效评价结合起来，遵循先预算、再审批、后支出的原则，确保了财政资金分配和财政审批程序合法，保证了项目资金的合理使用。对中央及自治区转移支付专项资金，按照专项资金管理办法进行管理和使用，对本级资金安排项目按照单位内部制定的资金管理办法及其他相关管理办法进行管理并严格执行。按照政府信息公开有关规定及时向社会公众公开相关预决算信息，保障预决算管理的公开透明。</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（二）基本支出管理、支出情况、“三公”经费控制情况</w:t>
      </w:r>
    </w:p>
    <w:p>
      <w:pPr>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1．基本支出管理</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基本支出主要用于日常工作运转开支,包括人员的工资福利支出、一般商品和服务支出、对个人和家庭的补助支出、对企事业单位的补贴及其他资本性支出。人员经费的开支主要是按照市财政统发工资表及文件的相关规定执行,公用经费按照厉行节约的原则规范资金使用流程, 尤其是“三公"经费严格控制在预算指标内。接待费的报销必须附有接待公函、接待清单、接待明细,车辆运行开支由办公室统一安排调配使用。</w:t>
      </w:r>
    </w:p>
    <w:p>
      <w:pPr>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2．基本支出情况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2021年和田市医疗保障局单位基本支出预算总额383.58万元，其中人员经费374.34万元，公用经费9.24万元。实际支出374.85万元，预算执行率97.7%。</w:t>
      </w:r>
    </w:p>
    <w:p>
      <w:pPr>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3．“三公”经费控制情况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 xml:space="preserve">我单位认真贯彻落实中央关于厉行节约的有关规定，严格执行《党政机关厉行节约反对浪费条例》和《机关公务接待管理办法》，全年大幅度压缩了因公出国（境）及公务接待费用支出。全年“三公”经费支出为0.88万元。 </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2021年“三公”经费预算数为0.88万元，其中公务用车运行维护费0.88万元，公务接待费0万元，较2020年“三公”经费决算1.6万元，下降45%。</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（三）专项资金支出预算安排及支出情况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2021年专项支出预算总额354.5万元，实际支出340.46万元</w:t>
      </w:r>
      <w:r>
        <w:rPr>
          <w:rFonts w:hint="eastAsia" w:ascii="仿宋_GB2312" w:hAnsi="方正楷体简体" w:eastAsia="仿宋_GB2312" w:cs="宋体"/>
          <w:color w:val="auto"/>
          <w:sz w:val="32"/>
          <w:szCs w:val="32"/>
          <w:highlight w:val="none"/>
        </w:rPr>
        <w:t>，预算执行率96.%。</w:t>
      </w:r>
    </w:p>
    <w:p>
      <w:pPr>
        <w:spacing w:line="560" w:lineRule="exact"/>
        <w:ind w:firstLine="640" w:firstLineChars="200"/>
        <w:rPr>
          <w:rFonts w:ascii="仿宋" w:hAnsi="仿宋" w:eastAsia="仿宋" w:cs="Times New Roman"/>
          <w:bCs/>
          <w:color w:val="auto"/>
          <w:sz w:val="32"/>
          <w:szCs w:val="32"/>
          <w:highlight w:val="none"/>
        </w:rPr>
      </w:pPr>
      <w:r>
        <w:rPr>
          <w:rFonts w:hint="eastAsia" w:ascii="仿宋_GB2312" w:hAnsi="方正楷体简体" w:eastAsia="仿宋_GB2312" w:cs="宋体"/>
          <w:color w:val="auto"/>
          <w:sz w:val="32"/>
          <w:szCs w:val="32"/>
          <w:highlight w:val="none"/>
        </w:rPr>
        <w:t>2021年共有3个专项资金项目，其中已完成项目3个、未完成项目0个、结转项目0个。2021年度项目预算及执行情况见下表：</w:t>
      </w:r>
    </w:p>
    <w:tbl>
      <w:tblPr>
        <w:tblStyle w:val="7"/>
        <w:tblW w:w="8522" w:type="dxa"/>
        <w:tblInd w:w="0" w:type="dxa"/>
        <w:tblLayout w:type="fixed"/>
        <w:tblCellMar>
          <w:top w:w="0" w:type="dxa"/>
          <w:left w:w="108" w:type="dxa"/>
          <w:bottom w:w="0" w:type="dxa"/>
          <w:right w:w="108" w:type="dxa"/>
        </w:tblCellMar>
      </w:tblPr>
      <w:tblGrid>
        <w:gridCol w:w="1581"/>
        <w:gridCol w:w="1581"/>
        <w:gridCol w:w="1057"/>
        <w:gridCol w:w="1134"/>
        <w:gridCol w:w="1134"/>
        <w:gridCol w:w="2035"/>
      </w:tblGrid>
      <w:tr>
        <w:tblPrEx>
          <w:tblCellMar>
            <w:top w:w="0" w:type="dxa"/>
            <w:left w:w="108" w:type="dxa"/>
            <w:bottom w:w="0" w:type="dxa"/>
            <w:right w:w="108" w:type="dxa"/>
          </w:tblCellMar>
        </w:tblPrEx>
        <w:trPr>
          <w:trHeight w:val="283" w:hRule="atLeast"/>
          <w:tblHeader/>
        </w:trPr>
        <w:tc>
          <w:tcPr>
            <w:tcW w:w="1581" w:type="dxa"/>
            <w:tcBorders>
              <w:top w:val="single" w:color="auto" w:sz="8" w:space="0"/>
              <w:left w:val="single" w:color="auto" w:sz="8" w:space="0"/>
              <w:bottom w:val="single" w:color="auto" w:sz="8" w:space="0"/>
              <w:right w:val="single" w:color="auto" w:sz="8" w:space="0"/>
            </w:tcBorders>
            <w:shd w:val="clear" w:color="auto" w:fill="auto"/>
            <w:vAlign w:val="center"/>
          </w:tcPr>
          <w:p>
            <w:pPr>
              <w:spacing w:line="560" w:lineRule="exact"/>
              <w:ind w:firstLine="200"/>
              <w:rPr>
                <w:rFonts w:ascii="仿宋_GB2312" w:hAnsi="仿宋" w:eastAsia="仿宋_GB2312" w:cs="宋体"/>
                <w:b/>
                <w:bCs/>
                <w:color w:val="auto"/>
                <w:kern w:val="0"/>
                <w:sz w:val="24"/>
                <w:highlight w:val="none"/>
              </w:rPr>
            </w:pPr>
            <w:r>
              <w:rPr>
                <w:rFonts w:hint="eastAsia" w:ascii="仿宋_GB2312" w:hAnsi="仿宋" w:eastAsia="仿宋_GB2312" w:cs="宋体"/>
                <w:b/>
                <w:bCs/>
                <w:color w:val="auto"/>
                <w:kern w:val="0"/>
                <w:sz w:val="24"/>
                <w:highlight w:val="none"/>
              </w:rPr>
              <w:t>项目名称</w:t>
            </w:r>
          </w:p>
        </w:tc>
        <w:tc>
          <w:tcPr>
            <w:tcW w:w="1581" w:type="dxa"/>
            <w:tcBorders>
              <w:top w:val="single" w:color="auto" w:sz="8" w:space="0"/>
              <w:left w:val="nil"/>
              <w:bottom w:val="single" w:color="auto" w:sz="8" w:space="0"/>
              <w:right w:val="single" w:color="auto" w:sz="8" w:space="0"/>
            </w:tcBorders>
            <w:shd w:val="clear" w:color="auto" w:fill="auto"/>
            <w:vAlign w:val="center"/>
          </w:tcPr>
          <w:p>
            <w:pPr>
              <w:spacing w:line="560" w:lineRule="exact"/>
              <w:ind w:firstLine="200"/>
              <w:rPr>
                <w:rFonts w:ascii="仿宋_GB2312" w:hAnsi="仿宋" w:eastAsia="仿宋_GB2312" w:cs="宋体"/>
                <w:b/>
                <w:bCs/>
                <w:color w:val="auto"/>
                <w:kern w:val="0"/>
                <w:sz w:val="24"/>
                <w:highlight w:val="none"/>
              </w:rPr>
            </w:pPr>
            <w:r>
              <w:rPr>
                <w:rFonts w:hint="eastAsia" w:ascii="仿宋_GB2312" w:hAnsi="仿宋" w:eastAsia="仿宋_GB2312" w:cs="宋体"/>
                <w:b/>
                <w:bCs/>
                <w:color w:val="auto"/>
                <w:kern w:val="0"/>
                <w:sz w:val="24"/>
                <w:highlight w:val="none"/>
              </w:rPr>
              <w:t>预算金额（调整后）</w:t>
            </w:r>
          </w:p>
        </w:tc>
        <w:tc>
          <w:tcPr>
            <w:tcW w:w="1057" w:type="dxa"/>
            <w:tcBorders>
              <w:top w:val="single" w:color="auto" w:sz="8" w:space="0"/>
              <w:left w:val="nil"/>
              <w:bottom w:val="single" w:color="auto" w:sz="8" w:space="0"/>
              <w:right w:val="single" w:color="auto" w:sz="8" w:space="0"/>
            </w:tcBorders>
            <w:shd w:val="clear" w:color="auto" w:fill="auto"/>
            <w:vAlign w:val="center"/>
          </w:tcPr>
          <w:p>
            <w:pPr>
              <w:spacing w:line="560" w:lineRule="exact"/>
              <w:ind w:firstLine="200"/>
              <w:rPr>
                <w:rFonts w:ascii="仿宋_GB2312" w:hAnsi="仿宋" w:eastAsia="仿宋_GB2312" w:cs="宋体"/>
                <w:b/>
                <w:bCs/>
                <w:color w:val="auto"/>
                <w:kern w:val="0"/>
                <w:sz w:val="24"/>
                <w:highlight w:val="none"/>
              </w:rPr>
            </w:pPr>
            <w:r>
              <w:rPr>
                <w:rFonts w:hint="eastAsia" w:ascii="仿宋_GB2312" w:hAnsi="仿宋" w:eastAsia="仿宋_GB2312" w:cs="宋体"/>
                <w:b/>
                <w:bCs/>
                <w:color w:val="auto"/>
                <w:kern w:val="0"/>
                <w:sz w:val="24"/>
                <w:highlight w:val="none"/>
              </w:rPr>
              <w:t>执行金额</w:t>
            </w:r>
          </w:p>
        </w:tc>
        <w:tc>
          <w:tcPr>
            <w:tcW w:w="1134" w:type="dxa"/>
            <w:tcBorders>
              <w:top w:val="single" w:color="auto" w:sz="8" w:space="0"/>
              <w:left w:val="nil"/>
              <w:bottom w:val="single" w:color="auto" w:sz="8" w:space="0"/>
              <w:right w:val="single" w:color="auto" w:sz="8" w:space="0"/>
            </w:tcBorders>
            <w:shd w:val="clear" w:color="auto" w:fill="auto"/>
            <w:vAlign w:val="center"/>
          </w:tcPr>
          <w:p>
            <w:pPr>
              <w:spacing w:line="560" w:lineRule="exact"/>
              <w:ind w:firstLine="200"/>
              <w:rPr>
                <w:rFonts w:ascii="仿宋_GB2312" w:hAnsi="仿宋" w:eastAsia="仿宋_GB2312" w:cs="宋体"/>
                <w:b/>
                <w:bCs/>
                <w:color w:val="auto"/>
                <w:kern w:val="0"/>
                <w:sz w:val="24"/>
                <w:highlight w:val="none"/>
              </w:rPr>
            </w:pPr>
            <w:r>
              <w:rPr>
                <w:rFonts w:hint="eastAsia" w:ascii="仿宋_GB2312" w:hAnsi="仿宋" w:eastAsia="仿宋_GB2312" w:cs="宋体"/>
                <w:b/>
                <w:bCs/>
                <w:color w:val="auto"/>
                <w:kern w:val="0"/>
                <w:sz w:val="24"/>
                <w:highlight w:val="none"/>
              </w:rPr>
              <w:t>执行率</w:t>
            </w:r>
          </w:p>
        </w:tc>
        <w:tc>
          <w:tcPr>
            <w:tcW w:w="1134" w:type="dxa"/>
            <w:tcBorders>
              <w:top w:val="single" w:color="auto" w:sz="8" w:space="0"/>
              <w:left w:val="nil"/>
              <w:bottom w:val="single" w:color="auto" w:sz="8" w:space="0"/>
              <w:right w:val="single" w:color="auto" w:sz="8" w:space="0"/>
            </w:tcBorders>
            <w:shd w:val="clear" w:color="auto" w:fill="auto"/>
            <w:vAlign w:val="center"/>
          </w:tcPr>
          <w:p>
            <w:pPr>
              <w:spacing w:line="560" w:lineRule="exact"/>
              <w:ind w:firstLine="200"/>
              <w:rPr>
                <w:rFonts w:ascii="仿宋_GB2312" w:hAnsi="仿宋" w:eastAsia="仿宋_GB2312" w:cs="宋体"/>
                <w:b/>
                <w:bCs/>
                <w:color w:val="auto"/>
                <w:kern w:val="0"/>
                <w:sz w:val="24"/>
                <w:highlight w:val="none"/>
              </w:rPr>
            </w:pPr>
            <w:r>
              <w:rPr>
                <w:rFonts w:hint="eastAsia" w:ascii="仿宋_GB2312" w:hAnsi="仿宋" w:eastAsia="仿宋_GB2312" w:cs="宋体"/>
                <w:b/>
                <w:bCs/>
                <w:color w:val="auto"/>
                <w:kern w:val="0"/>
                <w:sz w:val="24"/>
                <w:highlight w:val="none"/>
              </w:rPr>
              <w:t>项目类型</w:t>
            </w:r>
          </w:p>
        </w:tc>
        <w:tc>
          <w:tcPr>
            <w:tcW w:w="2035" w:type="dxa"/>
            <w:tcBorders>
              <w:top w:val="single" w:color="auto" w:sz="8" w:space="0"/>
              <w:left w:val="nil"/>
              <w:bottom w:val="single" w:color="auto" w:sz="8" w:space="0"/>
              <w:right w:val="single" w:color="auto" w:sz="8" w:space="0"/>
            </w:tcBorders>
            <w:shd w:val="clear" w:color="auto" w:fill="auto"/>
            <w:vAlign w:val="center"/>
          </w:tcPr>
          <w:p>
            <w:pPr>
              <w:spacing w:line="560" w:lineRule="exact"/>
              <w:ind w:firstLine="200"/>
              <w:rPr>
                <w:rFonts w:ascii="仿宋_GB2312" w:hAnsi="仿宋" w:eastAsia="仿宋_GB2312" w:cs="宋体"/>
                <w:b/>
                <w:bCs/>
                <w:color w:val="auto"/>
                <w:kern w:val="0"/>
                <w:sz w:val="24"/>
                <w:highlight w:val="none"/>
              </w:rPr>
            </w:pPr>
            <w:r>
              <w:rPr>
                <w:rFonts w:hint="eastAsia" w:ascii="仿宋_GB2312" w:hAnsi="仿宋" w:eastAsia="仿宋_GB2312" w:cs="宋体"/>
                <w:b/>
                <w:bCs/>
                <w:color w:val="auto"/>
                <w:kern w:val="0"/>
                <w:sz w:val="24"/>
                <w:highlight w:val="none"/>
              </w:rPr>
              <w:t>备注（对预算调整情况进行说明）</w:t>
            </w:r>
          </w:p>
        </w:tc>
      </w:tr>
      <w:tr>
        <w:tblPrEx>
          <w:tblCellMar>
            <w:top w:w="0" w:type="dxa"/>
            <w:left w:w="108" w:type="dxa"/>
            <w:bottom w:w="0" w:type="dxa"/>
            <w:right w:w="108" w:type="dxa"/>
          </w:tblCellMar>
        </w:tblPrEx>
        <w:trPr>
          <w:trHeight w:val="283"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spacing w:line="560" w:lineRule="exact"/>
              <w:ind w:firstLine="200"/>
              <w:rPr>
                <w:rFonts w:ascii="仿宋_GB2312" w:hAnsi="仿宋" w:eastAsia="仿宋_GB2312" w:cs="宋体"/>
                <w:bCs/>
                <w:color w:val="auto"/>
                <w:kern w:val="0"/>
                <w:sz w:val="24"/>
                <w:highlight w:val="none"/>
              </w:rPr>
            </w:pPr>
            <w:r>
              <w:rPr>
                <w:rFonts w:hint="eastAsia" w:ascii="仿宋_GB2312" w:hAnsi="仿宋" w:eastAsia="仿宋_GB2312" w:cs="宋体"/>
                <w:bCs/>
                <w:color w:val="auto"/>
                <w:kern w:val="0"/>
                <w:sz w:val="24"/>
                <w:highlight w:val="none"/>
              </w:rPr>
              <w:t>“***”工作经费</w:t>
            </w:r>
          </w:p>
        </w:tc>
        <w:tc>
          <w:tcPr>
            <w:tcW w:w="1581" w:type="dxa"/>
            <w:tcBorders>
              <w:top w:val="nil"/>
              <w:left w:val="nil"/>
              <w:bottom w:val="single" w:color="auto" w:sz="8" w:space="0"/>
              <w:right w:val="single" w:color="auto" w:sz="8" w:space="0"/>
            </w:tcBorders>
            <w:shd w:val="clear" w:color="auto" w:fill="auto"/>
            <w:vAlign w:val="center"/>
          </w:tcPr>
          <w:p>
            <w:pPr>
              <w:spacing w:line="560" w:lineRule="exact"/>
              <w:ind w:firstLine="200"/>
              <w:rPr>
                <w:rFonts w:ascii="仿宋_GB2312" w:hAnsi="仿宋" w:eastAsia="仿宋_GB2312" w:cs="宋体"/>
                <w:bCs/>
                <w:color w:val="auto"/>
                <w:kern w:val="0"/>
                <w:sz w:val="24"/>
                <w:highlight w:val="none"/>
              </w:rPr>
            </w:pPr>
            <w:r>
              <w:rPr>
                <w:rFonts w:hint="eastAsia" w:ascii="仿宋_GB2312" w:hAnsi="仿宋" w:eastAsia="仿宋_GB2312" w:cs="宋体"/>
                <w:bCs/>
                <w:color w:val="auto"/>
                <w:kern w:val="0"/>
                <w:sz w:val="24"/>
                <w:highlight w:val="none"/>
              </w:rPr>
              <w:t>10万元</w:t>
            </w:r>
          </w:p>
        </w:tc>
        <w:tc>
          <w:tcPr>
            <w:tcW w:w="1057" w:type="dxa"/>
            <w:tcBorders>
              <w:top w:val="nil"/>
              <w:left w:val="nil"/>
              <w:bottom w:val="single" w:color="auto" w:sz="8" w:space="0"/>
              <w:right w:val="single" w:color="auto" w:sz="8" w:space="0"/>
            </w:tcBorders>
            <w:shd w:val="clear" w:color="auto" w:fill="auto"/>
            <w:vAlign w:val="center"/>
          </w:tcPr>
          <w:p>
            <w:pPr>
              <w:spacing w:line="560" w:lineRule="exact"/>
              <w:ind w:firstLine="200"/>
              <w:rPr>
                <w:rFonts w:ascii="仿宋_GB2312" w:hAnsi="仿宋" w:eastAsia="仿宋_GB2312" w:cs="宋体"/>
                <w:bCs/>
                <w:color w:val="auto"/>
                <w:kern w:val="0"/>
                <w:sz w:val="24"/>
                <w:highlight w:val="none"/>
              </w:rPr>
            </w:pPr>
            <w:r>
              <w:rPr>
                <w:rFonts w:hint="eastAsia" w:ascii="仿宋_GB2312" w:hAnsi="仿宋" w:eastAsia="仿宋_GB2312" w:cs="宋体"/>
                <w:bCs/>
                <w:color w:val="auto"/>
                <w:kern w:val="0"/>
                <w:sz w:val="24"/>
                <w:highlight w:val="none"/>
              </w:rPr>
              <w:t>6.46万元</w:t>
            </w:r>
          </w:p>
        </w:tc>
        <w:tc>
          <w:tcPr>
            <w:tcW w:w="1134" w:type="dxa"/>
            <w:tcBorders>
              <w:top w:val="nil"/>
              <w:left w:val="nil"/>
              <w:bottom w:val="single" w:color="auto" w:sz="8" w:space="0"/>
              <w:right w:val="single" w:color="auto" w:sz="8" w:space="0"/>
            </w:tcBorders>
            <w:shd w:val="clear" w:color="auto" w:fill="auto"/>
            <w:vAlign w:val="center"/>
          </w:tcPr>
          <w:p>
            <w:pPr>
              <w:spacing w:line="560" w:lineRule="exact"/>
              <w:ind w:firstLine="200"/>
              <w:rPr>
                <w:rFonts w:ascii="仿宋_GB2312" w:hAnsi="仿宋" w:eastAsia="仿宋_GB2312" w:cs="宋体"/>
                <w:bCs/>
                <w:color w:val="auto"/>
                <w:kern w:val="0"/>
                <w:sz w:val="24"/>
                <w:highlight w:val="none"/>
              </w:rPr>
            </w:pPr>
            <w:r>
              <w:rPr>
                <w:rFonts w:hint="eastAsia" w:ascii="仿宋_GB2312" w:hAnsi="仿宋" w:eastAsia="仿宋_GB2312" w:cs="宋体"/>
                <w:bCs/>
                <w:color w:val="auto"/>
                <w:kern w:val="0"/>
                <w:sz w:val="24"/>
                <w:highlight w:val="none"/>
              </w:rPr>
              <w:t>64.6%</w:t>
            </w:r>
          </w:p>
        </w:tc>
        <w:tc>
          <w:tcPr>
            <w:tcW w:w="1134" w:type="dxa"/>
            <w:tcBorders>
              <w:top w:val="nil"/>
              <w:left w:val="nil"/>
              <w:bottom w:val="single" w:color="auto" w:sz="8" w:space="0"/>
              <w:right w:val="single" w:color="auto" w:sz="8" w:space="0"/>
            </w:tcBorders>
            <w:shd w:val="clear" w:color="auto" w:fill="auto"/>
            <w:vAlign w:val="center"/>
          </w:tcPr>
          <w:p>
            <w:pPr>
              <w:spacing w:line="560" w:lineRule="exact"/>
              <w:ind w:firstLine="200"/>
              <w:rPr>
                <w:rFonts w:ascii="仿宋_GB2312" w:hAnsi="仿宋" w:eastAsia="仿宋_GB2312" w:cs="宋体"/>
                <w:bCs/>
                <w:color w:val="auto"/>
                <w:kern w:val="0"/>
                <w:sz w:val="24"/>
                <w:highlight w:val="none"/>
              </w:rPr>
            </w:pPr>
            <w:r>
              <w:rPr>
                <w:rFonts w:hint="eastAsia" w:ascii="仿宋_GB2312" w:hAnsi="仿宋" w:eastAsia="仿宋_GB2312" w:cs="宋体"/>
                <w:bCs/>
                <w:color w:val="auto"/>
                <w:kern w:val="0"/>
                <w:sz w:val="24"/>
                <w:highlight w:val="none"/>
              </w:rPr>
              <w:t>补助类</w:t>
            </w:r>
          </w:p>
        </w:tc>
        <w:tc>
          <w:tcPr>
            <w:tcW w:w="2035" w:type="dxa"/>
            <w:tcBorders>
              <w:top w:val="nil"/>
              <w:left w:val="nil"/>
              <w:bottom w:val="single" w:color="auto" w:sz="8" w:space="0"/>
              <w:right w:val="single" w:color="auto" w:sz="8" w:space="0"/>
            </w:tcBorders>
            <w:shd w:val="clear" w:color="auto" w:fill="auto"/>
            <w:vAlign w:val="center"/>
          </w:tcPr>
          <w:p>
            <w:pPr>
              <w:spacing w:line="560" w:lineRule="exact"/>
              <w:ind w:firstLine="200"/>
              <w:rPr>
                <w:rFonts w:ascii="仿宋_GB2312" w:hAnsi="仿宋" w:eastAsia="仿宋_GB2312" w:cs="宋体"/>
                <w:color w:val="auto"/>
                <w:kern w:val="0"/>
                <w:sz w:val="32"/>
                <w:szCs w:val="32"/>
                <w:highlight w:val="none"/>
              </w:rPr>
            </w:pPr>
          </w:p>
        </w:tc>
      </w:tr>
      <w:tr>
        <w:tblPrEx>
          <w:tblCellMar>
            <w:top w:w="0" w:type="dxa"/>
            <w:left w:w="108" w:type="dxa"/>
            <w:bottom w:w="0" w:type="dxa"/>
            <w:right w:w="108" w:type="dxa"/>
          </w:tblCellMar>
        </w:tblPrEx>
        <w:trPr>
          <w:trHeight w:val="283"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spacing w:line="560" w:lineRule="exact"/>
              <w:ind w:firstLine="200"/>
              <w:rPr>
                <w:rFonts w:ascii="仿宋_GB2312" w:hAnsi="仿宋" w:eastAsia="仿宋_GB2312" w:cs="宋体"/>
                <w:bCs/>
                <w:color w:val="auto"/>
                <w:kern w:val="0"/>
                <w:sz w:val="24"/>
                <w:highlight w:val="none"/>
              </w:rPr>
            </w:pPr>
            <w:r>
              <w:rPr>
                <w:rFonts w:hint="eastAsia" w:ascii="仿宋_GB2312" w:hAnsi="仿宋" w:eastAsia="仿宋_GB2312" w:cs="宋体"/>
                <w:bCs/>
                <w:color w:val="auto"/>
                <w:kern w:val="0"/>
                <w:sz w:val="24"/>
                <w:highlight w:val="none"/>
              </w:rPr>
              <w:t>全民参保及医疗服务经费</w:t>
            </w:r>
          </w:p>
        </w:tc>
        <w:tc>
          <w:tcPr>
            <w:tcW w:w="1581" w:type="dxa"/>
            <w:tcBorders>
              <w:top w:val="nil"/>
              <w:left w:val="nil"/>
              <w:bottom w:val="single" w:color="auto" w:sz="8" w:space="0"/>
              <w:right w:val="single" w:color="auto" w:sz="8" w:space="0"/>
            </w:tcBorders>
            <w:shd w:val="clear" w:color="auto" w:fill="auto"/>
            <w:vAlign w:val="center"/>
          </w:tcPr>
          <w:p>
            <w:pPr>
              <w:spacing w:line="560" w:lineRule="exact"/>
              <w:ind w:firstLine="200"/>
              <w:rPr>
                <w:rFonts w:ascii="仿宋_GB2312" w:hAnsi="仿宋" w:eastAsia="仿宋_GB2312" w:cs="宋体"/>
                <w:bCs/>
                <w:color w:val="auto"/>
                <w:kern w:val="0"/>
                <w:sz w:val="24"/>
                <w:highlight w:val="none"/>
              </w:rPr>
            </w:pPr>
            <w:r>
              <w:rPr>
                <w:rFonts w:hint="eastAsia" w:ascii="仿宋_GB2312" w:hAnsi="仿宋" w:eastAsia="仿宋_GB2312" w:cs="宋体"/>
                <w:bCs/>
                <w:color w:val="auto"/>
                <w:kern w:val="0"/>
                <w:sz w:val="24"/>
                <w:highlight w:val="none"/>
              </w:rPr>
              <w:t>10.5万元</w:t>
            </w:r>
          </w:p>
        </w:tc>
        <w:tc>
          <w:tcPr>
            <w:tcW w:w="1057" w:type="dxa"/>
            <w:tcBorders>
              <w:top w:val="nil"/>
              <w:left w:val="nil"/>
              <w:bottom w:val="single" w:color="auto" w:sz="8" w:space="0"/>
              <w:right w:val="single" w:color="auto" w:sz="8" w:space="0"/>
            </w:tcBorders>
            <w:shd w:val="clear" w:color="auto" w:fill="auto"/>
            <w:vAlign w:val="center"/>
          </w:tcPr>
          <w:p>
            <w:pPr>
              <w:spacing w:line="560" w:lineRule="exact"/>
              <w:ind w:firstLine="200"/>
              <w:rPr>
                <w:rFonts w:ascii="仿宋_GB2312" w:hAnsi="仿宋" w:eastAsia="仿宋_GB2312" w:cs="宋体"/>
                <w:bCs/>
                <w:color w:val="auto"/>
                <w:kern w:val="0"/>
                <w:sz w:val="24"/>
                <w:highlight w:val="none"/>
              </w:rPr>
            </w:pPr>
            <w:r>
              <w:rPr>
                <w:rFonts w:hint="eastAsia" w:ascii="仿宋_GB2312" w:hAnsi="仿宋" w:eastAsia="仿宋_GB2312" w:cs="宋体"/>
                <w:bCs/>
                <w:color w:val="auto"/>
                <w:kern w:val="0"/>
                <w:sz w:val="24"/>
                <w:highlight w:val="none"/>
              </w:rPr>
              <w:t>0万元</w:t>
            </w:r>
          </w:p>
        </w:tc>
        <w:tc>
          <w:tcPr>
            <w:tcW w:w="1134" w:type="dxa"/>
            <w:tcBorders>
              <w:top w:val="nil"/>
              <w:left w:val="nil"/>
              <w:bottom w:val="single" w:color="auto" w:sz="8" w:space="0"/>
              <w:right w:val="single" w:color="auto" w:sz="8" w:space="0"/>
            </w:tcBorders>
            <w:shd w:val="clear" w:color="auto" w:fill="auto"/>
            <w:vAlign w:val="center"/>
          </w:tcPr>
          <w:p>
            <w:pPr>
              <w:spacing w:line="560" w:lineRule="exact"/>
              <w:ind w:firstLine="200"/>
              <w:rPr>
                <w:rFonts w:ascii="仿宋_GB2312" w:hAnsi="仿宋" w:eastAsia="仿宋_GB2312" w:cs="宋体"/>
                <w:bCs/>
                <w:color w:val="auto"/>
                <w:kern w:val="0"/>
                <w:sz w:val="24"/>
                <w:highlight w:val="none"/>
              </w:rPr>
            </w:pPr>
            <w:r>
              <w:rPr>
                <w:rFonts w:hint="eastAsia" w:ascii="仿宋_GB2312" w:hAnsi="仿宋" w:eastAsia="仿宋_GB2312" w:cs="宋体"/>
                <w:bCs/>
                <w:color w:val="auto"/>
                <w:kern w:val="0"/>
                <w:sz w:val="24"/>
                <w:highlight w:val="none"/>
              </w:rPr>
              <w:t>0%</w:t>
            </w:r>
          </w:p>
        </w:tc>
        <w:tc>
          <w:tcPr>
            <w:tcW w:w="1134" w:type="dxa"/>
            <w:tcBorders>
              <w:top w:val="nil"/>
              <w:left w:val="nil"/>
              <w:bottom w:val="single" w:color="auto" w:sz="8" w:space="0"/>
              <w:right w:val="single" w:color="auto" w:sz="8" w:space="0"/>
            </w:tcBorders>
            <w:shd w:val="clear" w:color="auto" w:fill="auto"/>
            <w:vAlign w:val="center"/>
          </w:tcPr>
          <w:p>
            <w:pPr>
              <w:spacing w:line="560" w:lineRule="exact"/>
              <w:ind w:firstLine="200"/>
              <w:rPr>
                <w:rFonts w:ascii="仿宋_GB2312" w:hAnsi="仿宋" w:eastAsia="仿宋_GB2312" w:cs="宋体"/>
                <w:bCs/>
                <w:color w:val="auto"/>
                <w:kern w:val="0"/>
                <w:sz w:val="24"/>
                <w:highlight w:val="none"/>
              </w:rPr>
            </w:pPr>
            <w:r>
              <w:rPr>
                <w:rFonts w:hint="eastAsia" w:ascii="仿宋_GB2312" w:hAnsi="仿宋" w:eastAsia="仿宋_GB2312" w:cs="宋体"/>
                <w:bCs/>
                <w:color w:val="auto"/>
                <w:kern w:val="0"/>
                <w:sz w:val="24"/>
                <w:highlight w:val="none"/>
              </w:rPr>
              <w:t>补助类</w:t>
            </w:r>
          </w:p>
        </w:tc>
        <w:tc>
          <w:tcPr>
            <w:tcW w:w="2035" w:type="dxa"/>
            <w:tcBorders>
              <w:top w:val="nil"/>
              <w:left w:val="nil"/>
              <w:bottom w:val="single" w:color="auto" w:sz="8" w:space="0"/>
              <w:right w:val="single" w:color="auto" w:sz="8" w:space="0"/>
            </w:tcBorders>
            <w:shd w:val="clear" w:color="auto" w:fill="auto"/>
            <w:vAlign w:val="center"/>
          </w:tcPr>
          <w:p>
            <w:pPr>
              <w:spacing w:line="560" w:lineRule="exact"/>
              <w:ind w:firstLine="200"/>
              <w:rPr>
                <w:rFonts w:ascii="仿宋_GB2312" w:hAnsi="仿宋" w:eastAsia="仿宋_GB2312" w:cs="宋体"/>
                <w:color w:val="auto"/>
                <w:kern w:val="0"/>
                <w:sz w:val="32"/>
                <w:szCs w:val="32"/>
                <w:highlight w:val="none"/>
              </w:rPr>
            </w:pPr>
          </w:p>
        </w:tc>
      </w:tr>
      <w:tr>
        <w:tblPrEx>
          <w:tblCellMar>
            <w:top w:w="0" w:type="dxa"/>
            <w:left w:w="108" w:type="dxa"/>
            <w:bottom w:w="0" w:type="dxa"/>
            <w:right w:w="108" w:type="dxa"/>
          </w:tblCellMar>
        </w:tblPrEx>
        <w:trPr>
          <w:trHeight w:val="283"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spacing w:line="560" w:lineRule="exact"/>
              <w:ind w:firstLine="200"/>
              <w:rPr>
                <w:rFonts w:ascii="仿宋_GB2312" w:hAnsi="仿宋" w:eastAsia="仿宋_GB2312" w:cs="宋体"/>
                <w:bCs/>
                <w:color w:val="auto"/>
                <w:kern w:val="0"/>
                <w:sz w:val="24"/>
                <w:highlight w:val="none"/>
              </w:rPr>
            </w:pPr>
            <w:r>
              <w:rPr>
                <w:rFonts w:hint="eastAsia" w:ascii="仿宋_GB2312" w:hAnsi="仿宋" w:eastAsia="仿宋_GB2312" w:cs="宋体"/>
                <w:bCs/>
                <w:color w:val="auto"/>
                <w:kern w:val="0"/>
                <w:sz w:val="24"/>
                <w:highlight w:val="none"/>
              </w:rPr>
              <w:t>中央专项彩票公益金支持城乡医疗救助资金</w:t>
            </w:r>
          </w:p>
        </w:tc>
        <w:tc>
          <w:tcPr>
            <w:tcW w:w="1581" w:type="dxa"/>
            <w:tcBorders>
              <w:top w:val="nil"/>
              <w:left w:val="nil"/>
              <w:bottom w:val="single" w:color="auto" w:sz="8" w:space="0"/>
              <w:right w:val="single" w:color="auto" w:sz="8" w:space="0"/>
            </w:tcBorders>
            <w:shd w:val="clear" w:color="auto" w:fill="auto"/>
            <w:vAlign w:val="center"/>
          </w:tcPr>
          <w:p>
            <w:pPr>
              <w:spacing w:line="560" w:lineRule="exact"/>
              <w:ind w:firstLine="200"/>
              <w:rPr>
                <w:rFonts w:ascii="仿宋_GB2312" w:hAnsi="仿宋" w:eastAsia="仿宋_GB2312" w:cs="宋体"/>
                <w:bCs/>
                <w:color w:val="auto"/>
                <w:kern w:val="0"/>
                <w:sz w:val="24"/>
                <w:highlight w:val="none"/>
              </w:rPr>
            </w:pPr>
            <w:r>
              <w:rPr>
                <w:rFonts w:hint="eastAsia" w:ascii="仿宋_GB2312" w:hAnsi="仿宋" w:eastAsia="仿宋_GB2312" w:cs="宋体"/>
                <w:bCs/>
                <w:color w:val="auto"/>
                <w:kern w:val="0"/>
                <w:sz w:val="24"/>
                <w:highlight w:val="none"/>
              </w:rPr>
              <w:t>334万元</w:t>
            </w:r>
          </w:p>
        </w:tc>
        <w:tc>
          <w:tcPr>
            <w:tcW w:w="1057" w:type="dxa"/>
            <w:tcBorders>
              <w:top w:val="nil"/>
              <w:left w:val="nil"/>
              <w:bottom w:val="single" w:color="auto" w:sz="8" w:space="0"/>
              <w:right w:val="single" w:color="auto" w:sz="8" w:space="0"/>
            </w:tcBorders>
            <w:shd w:val="clear" w:color="auto" w:fill="auto"/>
            <w:vAlign w:val="center"/>
          </w:tcPr>
          <w:p>
            <w:pPr>
              <w:spacing w:line="560" w:lineRule="exact"/>
              <w:ind w:firstLine="200"/>
              <w:rPr>
                <w:rFonts w:ascii="仿宋_GB2312" w:hAnsi="仿宋" w:eastAsia="仿宋_GB2312" w:cs="宋体"/>
                <w:bCs/>
                <w:color w:val="auto"/>
                <w:kern w:val="0"/>
                <w:sz w:val="24"/>
                <w:highlight w:val="none"/>
              </w:rPr>
            </w:pPr>
            <w:r>
              <w:rPr>
                <w:rFonts w:hint="eastAsia" w:ascii="仿宋_GB2312" w:hAnsi="仿宋" w:eastAsia="仿宋_GB2312" w:cs="宋体"/>
                <w:bCs/>
                <w:color w:val="auto"/>
                <w:kern w:val="0"/>
                <w:sz w:val="24"/>
                <w:highlight w:val="none"/>
              </w:rPr>
              <w:t>334万元</w:t>
            </w:r>
          </w:p>
        </w:tc>
        <w:tc>
          <w:tcPr>
            <w:tcW w:w="1134" w:type="dxa"/>
            <w:tcBorders>
              <w:top w:val="nil"/>
              <w:left w:val="nil"/>
              <w:bottom w:val="single" w:color="auto" w:sz="8" w:space="0"/>
              <w:right w:val="single" w:color="auto" w:sz="8" w:space="0"/>
            </w:tcBorders>
            <w:shd w:val="clear" w:color="auto" w:fill="auto"/>
            <w:vAlign w:val="center"/>
          </w:tcPr>
          <w:p>
            <w:pPr>
              <w:spacing w:line="560" w:lineRule="exact"/>
              <w:ind w:firstLine="200"/>
              <w:rPr>
                <w:rFonts w:ascii="仿宋_GB2312" w:hAnsi="仿宋" w:eastAsia="仿宋_GB2312" w:cs="宋体"/>
                <w:bCs/>
                <w:color w:val="auto"/>
                <w:kern w:val="0"/>
                <w:sz w:val="24"/>
                <w:highlight w:val="none"/>
              </w:rPr>
            </w:pPr>
            <w:r>
              <w:rPr>
                <w:rFonts w:hint="eastAsia" w:ascii="仿宋_GB2312" w:hAnsi="仿宋" w:eastAsia="仿宋_GB2312" w:cs="宋体"/>
                <w:bCs/>
                <w:color w:val="auto"/>
                <w:kern w:val="0"/>
                <w:sz w:val="24"/>
                <w:highlight w:val="none"/>
              </w:rPr>
              <w:t>100%</w:t>
            </w:r>
          </w:p>
        </w:tc>
        <w:tc>
          <w:tcPr>
            <w:tcW w:w="1134" w:type="dxa"/>
            <w:tcBorders>
              <w:top w:val="nil"/>
              <w:left w:val="nil"/>
              <w:bottom w:val="single" w:color="auto" w:sz="8" w:space="0"/>
              <w:right w:val="single" w:color="auto" w:sz="8" w:space="0"/>
            </w:tcBorders>
            <w:shd w:val="clear" w:color="auto" w:fill="auto"/>
            <w:vAlign w:val="center"/>
          </w:tcPr>
          <w:p>
            <w:pPr>
              <w:spacing w:line="560" w:lineRule="exact"/>
              <w:ind w:firstLine="200"/>
              <w:rPr>
                <w:rFonts w:ascii="仿宋_GB2312" w:hAnsi="仿宋" w:eastAsia="仿宋_GB2312" w:cs="宋体"/>
                <w:bCs/>
                <w:color w:val="auto"/>
                <w:kern w:val="0"/>
                <w:sz w:val="24"/>
                <w:highlight w:val="none"/>
              </w:rPr>
            </w:pPr>
            <w:r>
              <w:rPr>
                <w:rFonts w:hint="eastAsia" w:ascii="仿宋_GB2312" w:hAnsi="仿宋" w:eastAsia="仿宋_GB2312" w:cs="宋体"/>
                <w:bCs/>
                <w:color w:val="auto"/>
                <w:kern w:val="0"/>
                <w:sz w:val="24"/>
                <w:highlight w:val="none"/>
              </w:rPr>
              <w:t>补助类</w:t>
            </w:r>
          </w:p>
        </w:tc>
        <w:tc>
          <w:tcPr>
            <w:tcW w:w="2035" w:type="dxa"/>
            <w:tcBorders>
              <w:top w:val="nil"/>
              <w:left w:val="nil"/>
              <w:bottom w:val="single" w:color="auto" w:sz="8" w:space="0"/>
              <w:right w:val="single" w:color="auto" w:sz="8" w:space="0"/>
            </w:tcBorders>
            <w:shd w:val="clear" w:color="auto" w:fill="auto"/>
            <w:vAlign w:val="center"/>
          </w:tcPr>
          <w:p>
            <w:pPr>
              <w:spacing w:line="560" w:lineRule="exact"/>
              <w:ind w:firstLine="200"/>
              <w:rPr>
                <w:rFonts w:ascii="仿宋_GB2312" w:hAnsi="仿宋" w:eastAsia="仿宋_GB2312" w:cs="宋体"/>
                <w:color w:val="auto"/>
                <w:kern w:val="0"/>
                <w:sz w:val="32"/>
                <w:szCs w:val="32"/>
                <w:highlight w:val="none"/>
              </w:rPr>
            </w:pPr>
          </w:p>
        </w:tc>
      </w:tr>
      <w:tr>
        <w:tblPrEx>
          <w:tblCellMar>
            <w:top w:w="0" w:type="dxa"/>
            <w:left w:w="108" w:type="dxa"/>
            <w:bottom w:w="0" w:type="dxa"/>
            <w:right w:w="108" w:type="dxa"/>
          </w:tblCellMar>
        </w:tblPrEx>
        <w:trPr>
          <w:trHeight w:val="1794"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spacing w:line="560" w:lineRule="exact"/>
              <w:ind w:firstLine="200"/>
              <w:rPr>
                <w:rFonts w:ascii="仿宋_GB2312" w:hAnsi="仿宋" w:eastAsia="仿宋_GB2312" w:cs="宋体"/>
                <w:b/>
                <w:bCs/>
                <w:color w:val="auto"/>
                <w:kern w:val="0"/>
                <w:sz w:val="32"/>
                <w:szCs w:val="32"/>
                <w:highlight w:val="none"/>
              </w:rPr>
            </w:pPr>
            <w:r>
              <w:rPr>
                <w:rFonts w:hint="eastAsia" w:ascii="仿宋_GB2312" w:hAnsi="仿宋" w:eastAsia="仿宋_GB2312" w:cs="宋体"/>
                <w:b/>
                <w:bCs/>
                <w:color w:val="auto"/>
                <w:kern w:val="0"/>
                <w:sz w:val="32"/>
                <w:szCs w:val="32"/>
                <w:highlight w:val="none"/>
              </w:rPr>
              <w:t>合计</w:t>
            </w:r>
          </w:p>
        </w:tc>
        <w:tc>
          <w:tcPr>
            <w:tcW w:w="1581" w:type="dxa"/>
            <w:tcBorders>
              <w:top w:val="nil"/>
              <w:left w:val="nil"/>
              <w:bottom w:val="single" w:color="auto" w:sz="8" w:space="0"/>
              <w:right w:val="single" w:color="auto" w:sz="8" w:space="0"/>
            </w:tcBorders>
            <w:shd w:val="clear" w:color="auto" w:fill="auto"/>
            <w:vAlign w:val="center"/>
          </w:tcPr>
          <w:p>
            <w:pPr>
              <w:spacing w:line="560" w:lineRule="exact"/>
              <w:ind w:firstLine="200"/>
              <w:rPr>
                <w:rFonts w:ascii="仿宋_GB2312" w:hAnsi="仿宋" w:eastAsia="仿宋_GB2312" w:cs="宋体"/>
                <w:color w:val="auto"/>
                <w:kern w:val="0"/>
                <w:sz w:val="32"/>
                <w:szCs w:val="32"/>
                <w:highlight w:val="none"/>
              </w:rPr>
            </w:pPr>
            <w:r>
              <w:rPr>
                <w:rFonts w:hint="eastAsia" w:ascii="仿宋_GB2312" w:hAnsi="仿宋" w:eastAsia="仿宋_GB2312" w:cs="宋体"/>
                <w:color w:val="auto"/>
                <w:kern w:val="0"/>
                <w:sz w:val="32"/>
                <w:szCs w:val="32"/>
                <w:highlight w:val="none"/>
              </w:rPr>
              <w:t>354.5万元</w:t>
            </w:r>
          </w:p>
        </w:tc>
        <w:tc>
          <w:tcPr>
            <w:tcW w:w="1057" w:type="dxa"/>
            <w:tcBorders>
              <w:top w:val="nil"/>
              <w:left w:val="nil"/>
              <w:bottom w:val="single" w:color="auto" w:sz="8" w:space="0"/>
              <w:right w:val="single" w:color="auto" w:sz="8" w:space="0"/>
            </w:tcBorders>
            <w:shd w:val="clear" w:color="auto" w:fill="auto"/>
            <w:vAlign w:val="center"/>
          </w:tcPr>
          <w:p>
            <w:pPr>
              <w:spacing w:line="560" w:lineRule="exact"/>
              <w:ind w:firstLine="200"/>
              <w:rPr>
                <w:rFonts w:ascii="仿宋_GB2312" w:hAnsi="仿宋" w:eastAsia="仿宋_GB2312" w:cs="宋体"/>
                <w:color w:val="auto"/>
                <w:kern w:val="0"/>
                <w:sz w:val="32"/>
                <w:szCs w:val="32"/>
                <w:highlight w:val="none"/>
              </w:rPr>
            </w:pPr>
            <w:r>
              <w:rPr>
                <w:rFonts w:hint="eastAsia" w:ascii="仿宋_GB2312" w:hAnsi="仿宋" w:eastAsia="仿宋_GB2312" w:cs="宋体"/>
                <w:color w:val="auto"/>
                <w:kern w:val="0"/>
                <w:sz w:val="32"/>
                <w:szCs w:val="32"/>
                <w:highlight w:val="none"/>
              </w:rPr>
              <w:t>340.46万元</w:t>
            </w:r>
          </w:p>
        </w:tc>
        <w:tc>
          <w:tcPr>
            <w:tcW w:w="1134" w:type="dxa"/>
            <w:tcBorders>
              <w:top w:val="nil"/>
              <w:left w:val="nil"/>
              <w:bottom w:val="single" w:color="auto" w:sz="8" w:space="0"/>
              <w:right w:val="single" w:color="auto" w:sz="8" w:space="0"/>
            </w:tcBorders>
            <w:shd w:val="clear" w:color="auto" w:fill="auto"/>
            <w:vAlign w:val="center"/>
          </w:tcPr>
          <w:p>
            <w:pPr>
              <w:spacing w:line="560" w:lineRule="exact"/>
              <w:ind w:firstLine="200"/>
              <w:rPr>
                <w:rFonts w:ascii="仿宋_GB2312" w:hAnsi="仿宋" w:eastAsia="仿宋_GB2312" w:cs="宋体"/>
                <w:color w:val="auto"/>
                <w:kern w:val="0"/>
                <w:sz w:val="32"/>
                <w:szCs w:val="32"/>
                <w:highlight w:val="none"/>
              </w:rPr>
            </w:pPr>
            <w:r>
              <w:rPr>
                <w:rFonts w:hint="eastAsia" w:ascii="仿宋_GB2312" w:hAnsi="仿宋" w:eastAsia="仿宋_GB2312" w:cs="宋体"/>
                <w:color w:val="auto"/>
                <w:kern w:val="0"/>
                <w:sz w:val="32"/>
                <w:szCs w:val="32"/>
                <w:highlight w:val="none"/>
              </w:rPr>
              <w:t>96.%</w:t>
            </w:r>
          </w:p>
        </w:tc>
        <w:tc>
          <w:tcPr>
            <w:tcW w:w="1134" w:type="dxa"/>
            <w:tcBorders>
              <w:top w:val="nil"/>
              <w:left w:val="nil"/>
              <w:bottom w:val="single" w:color="auto" w:sz="8" w:space="0"/>
              <w:right w:val="single" w:color="auto" w:sz="8" w:space="0"/>
            </w:tcBorders>
            <w:shd w:val="clear" w:color="auto" w:fill="auto"/>
            <w:vAlign w:val="center"/>
          </w:tcPr>
          <w:p>
            <w:pPr>
              <w:spacing w:line="560" w:lineRule="exact"/>
              <w:ind w:firstLine="200"/>
              <w:rPr>
                <w:rFonts w:ascii="仿宋_GB2312" w:hAnsi="仿宋" w:eastAsia="仿宋_GB2312" w:cs="宋体"/>
                <w:color w:val="auto"/>
                <w:kern w:val="0"/>
                <w:sz w:val="32"/>
                <w:szCs w:val="32"/>
                <w:highlight w:val="none"/>
              </w:rPr>
            </w:pPr>
            <w:r>
              <w:rPr>
                <w:rFonts w:hint="eastAsia" w:ascii="仿宋_GB2312" w:hAnsi="仿宋" w:eastAsia="仿宋_GB2312" w:cs="宋体"/>
                <w:color w:val="auto"/>
                <w:kern w:val="0"/>
                <w:sz w:val="32"/>
                <w:szCs w:val="32"/>
                <w:highlight w:val="none"/>
              </w:rPr>
              <w:t>　</w:t>
            </w:r>
          </w:p>
        </w:tc>
        <w:tc>
          <w:tcPr>
            <w:tcW w:w="2035" w:type="dxa"/>
            <w:tcBorders>
              <w:top w:val="nil"/>
              <w:left w:val="nil"/>
              <w:bottom w:val="single" w:color="auto" w:sz="8" w:space="0"/>
              <w:right w:val="single" w:color="auto" w:sz="8" w:space="0"/>
            </w:tcBorders>
            <w:shd w:val="clear" w:color="auto" w:fill="auto"/>
            <w:vAlign w:val="center"/>
          </w:tcPr>
          <w:p>
            <w:pPr>
              <w:spacing w:line="560" w:lineRule="exact"/>
              <w:ind w:firstLine="200"/>
              <w:rPr>
                <w:rFonts w:ascii="仿宋_GB2312" w:hAnsi="仿宋" w:eastAsia="仿宋_GB2312" w:cs="宋体"/>
                <w:color w:val="auto"/>
                <w:kern w:val="0"/>
                <w:sz w:val="32"/>
                <w:szCs w:val="32"/>
                <w:highlight w:val="none"/>
              </w:rPr>
            </w:pPr>
            <w:r>
              <w:rPr>
                <w:rFonts w:hint="eastAsia" w:ascii="仿宋_GB2312" w:hAnsi="仿宋" w:eastAsia="仿宋_GB2312" w:cs="宋体"/>
                <w:color w:val="auto"/>
                <w:kern w:val="0"/>
                <w:sz w:val="32"/>
                <w:szCs w:val="32"/>
                <w:highlight w:val="none"/>
              </w:rPr>
              <w:t>　</w:t>
            </w:r>
          </w:p>
        </w:tc>
      </w:tr>
    </w:tbl>
    <w:p>
      <w:pPr>
        <w:spacing w:line="560" w:lineRule="exact"/>
        <w:ind w:firstLine="200"/>
        <w:rPr>
          <w:color w:val="auto"/>
          <w:highlight w:val="none"/>
        </w:rPr>
      </w:pPr>
      <w:r>
        <w:rPr>
          <w:rFonts w:hint="eastAsia"/>
          <w:color w:val="auto"/>
          <w:highlight w:val="none"/>
        </w:rPr>
        <w:tab/>
      </w:r>
      <w:r>
        <w:rPr>
          <w:rFonts w:hint="eastAsia"/>
          <w:color w:val="auto"/>
          <w:highlight w:val="none"/>
        </w:rPr>
        <w:tab/>
      </w:r>
      <w:r>
        <w:rPr>
          <w:rFonts w:hint="eastAsia"/>
          <w:color w:val="auto"/>
          <w:highlight w:val="none"/>
        </w:rPr>
        <w:tab/>
      </w:r>
      <w:r>
        <w:rPr>
          <w:rFonts w:hint="eastAsia"/>
          <w:color w:val="auto"/>
          <w:highlight w:val="none"/>
        </w:rPr>
        <w:tab/>
      </w:r>
    </w:p>
    <w:p>
      <w:pPr>
        <w:spacing w:line="560" w:lineRule="exact"/>
        <w:ind w:firstLine="200"/>
        <w:rPr>
          <w:rFonts w:ascii="仿宋_GB2312" w:eastAsia="仿宋_GB2312"/>
          <w:color w:val="auto"/>
          <w:sz w:val="32"/>
          <w:szCs w:val="32"/>
          <w:highlight w:val="none"/>
        </w:rPr>
      </w:pPr>
      <w:r>
        <w:rPr>
          <w:rFonts w:hint="eastAsia"/>
          <w:color w:val="auto"/>
          <w:highlight w:val="none"/>
        </w:rPr>
        <w:tab/>
      </w:r>
      <w:r>
        <w:rPr>
          <w:rFonts w:hint="eastAsia"/>
          <w:color w:val="auto"/>
          <w:highlight w:val="none"/>
        </w:rPr>
        <w:tab/>
      </w:r>
      <w:r>
        <w:rPr>
          <w:rFonts w:hint="eastAsia"/>
          <w:color w:val="auto"/>
          <w:highlight w:val="none"/>
        </w:rPr>
        <w:tab/>
      </w:r>
      <w:r>
        <w:rPr>
          <w:rFonts w:hint="eastAsia"/>
          <w:color w:val="auto"/>
          <w:highlight w:val="none"/>
        </w:rPr>
        <w:t>　</w:t>
      </w:r>
      <w:r>
        <w:rPr>
          <w:rFonts w:hint="eastAsia"/>
          <w:color w:val="auto"/>
          <w:highlight w:val="none"/>
        </w:rPr>
        <w:tab/>
      </w:r>
      <w:r>
        <w:rPr>
          <w:rFonts w:hint="eastAsia"/>
          <w:color w:val="auto"/>
          <w:highlight w:val="none"/>
        </w:rPr>
        <w:t>　</w:t>
      </w:r>
      <w:r>
        <w:rPr>
          <w:rFonts w:hint="eastAsia" w:ascii="仿宋_GB2312" w:eastAsia="仿宋_GB2312"/>
          <w:color w:val="auto"/>
          <w:sz w:val="32"/>
          <w:szCs w:val="32"/>
          <w:highlight w:val="none"/>
        </w:rPr>
        <w:t>执行数与预算数存在差异的原因：</w:t>
      </w:r>
    </w:p>
    <w:p>
      <w:pPr>
        <w:spacing w:line="560" w:lineRule="exact"/>
        <w:ind w:firstLine="200"/>
        <w:rPr>
          <w:rFonts w:ascii="仿宋_GB2312" w:eastAsia="仿宋_GB2312"/>
          <w:color w:val="auto"/>
          <w:sz w:val="32"/>
          <w:szCs w:val="32"/>
          <w:highlight w:val="none"/>
        </w:rPr>
      </w:pPr>
      <w:r>
        <w:rPr>
          <w:rFonts w:hint="eastAsia" w:ascii="仿宋_GB2312" w:eastAsia="仿宋_GB2312"/>
          <w:color w:val="auto"/>
          <w:sz w:val="32"/>
          <w:szCs w:val="32"/>
          <w:highlight w:val="none"/>
        </w:rPr>
        <w:t>1、“***”工作经费项目由于***工作人员未能及时主动将报账材料送到财务处，导致该项经费没有全额支付。</w:t>
      </w:r>
    </w:p>
    <w:p>
      <w:pPr>
        <w:pStyle w:val="2"/>
        <w:rPr>
          <w:rFonts w:ascii="仿宋_GB2312" w:eastAsia="仿宋_GB2312"/>
          <w:b w:val="0"/>
          <w:bCs w:val="0"/>
          <w:color w:val="auto"/>
          <w:highlight w:val="none"/>
        </w:rPr>
      </w:pPr>
      <w:r>
        <w:rPr>
          <w:rFonts w:hint="eastAsia" w:ascii="仿宋_GB2312" w:eastAsia="仿宋_GB2312"/>
          <w:b w:val="0"/>
          <w:bCs w:val="0"/>
          <w:color w:val="auto"/>
          <w:highlight w:val="none"/>
        </w:rPr>
        <w:t>2、全民参保及医疗服务经费项目用的是上年结余资金，未使用该项目资金。</w:t>
      </w:r>
    </w:p>
    <w:p>
      <w:pPr>
        <w:pStyle w:val="12"/>
        <w:spacing w:line="560" w:lineRule="exact"/>
        <w:ind w:firstLine="624"/>
        <w:rPr>
          <w:rStyle w:val="10"/>
          <w:rFonts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三、单位专项组织实施情况</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（一）专项组织情况分析</w:t>
      </w:r>
      <w:r>
        <w:rPr>
          <w:rStyle w:val="10"/>
          <w:rFonts w:hint="eastAsia" w:ascii="楷体" w:hAnsi="楷体" w:eastAsia="楷体" w:cs="Times New Roman"/>
          <w:b w:val="0"/>
          <w:bCs w:val="0"/>
          <w:color w:val="auto"/>
          <w:spacing w:val="-4"/>
          <w:sz w:val="32"/>
          <w:szCs w:val="32"/>
          <w:highlight w:val="none"/>
        </w:rPr>
        <w:tab/>
      </w:r>
    </w:p>
    <w:p>
      <w:pPr>
        <w:spacing w:line="560" w:lineRule="exact"/>
        <w:ind w:firstLine="627" w:firstLineChars="200"/>
        <w:rPr>
          <w:rStyle w:val="10"/>
          <w:rFonts w:ascii="仿宋_GB2312" w:hAnsi="黑体" w:eastAsia="仿宋_GB2312" w:cs="Times New Roman"/>
          <w:bCs w:val="0"/>
          <w:color w:val="auto"/>
          <w:spacing w:val="-4"/>
          <w:sz w:val="32"/>
          <w:szCs w:val="32"/>
          <w:highlight w:val="none"/>
        </w:rPr>
      </w:pPr>
      <w:r>
        <w:rPr>
          <w:rStyle w:val="10"/>
          <w:rFonts w:hint="eastAsia" w:ascii="仿宋_GB2312" w:hAnsi="黑体" w:eastAsia="仿宋_GB2312" w:cs="Times New Roman"/>
          <w:bCs w:val="0"/>
          <w:color w:val="auto"/>
          <w:spacing w:val="-4"/>
          <w:sz w:val="32"/>
          <w:szCs w:val="32"/>
          <w:highlight w:val="none"/>
        </w:rPr>
        <w:t>1．前期准备</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我单位作为项目承担单位，组织实施单位开展项目前期准备工作，根据项目特点和内容组织项目小组，制定详细的项目计划和实施方案，并提请单位党组会议研究，待党组会议研究通过后项目实施单位方可实施。</w:t>
      </w:r>
    </w:p>
    <w:p>
      <w:pPr>
        <w:spacing w:line="560" w:lineRule="exact"/>
        <w:ind w:firstLine="627" w:firstLineChars="200"/>
        <w:rPr>
          <w:rStyle w:val="10"/>
          <w:rFonts w:ascii="仿宋_GB2312" w:hAnsi="黑体" w:eastAsia="仿宋_GB2312" w:cs="Times New Roman"/>
          <w:bCs w:val="0"/>
          <w:color w:val="auto"/>
          <w:spacing w:val="-4"/>
          <w:sz w:val="32"/>
          <w:szCs w:val="32"/>
          <w:highlight w:val="none"/>
        </w:rPr>
      </w:pPr>
      <w:r>
        <w:rPr>
          <w:rStyle w:val="10"/>
          <w:rFonts w:hint="eastAsia" w:ascii="仿宋_GB2312" w:hAnsi="黑体" w:eastAsia="仿宋_GB2312" w:cs="Times New Roman"/>
          <w:bCs w:val="0"/>
          <w:color w:val="auto"/>
          <w:spacing w:val="-4"/>
          <w:sz w:val="32"/>
          <w:szCs w:val="32"/>
          <w:highlight w:val="none"/>
        </w:rPr>
        <w:t>2．组织实施</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项目需根据前期制定的计划和实施方案进行实施。实施过程中，专项资金项目实施单位负责项目的实施、实施过程中的协调、重大事项的审批工作负责以及项目完成目标的验收工作。</w:t>
      </w:r>
    </w:p>
    <w:p>
      <w:pPr>
        <w:pStyle w:val="12"/>
        <w:numPr>
          <w:ilvl w:val="0"/>
          <w:numId w:val="1"/>
        </w:numPr>
        <w:spacing w:line="560" w:lineRule="exact"/>
        <w:ind w:firstLine="624"/>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专项管理情况分析</w:t>
      </w:r>
    </w:p>
    <w:p>
      <w:pPr>
        <w:spacing w:line="560" w:lineRule="exact"/>
        <w:ind w:firstLine="627" w:firstLineChars="200"/>
        <w:rPr>
          <w:rStyle w:val="10"/>
          <w:rFonts w:ascii="仿宋_GB2312" w:hAnsi="黑体" w:eastAsia="仿宋_GB2312" w:cs="Times New Roman"/>
          <w:bCs w:val="0"/>
          <w:color w:val="auto"/>
          <w:spacing w:val="-4"/>
          <w:sz w:val="32"/>
          <w:szCs w:val="32"/>
          <w:highlight w:val="none"/>
        </w:rPr>
      </w:pPr>
      <w:r>
        <w:rPr>
          <w:rStyle w:val="10"/>
          <w:rFonts w:hint="eastAsia" w:ascii="仿宋_GB2312" w:hAnsi="黑体" w:eastAsia="仿宋_GB2312" w:cs="Times New Roman"/>
          <w:bCs w:val="0"/>
          <w:color w:val="auto"/>
          <w:spacing w:val="-4"/>
          <w:sz w:val="32"/>
          <w:szCs w:val="32"/>
          <w:highlight w:val="none"/>
        </w:rPr>
        <w:t>1．项目资金情况分</w:t>
      </w:r>
      <w:r>
        <w:rPr>
          <w:rStyle w:val="10"/>
          <w:rFonts w:hint="eastAsia" w:ascii="仿宋_GB2312" w:hAnsi="黑体" w:eastAsia="仿宋_GB2312" w:cs="Times New Roman"/>
          <w:bCs w:val="0"/>
          <w:color w:val="auto"/>
          <w:spacing w:val="-4"/>
          <w:sz w:val="32"/>
          <w:szCs w:val="32"/>
          <w:highlight w:val="none"/>
        </w:rPr>
        <w:t>析（包括预算项目和专项项目）</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本单位2021年共有项目4个，项目总预算362.9万元，资金到位362.9万元，资金执行数346.66万元，执行率95.5%；资金严格按照《财务管理制度》、《专项资金使用管理制</w:t>
      </w:r>
      <w:r>
        <w:rPr>
          <w:rStyle w:val="10"/>
          <w:rFonts w:hint="eastAsia" w:ascii="仿宋_GB2312" w:hAnsi="黑体" w:eastAsia="仿宋_GB2312" w:cs="Times New Roman"/>
          <w:b w:val="0"/>
          <w:color w:val="auto"/>
          <w:spacing w:val="-4"/>
          <w:sz w:val="32"/>
          <w:szCs w:val="32"/>
          <w:highlight w:val="none"/>
        </w:rPr>
        <w:t>度》、《内部控制管理制度》实行专款专用，在本年度审计和财政监督检查过程</w:t>
      </w:r>
      <w:r>
        <w:rPr>
          <w:rStyle w:val="10"/>
          <w:rFonts w:hint="eastAsia" w:ascii="仿宋_GB2312" w:hAnsi="黑体" w:eastAsia="仿宋_GB2312" w:cs="Times New Roman"/>
          <w:b w:val="0"/>
          <w:color w:val="auto"/>
          <w:spacing w:val="-4"/>
          <w:sz w:val="32"/>
          <w:szCs w:val="32"/>
          <w:highlight w:val="none"/>
        </w:rPr>
        <w:t>中未发现资金违规使用情况。</w:t>
      </w:r>
    </w:p>
    <w:p>
      <w:pPr>
        <w:spacing w:line="560" w:lineRule="exact"/>
        <w:ind w:firstLine="627" w:firstLineChars="200"/>
        <w:rPr>
          <w:rStyle w:val="10"/>
          <w:rFonts w:ascii="仿宋_GB2312" w:hAnsi="黑体" w:eastAsia="仿宋_GB2312" w:cs="Times New Roman"/>
          <w:bCs w:val="0"/>
          <w:color w:val="auto"/>
          <w:spacing w:val="-4"/>
          <w:sz w:val="32"/>
          <w:szCs w:val="32"/>
          <w:highlight w:val="none"/>
        </w:rPr>
      </w:pPr>
      <w:r>
        <w:rPr>
          <w:rStyle w:val="10"/>
          <w:rFonts w:hint="eastAsia" w:ascii="仿宋_GB2312" w:hAnsi="黑体" w:eastAsia="仿宋_GB2312" w:cs="Times New Roman"/>
          <w:bCs w:val="0"/>
          <w:color w:val="auto"/>
          <w:spacing w:val="-4"/>
          <w:sz w:val="32"/>
          <w:szCs w:val="32"/>
          <w:highlight w:val="none"/>
        </w:rPr>
        <w:t>2．项目实施情况分析</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（1）项目组织情况</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为了规范项目资金分配及使用，明确了项目资金管理的原则，对项目申报、项目的审核和确定、项目的实施和管理、竣工验收、结果公示和资金拨付情况、绩效管理等进行了规范。我单位成立了项目绩效领导小组，明确了分管领导、牵头科室和具体负责人。建立了沟通联系机制，组织调研，明确项目任务，制定项目实施方案。严格按照程序，在财政单位的监督下，按监控节点对项目执行情况进行监控，项目完成后，对项目进行绩效评价。</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（2）项目管理情况</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按照项目工作内容、工作措施、工作时限和要达到的预期效果，进一步分解细化，将责任落实到岗位，形成完整的绩效管理工作方案和指标考核评价体系，使单位专项工作任务与绩效评价指标紧密结合起来，推动各项工作落实。</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项目负责人根据各业务实际情况，向单位党组提出项目实施申请及具体开展计划措施。经会议研究通过后，根据计划开展工作。</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（3）项目监管情况</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项目经办人、负责人定期对项目执行及资金的使用情况进行自查，重点检查项目资金的使用进度，使用情况、落实情况。财政单位及上级主管单位不定期对项目实施开展检查，对发现的问题采取措施，及时纠正，认真处理，强化管理。有效杜绝了项目资金在分配使用过程中违纪现象的发生，保证了项目资金的使用安全。</w:t>
      </w:r>
    </w:p>
    <w:p>
      <w:pPr>
        <w:spacing w:line="560" w:lineRule="exact"/>
        <w:ind w:firstLine="627" w:firstLineChars="200"/>
        <w:rPr>
          <w:rStyle w:val="10"/>
          <w:rFonts w:ascii="仿宋_GB2312" w:hAnsi="黑体" w:eastAsia="仿宋_GB2312" w:cs="Times New Roman"/>
          <w:bCs w:val="0"/>
          <w:color w:val="auto"/>
          <w:spacing w:val="-4"/>
          <w:sz w:val="32"/>
          <w:szCs w:val="32"/>
          <w:highlight w:val="none"/>
        </w:rPr>
      </w:pPr>
      <w:r>
        <w:rPr>
          <w:rStyle w:val="10"/>
          <w:rFonts w:hint="eastAsia" w:ascii="仿宋_GB2312" w:hAnsi="黑体" w:eastAsia="仿宋_GB2312" w:cs="Times New Roman"/>
          <w:bCs w:val="0"/>
          <w:color w:val="auto"/>
          <w:spacing w:val="-4"/>
          <w:sz w:val="32"/>
          <w:szCs w:val="32"/>
          <w:highlight w:val="none"/>
        </w:rPr>
        <w:t>3．项目绩效情况分析</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（1）项目成本控制及节约情况</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成本控制：依据项目预算及《内控制度》，降低成本支出，由财经会上会审议通过相关经费支出，一把手不直接分管财务，严格按照制度规定的标准执行，物品采购严格按照政府采购或者进行招投标程序进行采购组织项目开展，实施成本控制。</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成本节约：我单位4个项目成本均未超预算，预算执行率达95.5%。</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（2）项目效率性分析</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实施进度：我单位共有4个项目，4个项目均在项目计划期间完成，项目按期完成及时率100%。</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完成质量：我单位共有4个项目，4个项目均验收完成，验收合格率100%。</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（3）项目效益性分析</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2021年度本单位实</w:t>
      </w:r>
      <w:r>
        <w:rPr>
          <w:rStyle w:val="10"/>
          <w:rFonts w:hint="eastAsia" w:ascii="仿宋_GB2312" w:hAnsi="黑体" w:eastAsia="仿宋_GB2312" w:cs="Times New Roman"/>
          <w:b w:val="0"/>
          <w:color w:val="auto"/>
          <w:spacing w:val="-4"/>
          <w:sz w:val="32"/>
          <w:szCs w:val="32"/>
          <w:highlight w:val="none"/>
        </w:rPr>
        <w:t>施4个项目，通过项目的实施带来的效益：通过工作经费项目的实施，确保了我局5个业务科室的正常运转，医保信息系统正常运行以及有效保障了医保局各项工作的顺利开展，确保了医疗机构监督检查覆盖率和医疗保险征缴率达到了100%，进一步提高了医疗保险业务的覆盖面，推进了我局长期持续为公众提供公共服务的能力，获得了受益群众的高度满意</w:t>
      </w:r>
      <w:r>
        <w:rPr>
          <w:rStyle w:val="10"/>
          <w:rFonts w:hint="eastAsia" w:ascii="仿宋_GB2312" w:hAnsi="黑体" w:eastAsia="仿宋_GB2312"/>
          <w:bCs w:val="0"/>
          <w:color w:val="auto"/>
          <w:spacing w:val="-4"/>
          <w:highlight w:val="none"/>
        </w:rPr>
        <w:t>；</w:t>
      </w:r>
      <w:r>
        <w:rPr>
          <w:rFonts w:hint="eastAsia" w:ascii="仿宋_GB2312" w:hAnsi="方正楷体简体" w:eastAsia="仿宋_GB2312" w:cs="宋体"/>
          <w:color w:val="auto"/>
          <w:sz w:val="32"/>
          <w:szCs w:val="32"/>
          <w:highlight w:val="none"/>
        </w:rPr>
        <w:t>通过访惠聚为民办实事工作经费项目资金的实施，解决了群众在生产生活中的实际困难，将党和政府的温暖通过工作队成员送到了各族群众的心坎上，夯实了基层组织访民情聚民心惠民生驻村工作，提升了辖区范围内各族群众的凝聚力，为维护社会稳定和长治久安打下了坚实的群众基础；通过全民参保及医疗服务经费项目实施切实极大地减轻了的解决困难群众的医疗负担，特别是重大疾病患者，保障了困难群众的基本医疗权益，提升了困难群众的幸福感，夯实了社会稳定和长治久安的基础；通过中央专项彩票公益金支持城乡医疗救助资金项目实施，减轻参保人员就医经济负担，确保了参保人员居民基本医疗保险政策落实，</w:t>
      </w:r>
      <w:r>
        <w:rPr>
          <w:rFonts w:ascii="仿宋_GB2312" w:hAnsi="方正楷体简体" w:eastAsia="仿宋_GB2312" w:cs="宋体"/>
          <w:color w:val="auto"/>
          <w:sz w:val="32"/>
          <w:szCs w:val="32"/>
          <w:highlight w:val="none"/>
        </w:rPr>
        <w:t>实现</w:t>
      </w:r>
      <w:r>
        <w:rPr>
          <w:rFonts w:hint="eastAsia" w:ascii="仿宋_GB2312" w:hAnsi="方正楷体简体" w:eastAsia="仿宋_GB2312" w:cs="宋体"/>
          <w:color w:val="auto"/>
          <w:sz w:val="32"/>
          <w:szCs w:val="32"/>
          <w:highlight w:val="none"/>
        </w:rPr>
        <w:t>了</w:t>
      </w:r>
      <w:r>
        <w:rPr>
          <w:rFonts w:ascii="仿宋_GB2312" w:hAnsi="方正楷体简体" w:eastAsia="仿宋_GB2312" w:cs="宋体"/>
          <w:color w:val="auto"/>
          <w:sz w:val="32"/>
          <w:szCs w:val="32"/>
          <w:highlight w:val="none"/>
        </w:rPr>
        <w:t>制度深度融合，提高运行质量，增强保障功能。结合全民参保计划，巩固城乡居民医保覆盖面，确保稳定连续参保，实现应保尽保，避免重复参保</w:t>
      </w:r>
      <w:r>
        <w:rPr>
          <w:rFonts w:hint="eastAsia" w:ascii="仿宋_GB2312" w:hAnsi="方正楷体简体" w:eastAsia="仿宋_GB2312" w:cs="宋体"/>
          <w:color w:val="auto"/>
          <w:sz w:val="32"/>
          <w:szCs w:val="32"/>
          <w:highlight w:val="none"/>
        </w:rPr>
        <w:t>。</w:t>
      </w:r>
    </w:p>
    <w:p>
      <w:pPr>
        <w:pStyle w:val="12"/>
        <w:spacing w:line="560" w:lineRule="exact"/>
        <w:ind w:firstLine="624"/>
        <w:rPr>
          <w:rStyle w:val="10"/>
          <w:rFonts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四、资产管理情况</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（一）资产管理体制和制度建设方面</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（二）运行机制和管理方式</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资产管理由财务单位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（三）信息化建设方面</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（四）流动资产的管理</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流动资产严格按照我单位内控体系要求进行管理，无备用金，单位货币资金管理由财务科每月与银行进行对帐，并填写银行余额调节表。</w:t>
      </w:r>
    </w:p>
    <w:p>
      <w:pPr>
        <w:pStyle w:val="6"/>
        <w:widowControl/>
        <w:spacing w:before="0" w:beforeAutospacing="0" w:after="0" w:afterAutospacing="0" w:line="560" w:lineRule="exact"/>
        <w:ind w:firstLine="624" w:firstLineChars="200"/>
        <w:jc w:val="both"/>
        <w:rPr>
          <w:rStyle w:val="10"/>
          <w:rFonts w:ascii="楷体" w:hAnsi="楷体" w:eastAsia="楷体"/>
          <w:b w:val="0"/>
          <w:bCs w:val="0"/>
          <w:color w:val="auto"/>
          <w:spacing w:val="-4"/>
          <w:sz w:val="32"/>
          <w:szCs w:val="32"/>
          <w:highlight w:val="none"/>
        </w:rPr>
      </w:pPr>
      <w:r>
        <w:rPr>
          <w:rStyle w:val="10"/>
          <w:rFonts w:hint="eastAsia" w:ascii="楷体" w:hAnsi="楷体" w:eastAsia="楷体"/>
          <w:b w:val="0"/>
          <w:bCs w:val="0"/>
          <w:color w:val="auto"/>
          <w:spacing w:val="-4"/>
          <w:sz w:val="32"/>
          <w:szCs w:val="32"/>
          <w:highlight w:val="none"/>
        </w:rPr>
        <w:t>（五）固定资产的管理</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本单位的资产管理详细按照的相关要求执行,符合财政单位要求。每年年末定时对我单位的固定资产进行盘点，对盘点过程中发生的盈亏，进行原因查找，并上报单位党组研究决策，再上报财政国有资产管理科进行申报再行处理。</w:t>
      </w:r>
    </w:p>
    <w:p>
      <w:pPr>
        <w:pStyle w:val="12"/>
        <w:spacing w:line="560" w:lineRule="exact"/>
        <w:ind w:firstLine="624"/>
        <w:rPr>
          <w:rStyle w:val="10"/>
          <w:rFonts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五、单位整体支出绩效情况</w:t>
      </w:r>
    </w:p>
    <w:p>
      <w:pPr>
        <w:spacing w:line="560" w:lineRule="exact"/>
        <w:ind w:firstLine="640" w:firstLineChars="200"/>
        <w:rPr>
          <w:rFonts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rPr>
        <w:t>单位整体支出共设置一级指标3个，二级指标7个，三级指标17个，其中已完成三级指标14个，指标完成率为82.4%。</w:t>
      </w:r>
    </w:p>
    <w:p>
      <w:pPr>
        <w:spacing w:line="560" w:lineRule="exact"/>
        <w:ind w:firstLine="627" w:firstLineChars="200"/>
        <w:rPr>
          <w:rFonts w:ascii="仿宋_GB2312" w:hAnsi="楷体" w:eastAsia="仿宋_GB2312"/>
          <w:b/>
          <w:color w:val="auto"/>
          <w:spacing w:val="-4"/>
          <w:sz w:val="32"/>
          <w:szCs w:val="32"/>
          <w:highlight w:val="none"/>
        </w:rPr>
      </w:pPr>
      <w:r>
        <w:rPr>
          <w:rFonts w:hint="eastAsia" w:ascii="仿宋_GB2312" w:hAnsi="楷体" w:eastAsia="仿宋_GB2312"/>
          <w:b/>
          <w:color w:val="auto"/>
          <w:spacing w:val="-4"/>
          <w:sz w:val="32"/>
          <w:szCs w:val="32"/>
          <w:highlight w:val="none"/>
        </w:rPr>
        <w:t>1．产出指标完成情况分析</w:t>
      </w:r>
    </w:p>
    <w:p>
      <w:pPr>
        <w:spacing w:line="560" w:lineRule="exact"/>
        <w:ind w:firstLine="624" w:firstLineChars="200"/>
        <w:rPr>
          <w:rFonts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（1）项目完成数量</w:t>
      </w:r>
    </w:p>
    <w:p>
      <w:pPr>
        <w:spacing w:line="560" w:lineRule="exact"/>
        <w:ind w:firstLine="640" w:firstLineChars="200"/>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保障单位干部职工工资正常发放人数，预期指标是大于等于**人，实际完成值是**人，指标完成率是100%，达到预期目标。</w:t>
      </w:r>
    </w:p>
    <w:p>
      <w:pPr>
        <w:spacing w:line="560" w:lineRule="exact"/>
        <w:ind w:firstLine="640" w:firstLineChars="200"/>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保障运转车辆数，预期指标是1辆，实际完成值是1辆，指标完成率是100%，达到预期目标。</w:t>
      </w:r>
    </w:p>
    <w:p>
      <w:pPr>
        <w:spacing w:line="560" w:lineRule="exact"/>
        <w:ind w:firstLine="640" w:firstLineChars="200"/>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保障部门预算项目数，预期指标是1个，实际完成值是1个，指标完成率是100%，达到预期目标。</w:t>
      </w:r>
    </w:p>
    <w:p>
      <w:pPr>
        <w:spacing w:line="560" w:lineRule="exact"/>
        <w:ind w:firstLine="640" w:firstLineChars="200"/>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数量指标共计3个，完成3个，达到预期目标，数量指标完成。</w:t>
      </w:r>
    </w:p>
    <w:p>
      <w:pPr>
        <w:spacing w:line="560" w:lineRule="exact"/>
        <w:ind w:firstLine="624" w:firstLineChars="200"/>
        <w:rPr>
          <w:rFonts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（2）项目完成质量</w:t>
      </w:r>
    </w:p>
    <w:p>
      <w:pPr>
        <w:spacing w:line="560" w:lineRule="exact"/>
        <w:ind w:firstLine="640" w:firstLineChars="200"/>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工资及社保等各项缴费保障发放准确率，预期指标是100%，实际完成值是100%，指标完成率是100%，达到预期目标。</w:t>
      </w:r>
    </w:p>
    <w:p>
      <w:pPr>
        <w:spacing w:line="560" w:lineRule="exact"/>
        <w:ind w:firstLine="640" w:firstLineChars="200"/>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车辆正常运转率，预期指标是100%，实际完成值是100%，指标完成率是100%，达到预期目标。</w:t>
      </w:r>
    </w:p>
    <w:p>
      <w:pPr>
        <w:spacing w:line="560" w:lineRule="exact"/>
        <w:ind w:firstLine="640" w:firstLineChars="200"/>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质量指标共计2个，完成2个，达到预期目标</w:t>
      </w:r>
      <w:r>
        <w:rPr>
          <w:rFonts w:hint="eastAsia" w:ascii="仿宋_GB2312" w:hAnsi="仿宋" w:eastAsia="仿宋_GB2312"/>
          <w:color w:val="auto"/>
          <w:sz w:val="32"/>
          <w:szCs w:val="32"/>
          <w:highlight w:val="none"/>
        </w:rPr>
        <w:t>，质量指标完成。</w:t>
      </w:r>
    </w:p>
    <w:p>
      <w:pPr>
        <w:spacing w:line="560" w:lineRule="exact"/>
        <w:ind w:firstLine="624" w:firstLineChars="200"/>
        <w:rPr>
          <w:rFonts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（3）项目实施进度</w:t>
      </w:r>
    </w:p>
    <w:p>
      <w:pPr>
        <w:spacing w:line="560" w:lineRule="exact"/>
        <w:ind w:firstLine="640" w:firstLineChars="200"/>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工资及社保等各项缴费发放及时率，预期指标是大于等于95%，实际完成值是95%，指标完成率是100%，,达到预期目标。</w:t>
      </w:r>
    </w:p>
    <w:p>
      <w:pPr>
        <w:spacing w:line="560" w:lineRule="exact"/>
        <w:ind w:firstLine="640" w:firstLineChars="200"/>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项目完成时间，预期指标是2021年12月，实际完成值是2021年12月，指标完成率是100%，达到预期目标。</w:t>
      </w:r>
    </w:p>
    <w:p>
      <w:pPr>
        <w:spacing w:line="560" w:lineRule="exact"/>
        <w:ind w:firstLine="640" w:firstLineChars="200"/>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项目完成及时率，预期指标是大于等于95%，实际完成值是95%，指标完成率是100%，达到预期目标。</w:t>
      </w:r>
    </w:p>
    <w:p>
      <w:pPr>
        <w:spacing w:line="560" w:lineRule="exact"/>
        <w:ind w:firstLine="640" w:firstLineChars="200"/>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时效指标共计3个，完成3个，达到预期目标，时效指标完成。</w:t>
      </w:r>
    </w:p>
    <w:p>
      <w:pPr>
        <w:spacing w:line="560" w:lineRule="exact"/>
        <w:ind w:firstLine="624" w:firstLineChars="200"/>
        <w:rPr>
          <w:rFonts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（4）项目成本节约情况</w:t>
      </w:r>
    </w:p>
    <w:p>
      <w:pPr>
        <w:spacing w:line="560" w:lineRule="exact"/>
        <w:ind w:firstLine="640" w:firstLineChars="200"/>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各项工资、福利、补助费用人均成本，预期指标是13.81万元/人，实际完成值是13.81万元/人，指标完成率是100%，达到预期目标。</w:t>
      </w:r>
    </w:p>
    <w:p>
      <w:pPr>
        <w:spacing w:line="560" w:lineRule="exact"/>
        <w:ind w:firstLine="640" w:firstLineChars="200"/>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对个人和家庭补助成本，预期指标是7.47万元，实际完成值是0.87万元，指标完成率是11.6%，未达到预期目标，原因：办公室报账不及时，导致资金未全额支付。措施：督促办公室工作人员及时报账。</w:t>
      </w:r>
    </w:p>
    <w:p>
      <w:pPr>
        <w:spacing w:line="560" w:lineRule="exact"/>
        <w:ind w:firstLine="640" w:firstLineChars="200"/>
        <w:rPr>
          <w:color w:val="auto"/>
          <w:highlight w:val="none"/>
        </w:rPr>
      </w:pPr>
      <w:r>
        <w:rPr>
          <w:rFonts w:hint="eastAsia" w:ascii="仿宋_GB2312" w:hAnsi="仿宋" w:eastAsia="仿宋_GB2312"/>
          <w:color w:val="auto"/>
          <w:sz w:val="32"/>
          <w:szCs w:val="32"/>
          <w:highlight w:val="none"/>
        </w:rPr>
        <w:t>正常运转支出成本，预期指标是9.24万元，实际完成值是7.11万元，指标完成率是76.9%，未达到预期目标。原因：办公室报账不及时，导致资金未全额支付。措施：督促办公室工作人员及时报账。</w:t>
      </w:r>
    </w:p>
    <w:p>
      <w:pPr>
        <w:spacing w:line="560" w:lineRule="exact"/>
        <w:ind w:firstLine="640" w:firstLineChars="200"/>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预算项目成本，预期指标是8.4万元，实际完成值是6.2万元，指标完成率是73.8%，未达到预期目标。原因：办公室报账不及时，导致资金未全额支付。措施：督促办公室工作人员及时报账。</w:t>
      </w:r>
    </w:p>
    <w:p>
      <w:pPr>
        <w:spacing w:line="560" w:lineRule="exact"/>
        <w:ind w:firstLine="640" w:firstLineChars="200"/>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成本指标共计4个，完成1个，未达到预期目标，措施：针对各项工资、福利、补助费用人均成本要做到年初预算全面合理分配资金，及时跟进项目进度，督促相关工作人员及时报账，对个人和家庭补助成本、正常运转支出成本、预算项目成本共节约10.93万元，该笔资金已全部做计划调减回退到和田市财政局。</w:t>
      </w:r>
    </w:p>
    <w:p>
      <w:pPr>
        <w:spacing w:line="560" w:lineRule="exact"/>
        <w:ind w:firstLine="627" w:firstLineChars="200"/>
        <w:rPr>
          <w:rFonts w:ascii="仿宋_GB2312" w:hAnsi="楷体" w:eastAsia="仿宋_GB2312"/>
          <w:b/>
          <w:color w:val="auto"/>
          <w:spacing w:val="-4"/>
          <w:sz w:val="32"/>
          <w:szCs w:val="32"/>
          <w:highlight w:val="none"/>
        </w:rPr>
      </w:pPr>
      <w:r>
        <w:rPr>
          <w:rFonts w:hint="eastAsia" w:ascii="仿宋_GB2312" w:hAnsi="楷体" w:eastAsia="仿宋_GB2312"/>
          <w:b/>
          <w:color w:val="auto"/>
          <w:spacing w:val="-4"/>
          <w:sz w:val="32"/>
          <w:szCs w:val="32"/>
          <w:highlight w:val="none"/>
        </w:rPr>
        <w:t>2．效益指标完成情况分析</w:t>
      </w:r>
    </w:p>
    <w:p>
      <w:pPr>
        <w:spacing w:line="560" w:lineRule="exact"/>
        <w:ind w:firstLine="624" w:firstLineChars="200"/>
        <w:rPr>
          <w:rFonts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（1）项目实施的经济效益分析</w:t>
      </w:r>
    </w:p>
    <w:p>
      <w:pPr>
        <w:spacing w:line="560" w:lineRule="exact"/>
        <w:ind w:firstLine="640" w:firstLineChars="200"/>
        <w:rPr>
          <w:rFonts w:ascii="仿宋_GB2312" w:eastAsia="仿宋_GB2312"/>
          <w:color w:val="auto"/>
          <w:sz w:val="32"/>
          <w:szCs w:val="32"/>
          <w:highlight w:val="none"/>
        </w:rPr>
      </w:pPr>
      <w:r>
        <w:rPr>
          <w:rFonts w:hint="eastAsia" w:ascii="仿宋_GB2312" w:hAnsi="仿宋" w:eastAsia="仿宋_GB2312"/>
          <w:color w:val="auto"/>
          <w:sz w:val="32"/>
          <w:szCs w:val="32"/>
          <w:highlight w:val="none"/>
        </w:rPr>
        <w:t>无。</w:t>
      </w:r>
    </w:p>
    <w:p>
      <w:pPr>
        <w:spacing w:line="560" w:lineRule="exact"/>
        <w:ind w:firstLine="624" w:firstLineChars="200"/>
        <w:rPr>
          <w:rFonts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（2）项目实施的社会效益分析</w:t>
      </w:r>
    </w:p>
    <w:p>
      <w:pPr>
        <w:spacing w:line="560" w:lineRule="exact"/>
        <w:ind w:firstLine="640" w:firstLineChars="200"/>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提升医疗保障经办服务能力，预期指标是有效提升，实际完成值是有效提升，指标完成率是100%，达到预期目标。</w:t>
      </w:r>
    </w:p>
    <w:p>
      <w:pPr>
        <w:spacing w:line="560" w:lineRule="exact"/>
        <w:ind w:firstLine="640" w:firstLineChars="200"/>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保障单位正常运转，预期指标是有效保障，实际完成值是有效保障，指标完成率是100%，达到预期目标。</w:t>
      </w:r>
    </w:p>
    <w:p>
      <w:pPr>
        <w:spacing w:line="560" w:lineRule="exact"/>
        <w:ind w:firstLine="640" w:firstLineChars="200"/>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社会效益指标共计2个，完成2个，达到预期目标，</w:t>
      </w:r>
      <w:r>
        <w:rPr>
          <w:rFonts w:hint="eastAsia" w:ascii="仿宋_GB2312" w:hAnsi="Times New Roman" w:eastAsia="仿宋_GB2312" w:cs="Times New Roman"/>
          <w:color w:val="auto"/>
          <w:sz w:val="32"/>
          <w:szCs w:val="28"/>
          <w:highlight w:val="none"/>
        </w:rPr>
        <w:t>社会效益指标完成。</w:t>
      </w:r>
    </w:p>
    <w:p>
      <w:pPr>
        <w:spacing w:line="560" w:lineRule="exact"/>
        <w:ind w:firstLine="624" w:firstLineChars="200"/>
        <w:rPr>
          <w:rFonts w:ascii="仿宋_GB2312" w:hAnsi="楷体" w:eastAsia="仿宋_GB2312" w:cs="仿宋"/>
          <w:bCs/>
          <w:color w:val="auto"/>
          <w:spacing w:val="-4"/>
          <w:sz w:val="32"/>
          <w:szCs w:val="32"/>
          <w:highlight w:val="none"/>
        </w:rPr>
      </w:pPr>
      <w:r>
        <w:rPr>
          <w:rFonts w:hint="eastAsia" w:ascii="仿宋_GB2312" w:hAnsi="楷体" w:eastAsia="仿宋_GB2312" w:cs="仿宋"/>
          <w:color w:val="auto"/>
          <w:spacing w:val="-4"/>
          <w:sz w:val="32"/>
          <w:szCs w:val="32"/>
          <w:highlight w:val="none"/>
        </w:rPr>
        <w:t>（3）项目实施的生态效益分</w:t>
      </w:r>
      <w:r>
        <w:rPr>
          <w:rFonts w:hint="eastAsia" w:ascii="仿宋_GB2312" w:hAnsi="楷体" w:eastAsia="仿宋_GB2312" w:cs="仿宋"/>
          <w:bCs/>
          <w:color w:val="auto"/>
          <w:spacing w:val="-4"/>
          <w:sz w:val="32"/>
          <w:szCs w:val="32"/>
          <w:highlight w:val="none"/>
        </w:rPr>
        <w:t>析</w:t>
      </w:r>
    </w:p>
    <w:p>
      <w:pPr>
        <w:spacing w:line="560" w:lineRule="exact"/>
        <w:ind w:firstLine="624" w:firstLineChars="200"/>
        <w:rPr>
          <w:rFonts w:ascii="仿宋_GB2312" w:eastAsia="仿宋_GB2312"/>
          <w:color w:val="auto"/>
          <w:sz w:val="32"/>
          <w:szCs w:val="32"/>
          <w:highlight w:val="none"/>
        </w:rPr>
      </w:pPr>
      <w:r>
        <w:rPr>
          <w:rFonts w:hint="eastAsia" w:ascii="仿宋_GB2312" w:hAnsi="仿宋" w:eastAsia="仿宋_GB2312" w:cs="仿宋"/>
          <w:color w:val="auto"/>
          <w:spacing w:val="-4"/>
          <w:sz w:val="32"/>
          <w:szCs w:val="32"/>
          <w:highlight w:val="none"/>
        </w:rPr>
        <w:t>无。</w:t>
      </w:r>
    </w:p>
    <w:p>
      <w:pPr>
        <w:spacing w:line="560" w:lineRule="exact"/>
        <w:ind w:firstLine="624" w:firstLineChars="200"/>
        <w:rPr>
          <w:rFonts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（4）项目实施的可持续影响分析</w:t>
      </w:r>
    </w:p>
    <w:p>
      <w:pPr>
        <w:spacing w:line="560" w:lineRule="exact"/>
        <w:ind w:firstLine="624" w:firstLineChars="200"/>
        <w:rPr>
          <w:rFonts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持续为群众提供政府公共服务能力，预期指标是长期，实际完成值是长期，指标完成率是100%，达到预期目标。</w:t>
      </w:r>
    </w:p>
    <w:p>
      <w:pPr>
        <w:spacing w:line="560" w:lineRule="exact"/>
        <w:ind w:firstLine="624" w:firstLineChars="200"/>
        <w:rPr>
          <w:rFonts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可</w:t>
      </w:r>
      <w:r>
        <w:rPr>
          <w:rFonts w:hint="eastAsia" w:ascii="仿宋_GB2312" w:hAnsi="仿宋" w:eastAsia="仿宋_GB2312" w:cs="仿宋"/>
          <w:color w:val="auto"/>
          <w:spacing w:val="-4"/>
          <w:sz w:val="32"/>
          <w:szCs w:val="32"/>
          <w:highlight w:val="none"/>
        </w:rPr>
        <w:t>持续指标共计1个，完成1个，达到预期目标，</w:t>
      </w:r>
      <w:r>
        <w:rPr>
          <w:rFonts w:hint="eastAsia" w:ascii="仿宋_GB2312" w:hAnsi="Times New Roman" w:eastAsia="仿宋_GB2312" w:cs="Times New Roman"/>
          <w:color w:val="auto"/>
          <w:sz w:val="32"/>
          <w:szCs w:val="32"/>
          <w:highlight w:val="none"/>
        </w:rPr>
        <w:t>可持续影响指标完成。</w:t>
      </w:r>
    </w:p>
    <w:p>
      <w:pPr>
        <w:spacing w:line="560" w:lineRule="exact"/>
        <w:ind w:firstLine="627" w:firstLineChars="200"/>
        <w:rPr>
          <w:rFonts w:ascii="仿宋_GB2312" w:hAnsi="楷体" w:eastAsia="仿宋_GB2312"/>
          <w:b/>
          <w:color w:val="auto"/>
          <w:spacing w:val="-4"/>
          <w:sz w:val="32"/>
          <w:szCs w:val="32"/>
          <w:highlight w:val="none"/>
        </w:rPr>
      </w:pPr>
      <w:r>
        <w:rPr>
          <w:rFonts w:hint="eastAsia" w:ascii="仿宋_GB2312" w:hAnsi="楷体" w:eastAsia="仿宋_GB2312"/>
          <w:b/>
          <w:color w:val="auto"/>
          <w:spacing w:val="-4"/>
          <w:sz w:val="32"/>
          <w:szCs w:val="32"/>
          <w:highlight w:val="none"/>
        </w:rPr>
        <w:t>3．满意度指标完成情况分析</w:t>
      </w:r>
    </w:p>
    <w:p>
      <w:pPr>
        <w:spacing w:line="560" w:lineRule="exact"/>
        <w:ind w:firstLine="624" w:firstLineChars="200"/>
        <w:rPr>
          <w:rFonts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按计划完成项目实施，已做满意度调查问卷，具体如下：</w:t>
      </w:r>
    </w:p>
    <w:p>
      <w:pPr>
        <w:spacing w:line="560" w:lineRule="exact"/>
        <w:ind w:firstLine="200"/>
        <w:rPr>
          <w:rFonts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受益群众满意度，预期指标是大于等于95%，实际完成值是95%，指标完成率是100%，达到预期目标。</w:t>
      </w:r>
    </w:p>
    <w:p>
      <w:pPr>
        <w:spacing w:line="560" w:lineRule="exact"/>
        <w:ind w:firstLine="200"/>
        <w:rPr>
          <w:rFonts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单位干部职工满意度，预期指标是大于等于95%，实际完成值是95%，指标完成率是100%，达到预期目标。</w:t>
      </w:r>
    </w:p>
    <w:p>
      <w:pPr>
        <w:spacing w:line="560" w:lineRule="exact"/>
        <w:ind w:firstLine="624" w:firstLineChars="200"/>
        <w:rPr>
          <w:rFonts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满意度指标共计2个，完成2个，达到预期目标，服务对象满意度指标完成。</w:t>
      </w:r>
    </w:p>
    <w:p>
      <w:pPr>
        <w:spacing w:line="560" w:lineRule="exact"/>
        <w:ind w:firstLine="624" w:firstLineChars="200"/>
        <w:rPr>
          <w:rFonts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经济性评价：单位年度任务在预算资金额度内完成，并通过严格的资金管理及项目管理及其他创新的管理措施实现了资金的节约。三公经费在预算范围内开支，开支范围较上年的变化有节约。</w:t>
      </w:r>
    </w:p>
    <w:p>
      <w:pPr>
        <w:spacing w:line="560" w:lineRule="exact"/>
        <w:ind w:firstLine="624" w:firstLineChars="200"/>
        <w:rPr>
          <w:rFonts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效率性评价：各项工作计划按预期计划按时完成，效益按预期时间产生。</w:t>
      </w:r>
    </w:p>
    <w:p>
      <w:pPr>
        <w:spacing w:line="560" w:lineRule="exact"/>
        <w:ind w:firstLine="624" w:firstLineChars="200"/>
        <w:rPr>
          <w:rFonts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效益性评价：预期的经济效益、社会效益、可持续的影响产生，达到了相关人员的高度满意度。</w:t>
      </w:r>
    </w:p>
    <w:p>
      <w:pPr>
        <w:pStyle w:val="12"/>
        <w:spacing w:line="560" w:lineRule="exact"/>
        <w:ind w:firstLine="624"/>
        <w:rPr>
          <w:rStyle w:val="10"/>
          <w:rFonts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六、存在的主要问题</w:t>
      </w:r>
    </w:p>
    <w:p>
      <w:pPr>
        <w:spacing w:line="560" w:lineRule="exact"/>
        <w:ind w:firstLine="624" w:firstLineChars="200"/>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(一)预算执行存在偏差</w:t>
      </w:r>
    </w:p>
    <w:p>
      <w:pPr>
        <w:spacing w:line="560" w:lineRule="exact"/>
        <w:ind w:firstLine="624" w:firstLineChars="200"/>
        <w:rPr>
          <w:rFonts w:ascii="仿宋_GB2312" w:hAnsi="仿宋" w:eastAsia="仿宋_GB2312" w:cs="仿宋"/>
          <w:color w:val="auto"/>
          <w:spacing w:val="-4"/>
          <w:sz w:val="32"/>
          <w:szCs w:val="32"/>
          <w:highlight w:val="none"/>
        </w:rPr>
      </w:pPr>
      <w:r>
        <w:rPr>
          <w:rFonts w:ascii="仿宋_GB2312" w:hAnsi="仿宋" w:eastAsia="仿宋_GB2312" w:cs="仿宋"/>
          <w:color w:val="auto"/>
          <w:spacing w:val="-4"/>
          <w:sz w:val="32"/>
          <w:szCs w:val="32"/>
          <w:highlight w:val="none"/>
        </w:rPr>
        <w:t>由于项目支出指标到12月份才下达指示，在预算执行中造成个别预算调剂现象。对个别项目资金使用方面预算不够细致，出现实际支出数超出了预算申报数和出现项目资金结金数额多的情况。</w:t>
      </w:r>
    </w:p>
    <w:p>
      <w:pPr>
        <w:spacing w:line="560" w:lineRule="exact"/>
        <w:ind w:firstLine="624" w:firstLineChars="200"/>
        <w:rPr>
          <w:rFonts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通过预算绩效管理，发现了工作中存在的不足，前期业务费项目因实施进度跟进不够，造成资金使用报账不及时，未按期支付，导致了资金滞缓，影响了项目的进度。</w:t>
      </w:r>
    </w:p>
    <w:p>
      <w:pPr>
        <w:spacing w:line="560" w:lineRule="exact"/>
        <w:ind w:firstLine="624" w:firstLineChars="200"/>
        <w:rPr>
          <w:rFonts w:ascii="楷体" w:hAnsi="楷体" w:eastAsia="楷体" w:cs="仿宋"/>
          <w:color w:val="auto"/>
          <w:spacing w:val="-4"/>
          <w:sz w:val="32"/>
          <w:szCs w:val="32"/>
          <w:highlight w:val="none"/>
        </w:rPr>
      </w:pPr>
      <w:r>
        <w:rPr>
          <w:rFonts w:hint="eastAsia" w:ascii="楷体" w:hAnsi="楷体" w:eastAsia="楷体" w:cs="仿宋"/>
          <w:color w:val="auto"/>
          <w:spacing w:val="-4"/>
          <w:sz w:val="32"/>
          <w:szCs w:val="32"/>
          <w:highlight w:val="none"/>
        </w:rPr>
        <w:t>（二）</w:t>
      </w:r>
      <w:r>
        <w:rPr>
          <w:rFonts w:ascii="楷体" w:hAnsi="楷体" w:eastAsia="楷体" w:cs="仿宋"/>
          <w:color w:val="auto"/>
          <w:spacing w:val="-4"/>
          <w:sz w:val="32"/>
          <w:szCs w:val="32"/>
          <w:highlight w:val="none"/>
        </w:rPr>
        <w:t>目标设定科学性及评价存在难度</w:t>
      </w:r>
    </w:p>
    <w:p>
      <w:pPr>
        <w:spacing w:line="560" w:lineRule="exact"/>
        <w:ind w:firstLine="624" w:firstLineChars="200"/>
        <w:rPr>
          <w:rFonts w:ascii="仿宋_GB2312" w:hAnsi="仿宋" w:eastAsia="仿宋_GB2312" w:cs="仿宋"/>
          <w:color w:val="auto"/>
          <w:spacing w:val="-4"/>
          <w:sz w:val="32"/>
          <w:szCs w:val="32"/>
          <w:highlight w:val="none"/>
        </w:rPr>
      </w:pPr>
      <w:r>
        <w:rPr>
          <w:rFonts w:ascii="仿宋_GB2312" w:hAnsi="仿宋" w:eastAsia="仿宋_GB2312" w:cs="仿宋"/>
          <w:color w:val="auto"/>
          <w:spacing w:val="-4"/>
          <w:sz w:val="32"/>
          <w:szCs w:val="32"/>
          <w:highlight w:val="none"/>
        </w:rPr>
        <w:t>对于目标设定需要分科室</w:t>
      </w:r>
      <w:r>
        <w:rPr>
          <w:rFonts w:hint="eastAsia" w:ascii="仿宋_GB2312" w:hAnsi="仿宋" w:eastAsia="仿宋_GB2312" w:cs="仿宋"/>
          <w:color w:val="auto"/>
          <w:spacing w:val="-4"/>
          <w:sz w:val="32"/>
          <w:szCs w:val="32"/>
          <w:highlight w:val="none"/>
        </w:rPr>
        <w:t>单位</w:t>
      </w:r>
      <w:r>
        <w:rPr>
          <w:rFonts w:ascii="仿宋_GB2312" w:hAnsi="仿宋" w:eastAsia="仿宋_GB2312" w:cs="仿宋"/>
          <w:color w:val="auto"/>
          <w:spacing w:val="-4"/>
          <w:sz w:val="32"/>
          <w:szCs w:val="32"/>
          <w:highlight w:val="none"/>
        </w:rPr>
        <w:t>分解,汇总后制定整体目标，如何科学整合全单位绩效目标比较困难；目标设定后如何科学设定考核评价标准，特别是对于不能量化的目标如何评价。</w:t>
      </w:r>
    </w:p>
    <w:p>
      <w:pPr>
        <w:spacing w:line="560" w:lineRule="exact"/>
        <w:ind w:firstLine="624" w:firstLineChars="200"/>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（三）财务管理方面，会计核算还不够细致,对于有些能够细分的工作,未能详细分类核算,绩效评价基础数据不够精准。</w:t>
      </w:r>
    </w:p>
    <w:p>
      <w:pPr>
        <w:spacing w:line="560" w:lineRule="exact"/>
        <w:ind w:firstLine="624" w:firstLineChars="200"/>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（四）固定资产管理水平有待提高</w:t>
      </w:r>
    </w:p>
    <w:p>
      <w:pPr>
        <w:spacing w:line="560" w:lineRule="exact"/>
        <w:ind w:firstLine="624" w:firstLineChars="200"/>
        <w:rPr>
          <w:rFonts w:ascii="仿宋_GB2312" w:hAnsi="仿宋" w:eastAsia="仿宋_GB2312" w:cs="仿宋"/>
          <w:color w:val="auto"/>
          <w:spacing w:val="-4"/>
          <w:sz w:val="32"/>
          <w:szCs w:val="32"/>
          <w:highlight w:val="none"/>
        </w:rPr>
      </w:pPr>
      <w:r>
        <w:rPr>
          <w:rFonts w:ascii="仿宋_GB2312" w:hAnsi="仿宋" w:eastAsia="仿宋_GB2312" w:cs="仿宋"/>
          <w:color w:val="auto"/>
          <w:spacing w:val="-4"/>
          <w:sz w:val="32"/>
          <w:szCs w:val="32"/>
          <w:highlight w:val="none"/>
        </w:rPr>
        <w:t>固定资产台账未及时与账面资产金额对账且末与实物进行清点及及时清理处置报废资产导致资产台账与账面资产金额存在差异,固定资产管理继续加强中。</w:t>
      </w:r>
    </w:p>
    <w:p>
      <w:pPr>
        <w:pStyle w:val="12"/>
        <w:spacing w:line="560" w:lineRule="exact"/>
        <w:ind w:firstLine="624"/>
        <w:rPr>
          <w:rStyle w:val="10"/>
          <w:rFonts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七、改进措施和建议</w:t>
      </w:r>
    </w:p>
    <w:p>
      <w:pPr>
        <w:pStyle w:val="6"/>
        <w:widowControl/>
        <w:spacing w:before="0" w:beforeAutospacing="0" w:after="0" w:afterAutospacing="0" w:line="560" w:lineRule="exact"/>
        <w:ind w:firstLine="624" w:firstLineChars="200"/>
        <w:jc w:val="both"/>
        <w:rPr>
          <w:rFonts w:ascii="楷体" w:hAnsi="楷体" w:eastAsia="楷体" w:cs="仿宋"/>
          <w:color w:val="auto"/>
          <w:spacing w:val="-4"/>
          <w:sz w:val="32"/>
          <w:szCs w:val="32"/>
          <w:highlight w:val="none"/>
        </w:rPr>
      </w:pPr>
      <w:r>
        <w:rPr>
          <w:rFonts w:hint="eastAsia" w:ascii="楷体" w:hAnsi="楷体" w:eastAsia="楷体" w:cs="仿宋"/>
          <w:color w:val="auto"/>
          <w:spacing w:val="-4"/>
          <w:sz w:val="32"/>
          <w:szCs w:val="32"/>
          <w:highlight w:val="none"/>
        </w:rPr>
        <w:t>（一）</w:t>
      </w:r>
      <w:r>
        <w:rPr>
          <w:rFonts w:ascii="楷体" w:hAnsi="楷体" w:eastAsia="楷体" w:cs="仿宋"/>
          <w:color w:val="auto"/>
          <w:spacing w:val="-4"/>
          <w:sz w:val="32"/>
          <w:szCs w:val="32"/>
          <w:highlight w:val="none"/>
        </w:rPr>
        <w:t>加强新行政单位会计制度和新预算法学习培训</w:t>
      </w:r>
      <w:r>
        <w:rPr>
          <w:rFonts w:hint="eastAsia" w:ascii="楷体" w:hAnsi="楷体" w:eastAsia="楷体" w:cs="仿宋"/>
          <w:color w:val="auto"/>
          <w:spacing w:val="-4"/>
          <w:sz w:val="32"/>
          <w:szCs w:val="32"/>
          <w:highlight w:val="none"/>
        </w:rPr>
        <w:t>，</w:t>
      </w:r>
      <w:r>
        <w:rPr>
          <w:rFonts w:ascii="楷体" w:hAnsi="楷体" w:eastAsia="楷体" w:cs="仿宋"/>
          <w:color w:val="auto"/>
          <w:spacing w:val="-4"/>
          <w:sz w:val="32"/>
          <w:szCs w:val="32"/>
          <w:highlight w:val="none"/>
        </w:rPr>
        <w:t>规范账务处理</w:t>
      </w:r>
      <w:r>
        <w:rPr>
          <w:rFonts w:hint="eastAsia" w:ascii="楷体" w:hAnsi="楷体" w:eastAsia="楷体" w:cs="仿宋"/>
          <w:color w:val="auto"/>
          <w:spacing w:val="-4"/>
          <w:sz w:val="32"/>
          <w:szCs w:val="32"/>
          <w:highlight w:val="none"/>
        </w:rPr>
        <w:t>，</w:t>
      </w:r>
      <w:r>
        <w:rPr>
          <w:rFonts w:ascii="楷体" w:hAnsi="楷体" w:eastAsia="楷体" w:cs="仿宋"/>
          <w:color w:val="auto"/>
          <w:spacing w:val="-4"/>
          <w:sz w:val="32"/>
          <w:szCs w:val="32"/>
          <w:highlight w:val="none"/>
        </w:rPr>
        <w:t>加强新《预算法》、《行政单位会计制度》 、《会计法》 、《行政单位财务规则》等学习培训,规范</w:t>
      </w:r>
      <w:r>
        <w:rPr>
          <w:rFonts w:hint="eastAsia" w:ascii="楷体" w:hAnsi="楷体" w:eastAsia="楷体" w:cs="仿宋"/>
          <w:color w:val="auto"/>
          <w:spacing w:val="-4"/>
          <w:sz w:val="32"/>
          <w:szCs w:val="32"/>
          <w:highlight w:val="none"/>
        </w:rPr>
        <w:t>单位</w:t>
      </w:r>
      <w:r>
        <w:rPr>
          <w:rFonts w:ascii="楷体" w:hAnsi="楷体" w:eastAsia="楷体" w:cs="仿宋"/>
          <w:color w:val="auto"/>
          <w:spacing w:val="-4"/>
          <w:sz w:val="32"/>
          <w:szCs w:val="32"/>
          <w:highlight w:val="none"/>
        </w:rPr>
        <w:t>预算收支核算</w:t>
      </w:r>
      <w:r>
        <w:rPr>
          <w:rFonts w:hint="eastAsia" w:ascii="楷体" w:hAnsi="楷体" w:eastAsia="楷体" w:cs="仿宋"/>
          <w:color w:val="auto"/>
          <w:spacing w:val="-4"/>
          <w:sz w:val="32"/>
          <w:szCs w:val="32"/>
          <w:highlight w:val="none"/>
        </w:rPr>
        <w:t>。</w:t>
      </w:r>
      <w:r>
        <w:rPr>
          <w:rFonts w:ascii="楷体" w:hAnsi="楷体" w:eastAsia="楷体" w:cs="仿宋"/>
          <w:color w:val="auto"/>
          <w:spacing w:val="-4"/>
          <w:sz w:val="32"/>
          <w:szCs w:val="32"/>
          <w:highlight w:val="none"/>
        </w:rPr>
        <w:t>制定和完善基本支出、项目支出等各项支出标准,严格按项目和进度执行预算, 增强预算的约束力和严肃性</w:t>
      </w:r>
      <w:r>
        <w:rPr>
          <w:rFonts w:hint="eastAsia" w:ascii="楷体" w:hAnsi="楷体" w:eastAsia="楷体" w:cs="仿宋"/>
          <w:color w:val="auto"/>
          <w:spacing w:val="-4"/>
          <w:sz w:val="32"/>
          <w:szCs w:val="32"/>
          <w:highlight w:val="none"/>
        </w:rPr>
        <w:t>；</w:t>
      </w:r>
      <w:r>
        <w:rPr>
          <w:rFonts w:ascii="楷体" w:hAnsi="楷体" w:eastAsia="楷体" w:cs="仿宋"/>
          <w:color w:val="auto"/>
          <w:spacing w:val="-4"/>
          <w:sz w:val="32"/>
          <w:szCs w:val="32"/>
          <w:highlight w:val="none"/>
        </w:rPr>
        <w:t>落实预算执行分析,及时了解预算执行差异,合理调整、纠正预算执行偏差，切实提高</w:t>
      </w:r>
      <w:r>
        <w:rPr>
          <w:rFonts w:hint="eastAsia" w:ascii="楷体" w:hAnsi="楷体" w:eastAsia="楷体" w:cs="仿宋"/>
          <w:color w:val="auto"/>
          <w:spacing w:val="-4"/>
          <w:sz w:val="32"/>
          <w:szCs w:val="32"/>
          <w:highlight w:val="none"/>
        </w:rPr>
        <w:t>单位</w:t>
      </w:r>
      <w:r>
        <w:rPr>
          <w:rFonts w:ascii="楷体" w:hAnsi="楷体" w:eastAsia="楷体" w:cs="仿宋"/>
          <w:color w:val="auto"/>
          <w:spacing w:val="-4"/>
          <w:sz w:val="32"/>
          <w:szCs w:val="32"/>
          <w:highlight w:val="none"/>
        </w:rPr>
        <w:t>预算收支管理水平。尽可能地做到决算与预算相衔接。</w:t>
      </w:r>
    </w:p>
    <w:p>
      <w:pPr>
        <w:pStyle w:val="6"/>
        <w:widowControl/>
        <w:spacing w:before="0" w:beforeAutospacing="0" w:after="0" w:afterAutospacing="0" w:line="560" w:lineRule="exact"/>
        <w:ind w:firstLine="624" w:firstLineChars="200"/>
        <w:jc w:val="both"/>
        <w:rPr>
          <w:rFonts w:ascii="楷体" w:hAnsi="楷体" w:eastAsia="楷体" w:cs="仿宋"/>
          <w:color w:val="auto"/>
          <w:spacing w:val="-4"/>
          <w:sz w:val="32"/>
          <w:szCs w:val="32"/>
          <w:highlight w:val="none"/>
        </w:rPr>
      </w:pPr>
      <w:r>
        <w:rPr>
          <w:rFonts w:hint="eastAsia" w:ascii="楷体" w:hAnsi="楷体" w:eastAsia="楷体" w:cs="仿宋"/>
          <w:color w:val="auto"/>
          <w:spacing w:val="-4"/>
          <w:sz w:val="32"/>
          <w:szCs w:val="32"/>
          <w:highlight w:val="none"/>
        </w:rPr>
        <w:t>（二）</w:t>
      </w:r>
      <w:r>
        <w:rPr>
          <w:rFonts w:ascii="楷体" w:hAnsi="楷体" w:eastAsia="楷体" w:cs="仿宋"/>
          <w:color w:val="auto"/>
          <w:spacing w:val="-4"/>
          <w:sz w:val="32"/>
          <w:szCs w:val="32"/>
          <w:highlight w:val="none"/>
        </w:rPr>
        <w:t>完善管理制度,进</w:t>
      </w:r>
      <w:r>
        <w:rPr>
          <w:rFonts w:hint="eastAsia" w:ascii="楷体" w:hAnsi="楷体" w:eastAsia="楷体" w:cs="仿宋"/>
          <w:color w:val="auto"/>
          <w:spacing w:val="-4"/>
          <w:sz w:val="32"/>
          <w:szCs w:val="32"/>
          <w:highlight w:val="none"/>
        </w:rPr>
        <w:t>一步</w:t>
      </w:r>
      <w:r>
        <w:rPr>
          <w:rFonts w:ascii="楷体" w:hAnsi="楷体" w:eastAsia="楷体" w:cs="仿宋"/>
          <w:color w:val="auto"/>
          <w:spacing w:val="-4"/>
          <w:sz w:val="32"/>
          <w:szCs w:val="32"/>
          <w:highlight w:val="none"/>
        </w:rPr>
        <w:t>加强资产管理</w:t>
      </w:r>
    </w:p>
    <w:p>
      <w:pPr>
        <w:pStyle w:val="6"/>
        <w:widowControl/>
        <w:spacing w:before="0" w:beforeAutospacing="0" w:after="0" w:afterAutospacing="0" w:line="560" w:lineRule="exact"/>
        <w:ind w:firstLine="624" w:firstLineChars="200"/>
        <w:jc w:val="both"/>
        <w:rPr>
          <w:rFonts w:ascii="仿宋_GB2312" w:hAnsi="仿宋" w:eastAsia="仿宋_GB2312" w:cs="仿宋"/>
          <w:color w:val="auto"/>
          <w:spacing w:val="-4"/>
          <w:sz w:val="32"/>
          <w:szCs w:val="32"/>
          <w:highlight w:val="none"/>
        </w:rPr>
      </w:pPr>
      <w:r>
        <w:rPr>
          <w:rFonts w:ascii="仿宋_GB2312" w:hAnsi="仿宋" w:eastAsia="仿宋_GB2312" w:cs="仿宋"/>
          <w:color w:val="auto"/>
          <w:spacing w:val="-4"/>
          <w:sz w:val="32"/>
          <w:szCs w:val="32"/>
          <w:highlight w:val="none"/>
        </w:rPr>
        <w:t>严格按照《固定资产管理办法》的规定加强固定资产管理,及时登记、更新台账，加强资产卡片管理,对各类实物资产进行全面盘点,确保账账、账实相符。</w:t>
      </w:r>
    </w:p>
    <w:p>
      <w:pPr>
        <w:pStyle w:val="6"/>
        <w:widowControl/>
        <w:spacing w:before="0" w:beforeAutospacing="0" w:after="0" w:afterAutospacing="0" w:line="560" w:lineRule="exact"/>
        <w:ind w:firstLine="624" w:firstLineChars="200"/>
        <w:jc w:val="both"/>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（三）加强学习如何科学合理制定绩效目标及考核体系，充分发挥绩效工作效用</w:t>
      </w:r>
      <w:r>
        <w:rPr>
          <w:rFonts w:hint="eastAsia" w:ascii="楷体" w:hAnsi="楷体" w:eastAsia="楷体" w:cs="仿宋"/>
          <w:color w:val="auto"/>
          <w:spacing w:val="-4"/>
          <w:sz w:val="32"/>
          <w:szCs w:val="32"/>
          <w:highlight w:val="none"/>
        </w:rPr>
        <w:t>。</w:t>
      </w:r>
    </w:p>
    <w:p>
      <w:pPr>
        <w:pStyle w:val="6"/>
        <w:widowControl/>
        <w:spacing w:before="0" w:beforeAutospacing="0" w:after="0" w:afterAutospacing="0" w:line="560" w:lineRule="exact"/>
        <w:ind w:firstLine="624" w:firstLineChars="200"/>
        <w:jc w:val="both"/>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（四）财务上，会计核算要更加详细，为本单位各项工作的开展、总结、评估提供有效数据资料支撑,为各项业务工作更好的开展提供帮助。</w:t>
      </w:r>
    </w:p>
    <w:p>
      <w:pPr>
        <w:pStyle w:val="6"/>
        <w:widowControl/>
        <w:spacing w:before="0" w:beforeAutospacing="0" w:after="0" w:afterAutospacing="0" w:line="560" w:lineRule="exact"/>
        <w:ind w:firstLine="624" w:firstLineChars="200"/>
        <w:jc w:val="both"/>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（五）从源头上强化对专项资金预算管理</w:t>
      </w:r>
    </w:p>
    <w:p>
      <w:pPr>
        <w:pStyle w:val="6"/>
        <w:widowControl/>
        <w:spacing w:before="0" w:beforeAutospacing="0" w:after="0" w:afterAutospacing="0" w:line="560" w:lineRule="exact"/>
        <w:ind w:firstLine="624" w:firstLineChars="200"/>
        <w:jc w:val="both"/>
        <w:rPr>
          <w:rFonts w:ascii="仿宋_GB2312" w:hAnsi="楷体" w:eastAsia="仿宋_GB2312" w:cs="仿宋"/>
          <w:color w:val="auto"/>
          <w:spacing w:val="-4"/>
          <w:sz w:val="32"/>
          <w:szCs w:val="32"/>
          <w:highlight w:val="none"/>
        </w:rPr>
      </w:pPr>
      <w:r>
        <w:rPr>
          <w:rFonts w:ascii="仿宋_GB2312" w:hAnsi="楷体" w:eastAsia="仿宋_GB2312" w:cs="仿宋"/>
          <w:color w:val="auto"/>
          <w:spacing w:val="-4"/>
          <w:sz w:val="32"/>
          <w:szCs w:val="32"/>
          <w:highlight w:val="none"/>
        </w:rPr>
        <w:t>实行专项资金预算管理， 结合单位实际, 按轻重缓急统筹安排编制预算,提高预算编制科学性和合理性,优化资金结构。</w:t>
      </w:r>
    </w:p>
    <w:p>
      <w:pPr>
        <w:pStyle w:val="6"/>
        <w:widowControl/>
        <w:spacing w:before="0" w:beforeAutospacing="0" w:after="0" w:afterAutospacing="0" w:line="560" w:lineRule="exact"/>
        <w:ind w:firstLine="624" w:firstLineChars="200"/>
        <w:jc w:val="both"/>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（六）按时间进度分解资金使用计划</w:t>
      </w:r>
    </w:p>
    <w:p>
      <w:pPr>
        <w:pStyle w:val="6"/>
        <w:widowControl/>
        <w:spacing w:before="0" w:beforeAutospacing="0" w:after="0" w:afterAutospacing="0" w:line="560" w:lineRule="exact"/>
        <w:ind w:firstLine="624" w:firstLineChars="200"/>
        <w:jc w:val="both"/>
        <w:rPr>
          <w:rFonts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专项资金的使用，要事前做计划，事中进行控制，事后总结提高。合理安排资金使用,充分体现资金投向的目标和效益。</w:t>
      </w:r>
    </w:p>
    <w:p>
      <w:pPr>
        <w:pStyle w:val="6"/>
        <w:widowControl/>
        <w:spacing w:before="0" w:beforeAutospacing="0" w:after="0" w:afterAutospacing="0" w:line="560" w:lineRule="exact"/>
        <w:ind w:firstLine="624" w:firstLineChars="200"/>
        <w:jc w:val="both"/>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（七）进一步提高绩效管理水平</w:t>
      </w:r>
    </w:p>
    <w:p>
      <w:pPr>
        <w:pStyle w:val="6"/>
        <w:widowControl/>
        <w:spacing w:before="0" w:beforeAutospacing="0" w:after="0" w:afterAutospacing="0" w:line="560" w:lineRule="exact"/>
        <w:ind w:firstLine="624" w:firstLineChars="200"/>
        <w:jc w:val="both"/>
        <w:rPr>
          <w:rFonts w:ascii="仿宋_GB2312" w:hAnsi="楷体" w:eastAsia="仿宋_GB2312" w:cs="仿宋"/>
          <w:color w:val="auto"/>
          <w:spacing w:val="-4"/>
          <w:sz w:val="32"/>
          <w:szCs w:val="32"/>
          <w:highlight w:val="none"/>
        </w:rPr>
      </w:pPr>
      <w:r>
        <w:rPr>
          <w:rFonts w:ascii="仿宋_GB2312" w:hAnsi="楷体" w:eastAsia="仿宋_GB2312" w:cs="仿宋"/>
          <w:color w:val="auto"/>
          <w:spacing w:val="-4"/>
          <w:sz w:val="32"/>
          <w:szCs w:val="32"/>
          <w:highlight w:val="none"/>
        </w:rPr>
        <w:t>由于目前的预算管理在编制和实施中还存在编制不细、预算调整较多、追加预算比重较大等现象,因此项目预算执行的准确性还有待加强,同时分析手段和技术水平上还有待完善。在今后的工作中,我们将加强与财政</w:t>
      </w:r>
      <w:r>
        <w:rPr>
          <w:rFonts w:hint="eastAsia" w:ascii="仿宋_GB2312" w:hAnsi="楷体" w:eastAsia="仿宋_GB2312" w:cs="仿宋"/>
          <w:color w:val="auto"/>
          <w:spacing w:val="-4"/>
          <w:sz w:val="32"/>
          <w:szCs w:val="32"/>
          <w:highlight w:val="none"/>
        </w:rPr>
        <w:t>单位</w:t>
      </w:r>
      <w:r>
        <w:rPr>
          <w:rFonts w:ascii="仿宋_GB2312" w:hAnsi="楷体" w:eastAsia="仿宋_GB2312" w:cs="仿宋"/>
          <w:color w:val="auto"/>
          <w:spacing w:val="-4"/>
          <w:sz w:val="32"/>
          <w:szCs w:val="32"/>
          <w:highlight w:val="none"/>
        </w:rPr>
        <w:t>的紧密配合,开展好整体支出及项目资金绩效管理工作,运用好绩 效评价的结果,不断提升预算管理水平。</w:t>
      </w:r>
    </w:p>
    <w:p>
      <w:pPr>
        <w:rPr>
          <w:rFonts w:ascii="仿宋" w:hAnsi="仿宋" w:eastAsia="仿宋" w:cs="Times New Roman"/>
          <w:bCs/>
          <w:color w:val="auto"/>
          <w:sz w:val="32"/>
          <w:szCs w:val="32"/>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华文中宋">
    <w:altName w:val="宋体"/>
    <w:panose1 w:val="00000000000000000000"/>
    <w:charset w:val="86"/>
    <w:family w:val="auto"/>
    <w:pitch w:val="default"/>
    <w:sig w:usb0="00000000" w:usb1="00000000" w:usb2="00000000" w:usb3="00000000" w:csb0="0004009F" w:csb1="DFD70000"/>
  </w:font>
  <w:font w:name="方正小标宋简体">
    <w:altName w:val="微软雅黑"/>
    <w:panose1 w:val="00000000000000000000"/>
    <w:charset w:val="86"/>
    <w:family w:val="script"/>
    <w:pitch w:val="default"/>
    <w:sig w:usb0="00000000" w:usb1="00000000" w:usb2="00000012" w:usb3="00000000" w:csb0="00040001" w:csb1="00000000"/>
  </w:font>
  <w:font w:name="楷体">
    <w:panose1 w:val="02010609060101010101"/>
    <w:charset w:val="86"/>
    <w:family w:val="modern"/>
    <w:pitch w:val="default"/>
    <w:sig w:usb0="800002BF" w:usb1="38CF7CFA" w:usb2="00000016" w:usb3="00000000" w:csb0="00040001" w:csb1="00000000"/>
  </w:font>
  <w:font w:name="方正楷体简体">
    <w:altName w:val="宋体"/>
    <w:panose1 w:val="00000000000000000000"/>
    <w:charset w:val="86"/>
    <w:family w:val="auto"/>
    <w:pitch w:val="default"/>
    <w:sig w:usb0="00000000" w:usb1="00000000" w:usb2="00000012"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714EA0"/>
    <w:multiLevelType w:val="singleLevel"/>
    <w:tmpl w:val="8E714EA0"/>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ThmNzBkNTZiZGMyNWU2MjFmZjQ2YTEwMjkxMWFhMTEifQ=="/>
  </w:docVars>
  <w:rsids>
    <w:rsidRoot w:val="077D059C"/>
    <w:rsid w:val="00031AE3"/>
    <w:rsid w:val="00032827"/>
    <w:rsid w:val="0003628E"/>
    <w:rsid w:val="00064105"/>
    <w:rsid w:val="000930E8"/>
    <w:rsid w:val="00094B04"/>
    <w:rsid w:val="000B69AB"/>
    <w:rsid w:val="000C06BA"/>
    <w:rsid w:val="000F213A"/>
    <w:rsid w:val="00114469"/>
    <w:rsid w:val="00121C0E"/>
    <w:rsid w:val="001266D6"/>
    <w:rsid w:val="0015166B"/>
    <w:rsid w:val="00161FE4"/>
    <w:rsid w:val="001B2BB7"/>
    <w:rsid w:val="001D2D87"/>
    <w:rsid w:val="001F16BE"/>
    <w:rsid w:val="00215A2F"/>
    <w:rsid w:val="0023217D"/>
    <w:rsid w:val="002332D6"/>
    <w:rsid w:val="00285A2B"/>
    <w:rsid w:val="00285A67"/>
    <w:rsid w:val="00292718"/>
    <w:rsid w:val="002B33B0"/>
    <w:rsid w:val="002C64D8"/>
    <w:rsid w:val="002D7D78"/>
    <w:rsid w:val="002F1909"/>
    <w:rsid w:val="003243B0"/>
    <w:rsid w:val="00334F2A"/>
    <w:rsid w:val="00351339"/>
    <w:rsid w:val="00351B7C"/>
    <w:rsid w:val="00357899"/>
    <w:rsid w:val="003627C2"/>
    <w:rsid w:val="0038074D"/>
    <w:rsid w:val="00382CCC"/>
    <w:rsid w:val="003B0545"/>
    <w:rsid w:val="003B38F2"/>
    <w:rsid w:val="003E6C3C"/>
    <w:rsid w:val="0040128E"/>
    <w:rsid w:val="00411180"/>
    <w:rsid w:val="00416ED7"/>
    <w:rsid w:val="0043400A"/>
    <w:rsid w:val="004354C6"/>
    <w:rsid w:val="0044372A"/>
    <w:rsid w:val="004747A1"/>
    <w:rsid w:val="00480171"/>
    <w:rsid w:val="00492157"/>
    <w:rsid w:val="004978D0"/>
    <w:rsid w:val="004A2F82"/>
    <w:rsid w:val="004A57C6"/>
    <w:rsid w:val="004E42D8"/>
    <w:rsid w:val="004E6602"/>
    <w:rsid w:val="00503F5B"/>
    <w:rsid w:val="005045C2"/>
    <w:rsid w:val="00530D4F"/>
    <w:rsid w:val="005459D8"/>
    <w:rsid w:val="00551905"/>
    <w:rsid w:val="00562D25"/>
    <w:rsid w:val="00575F6F"/>
    <w:rsid w:val="005A357B"/>
    <w:rsid w:val="005B17BA"/>
    <w:rsid w:val="005B5DDF"/>
    <w:rsid w:val="005C40C0"/>
    <w:rsid w:val="006072F3"/>
    <w:rsid w:val="00607E75"/>
    <w:rsid w:val="00640053"/>
    <w:rsid w:val="006621C7"/>
    <w:rsid w:val="00681470"/>
    <w:rsid w:val="00695CB3"/>
    <w:rsid w:val="006A06F4"/>
    <w:rsid w:val="006B1331"/>
    <w:rsid w:val="006B155A"/>
    <w:rsid w:val="006E4E26"/>
    <w:rsid w:val="006F10B3"/>
    <w:rsid w:val="006F3A79"/>
    <w:rsid w:val="006F771C"/>
    <w:rsid w:val="00706F76"/>
    <w:rsid w:val="00716B70"/>
    <w:rsid w:val="00745FAD"/>
    <w:rsid w:val="007B07D2"/>
    <w:rsid w:val="007B1454"/>
    <w:rsid w:val="007D2740"/>
    <w:rsid w:val="00853739"/>
    <w:rsid w:val="00853B21"/>
    <w:rsid w:val="00863FC9"/>
    <w:rsid w:val="00883847"/>
    <w:rsid w:val="008957FF"/>
    <w:rsid w:val="008B1251"/>
    <w:rsid w:val="008B51F4"/>
    <w:rsid w:val="008C030A"/>
    <w:rsid w:val="008C3FD6"/>
    <w:rsid w:val="008F7F32"/>
    <w:rsid w:val="0093103B"/>
    <w:rsid w:val="00944DB3"/>
    <w:rsid w:val="00963AC1"/>
    <w:rsid w:val="00967BDC"/>
    <w:rsid w:val="0097474F"/>
    <w:rsid w:val="00987C00"/>
    <w:rsid w:val="00993D14"/>
    <w:rsid w:val="009A4485"/>
    <w:rsid w:val="009B7014"/>
    <w:rsid w:val="009C6DBF"/>
    <w:rsid w:val="009C796F"/>
    <w:rsid w:val="009F3852"/>
    <w:rsid w:val="009F4953"/>
    <w:rsid w:val="00A126A9"/>
    <w:rsid w:val="00A20A60"/>
    <w:rsid w:val="00A27B85"/>
    <w:rsid w:val="00A31366"/>
    <w:rsid w:val="00A3746B"/>
    <w:rsid w:val="00A5128A"/>
    <w:rsid w:val="00A52F79"/>
    <w:rsid w:val="00A63A7B"/>
    <w:rsid w:val="00A662E5"/>
    <w:rsid w:val="00AD5912"/>
    <w:rsid w:val="00B022E4"/>
    <w:rsid w:val="00B039E5"/>
    <w:rsid w:val="00B0509D"/>
    <w:rsid w:val="00B07C7D"/>
    <w:rsid w:val="00B12EA8"/>
    <w:rsid w:val="00B25AE7"/>
    <w:rsid w:val="00B279DA"/>
    <w:rsid w:val="00B43522"/>
    <w:rsid w:val="00B932F9"/>
    <w:rsid w:val="00BC6838"/>
    <w:rsid w:val="00BD3E7B"/>
    <w:rsid w:val="00BE39EF"/>
    <w:rsid w:val="00BE6315"/>
    <w:rsid w:val="00C259B1"/>
    <w:rsid w:val="00C268B3"/>
    <w:rsid w:val="00C347AA"/>
    <w:rsid w:val="00C4558D"/>
    <w:rsid w:val="00C57279"/>
    <w:rsid w:val="00C675C4"/>
    <w:rsid w:val="00C71999"/>
    <w:rsid w:val="00C740EA"/>
    <w:rsid w:val="00CA3957"/>
    <w:rsid w:val="00CA4D57"/>
    <w:rsid w:val="00CA54F5"/>
    <w:rsid w:val="00CD5CE7"/>
    <w:rsid w:val="00CD5DAB"/>
    <w:rsid w:val="00CF0884"/>
    <w:rsid w:val="00CF196B"/>
    <w:rsid w:val="00CF34F0"/>
    <w:rsid w:val="00CF50E5"/>
    <w:rsid w:val="00D04A77"/>
    <w:rsid w:val="00D11DDC"/>
    <w:rsid w:val="00D52129"/>
    <w:rsid w:val="00DA1586"/>
    <w:rsid w:val="00DB7CB0"/>
    <w:rsid w:val="00DC0678"/>
    <w:rsid w:val="00DD22AD"/>
    <w:rsid w:val="00DD318F"/>
    <w:rsid w:val="00E11E58"/>
    <w:rsid w:val="00E13362"/>
    <w:rsid w:val="00E32742"/>
    <w:rsid w:val="00E37848"/>
    <w:rsid w:val="00E378BC"/>
    <w:rsid w:val="00E50829"/>
    <w:rsid w:val="00E57229"/>
    <w:rsid w:val="00E854A0"/>
    <w:rsid w:val="00EB08A2"/>
    <w:rsid w:val="00ED0C67"/>
    <w:rsid w:val="00ED0E6F"/>
    <w:rsid w:val="00ED25A4"/>
    <w:rsid w:val="00EE085E"/>
    <w:rsid w:val="00EE5C91"/>
    <w:rsid w:val="00EF3361"/>
    <w:rsid w:val="00EF410D"/>
    <w:rsid w:val="00F15416"/>
    <w:rsid w:val="00F15474"/>
    <w:rsid w:val="00F24CC9"/>
    <w:rsid w:val="00F400C8"/>
    <w:rsid w:val="00F40BA7"/>
    <w:rsid w:val="00F52551"/>
    <w:rsid w:val="00F859B3"/>
    <w:rsid w:val="00F86B64"/>
    <w:rsid w:val="00FA3BED"/>
    <w:rsid w:val="00FA5960"/>
    <w:rsid w:val="00FA7944"/>
    <w:rsid w:val="00FB5140"/>
    <w:rsid w:val="00FE15E3"/>
    <w:rsid w:val="010B74EE"/>
    <w:rsid w:val="077D059C"/>
    <w:rsid w:val="085A7547"/>
    <w:rsid w:val="097807C5"/>
    <w:rsid w:val="0A531B8B"/>
    <w:rsid w:val="0E1E463D"/>
    <w:rsid w:val="0E2D1421"/>
    <w:rsid w:val="0F484CBE"/>
    <w:rsid w:val="0F532D2B"/>
    <w:rsid w:val="11970B0A"/>
    <w:rsid w:val="141C6243"/>
    <w:rsid w:val="18D747CA"/>
    <w:rsid w:val="190A1374"/>
    <w:rsid w:val="190B4196"/>
    <w:rsid w:val="1A7D2E72"/>
    <w:rsid w:val="1ACC0302"/>
    <w:rsid w:val="1BEE6D2B"/>
    <w:rsid w:val="1CEF2574"/>
    <w:rsid w:val="227375DB"/>
    <w:rsid w:val="251C4037"/>
    <w:rsid w:val="29F9207F"/>
    <w:rsid w:val="2F187AB3"/>
    <w:rsid w:val="2F2E1EC8"/>
    <w:rsid w:val="30E07F90"/>
    <w:rsid w:val="3455214F"/>
    <w:rsid w:val="353C0AD7"/>
    <w:rsid w:val="3B2B6289"/>
    <w:rsid w:val="3CCA3DC7"/>
    <w:rsid w:val="3D6F1E80"/>
    <w:rsid w:val="4D457C38"/>
    <w:rsid w:val="4E31105E"/>
    <w:rsid w:val="4ECD6109"/>
    <w:rsid w:val="517E1B32"/>
    <w:rsid w:val="51A00EB4"/>
    <w:rsid w:val="54F11C1C"/>
    <w:rsid w:val="555C287A"/>
    <w:rsid w:val="55D03A95"/>
    <w:rsid w:val="599F2F96"/>
    <w:rsid w:val="5D6176A7"/>
    <w:rsid w:val="616E0F8F"/>
    <w:rsid w:val="66540FAC"/>
    <w:rsid w:val="6FE15325"/>
    <w:rsid w:val="70FB5E5C"/>
    <w:rsid w:val="7810477E"/>
    <w:rsid w:val="7B495174"/>
    <w:rsid w:val="7D086F90"/>
    <w:rsid w:val="7F196B2B"/>
    <w:rsid w:val="7F706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semiHidden/>
    <w:unhideWhenUsed/>
    <w:qFormat/>
    <w:uiPriority w:val="99"/>
    <w:pPr>
      <w:jc w:val="left"/>
    </w:pPr>
  </w:style>
  <w:style w:type="paragraph" w:styleId="4">
    <w:name w:val="footer"/>
    <w:basedOn w:val="1"/>
    <w:link w:val="14"/>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spacing w:before="100" w:beforeAutospacing="1" w:after="100" w:afterAutospacing="1"/>
      <w:jc w:val="left"/>
    </w:pPr>
    <w:rPr>
      <w:rFonts w:cs="Times New Roman"/>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0"/>
    <w:rPr>
      <w:b/>
      <w:bCs/>
    </w:rPr>
  </w:style>
  <w:style w:type="character" w:styleId="11">
    <w:name w:val="annotation reference"/>
    <w:basedOn w:val="9"/>
    <w:semiHidden/>
    <w:unhideWhenUsed/>
    <w:qFormat/>
    <w:uiPriority w:val="99"/>
    <w:rPr>
      <w:sz w:val="21"/>
      <w:szCs w:val="21"/>
    </w:rPr>
  </w:style>
  <w:style w:type="paragraph" w:styleId="12">
    <w:name w:val="List Paragraph"/>
    <w:basedOn w:val="1"/>
    <w:qFormat/>
    <w:uiPriority w:val="99"/>
    <w:pPr>
      <w:ind w:firstLine="420" w:firstLineChars="200"/>
    </w:pPr>
  </w:style>
  <w:style w:type="character" w:customStyle="1" w:styleId="13">
    <w:name w:val="页眉 Char"/>
    <w:basedOn w:val="9"/>
    <w:link w:val="5"/>
    <w:qFormat/>
    <w:uiPriority w:val="0"/>
    <w:rPr>
      <w:rFonts w:asciiTheme="minorHAnsi" w:hAnsiTheme="minorHAnsi" w:eastAsiaTheme="minorEastAsia" w:cstheme="minorBidi"/>
      <w:kern w:val="2"/>
      <w:sz w:val="18"/>
      <w:szCs w:val="18"/>
    </w:rPr>
  </w:style>
  <w:style w:type="character" w:customStyle="1" w:styleId="14">
    <w:name w:val="页脚 Char"/>
    <w:basedOn w:val="9"/>
    <w:link w:val="4"/>
    <w:qFormat/>
    <w:uiPriority w:val="0"/>
    <w:rPr>
      <w:rFonts w:asciiTheme="minorHAnsi" w:hAnsiTheme="minorHAnsi" w:eastAsiaTheme="minorEastAsia" w:cstheme="minorBidi"/>
      <w:kern w:val="2"/>
      <w:sz w:val="18"/>
      <w:szCs w:val="18"/>
    </w:rPr>
  </w:style>
  <w:style w:type="paragraph" w:customStyle="1" w:styleId="15">
    <w:name w:val="正文A"/>
    <w:basedOn w:val="1"/>
    <w:qFormat/>
    <w:uiPriority w:val="4"/>
    <w:pPr>
      <w:widowControl/>
      <w:spacing w:line="580" w:lineRule="exact"/>
      <w:ind w:firstLine="640"/>
      <w:jc w:val="left"/>
    </w:pPr>
    <w:rPr>
      <w:rFonts w:ascii="仿宋_GB2312" w:hAnsi="仿宋_GB2312" w:eastAsia="仿宋_GB2312" w:cs="宋体"/>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8678</Words>
  <Characters>9062</Characters>
  <Lines>66</Lines>
  <Paragraphs>18</Paragraphs>
  <TotalTime>210</TotalTime>
  <ScaleCrop>false</ScaleCrop>
  <LinksUpToDate>false</LinksUpToDate>
  <CharactersWithSpaces>9133</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2020-02-09T05:06:00Z</dcterms:created>
  <dc:creator>普天鹏华郭丽娜</dc:creator>
  <cp:lastModifiedBy>Black</cp:lastModifiedBy>
  <dcterms:modified xsi:type="dcterms:W3CDTF">2022-08-31T08:19:04Z</dcterms:modified>
  <cp:revision>167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KSOSaveFontToCloudKey">
    <vt:lpwstr>405071676_stopsync</vt:lpwstr>
  </property>
  <property fmtid="{D5CDD505-2E9C-101B-9397-08002B2CF9AE}" pid="4" name="ICV">
    <vt:lpwstr>B97F772AD34546D294CAEEC88B538755</vt:lpwstr>
  </property>
</Properties>
</file>