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和田市城市管理局</w:t>
      </w:r>
      <w:r>
        <w:rPr>
          <w:rFonts w:hint="eastAsia" w:ascii="方正小标宋_GBK" w:hAnsi="华文中宋" w:eastAsia="方正小标宋_GBK" w:cs="宋体"/>
          <w:b/>
          <w:color w:val="auto"/>
          <w:kern w:val="0"/>
          <w:sz w:val="44"/>
          <w:szCs w:val="44"/>
          <w:highlight w:val="none"/>
        </w:rPr>
        <w:t>单位整体支出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default"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和田市城市管理局</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18</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r>
        <w:rPr>
          <w:rFonts w:hint="eastAsia" w:ascii="仿宋_GB2312" w:hAnsi="仿宋" w:eastAsia="仿宋_GB2312" w:cs="Times New Roman"/>
          <w:bCs/>
          <w:color w:val="auto"/>
          <w:sz w:val="32"/>
          <w:szCs w:val="32"/>
          <w:highlight w:val="none"/>
          <w:lang w:eastAsia="zh-CN"/>
        </w:rPr>
        <w:t>：</w:t>
      </w:r>
      <w:r>
        <w:rPr>
          <w:rFonts w:hint="eastAsia" w:ascii="仿宋_GB2312" w:hAnsi="仿宋_GB2312" w:eastAsia="仿宋_GB2312" w:cs="仿宋_GB2312"/>
          <w:color w:val="auto"/>
          <w:sz w:val="32"/>
          <w:szCs w:val="32"/>
          <w:highlight w:val="none"/>
        </w:rPr>
        <w:t>主要负责城区市政公用设施运行的养护管理;组织编制城区道路年度养护、维修计划并组织实施;负责审查和审批市政设施使用及市政道路挖掘等行政许可项目;负责对未经批准或未按批准要求使用、挖掘、侵占、破坏市政道路和市政公用设施行为的监管;负责对私自占用(含临时占用)市政公用设施和在公用设施上私搭乱建行为的监管.负责全市园林绿化管理工作,组织拟定相关管理标准规范并监督实施。负责编制城市园林绿化发展规划和绿地系统规划;制定城区园林绿化景观发展规划和年度工作计划并组织实施,负责城区园林绿化管理方面砍伐、移植树木、占用绿地的审批;负责对城区未经批准破坏城市园林绿地及附属设施,不按批准要求砍伐、移植树木、占用绿地行为的监管;负责权限内的城市绿化施工企业资质的审核、审批等工作。</w:t>
      </w:r>
    </w:p>
    <w:p>
      <w:pPr>
        <w:ind w:firstLine="640" w:firstLineChars="200"/>
        <w:jc w:val="left"/>
        <w:rPr>
          <w:rFonts w:ascii="仿宋_GB2312" w:hAnsi="仿宋_GB2312" w:eastAsia="仿宋_GB2312" w:cs="仿宋_GB2312"/>
          <w:color w:val="auto"/>
          <w:sz w:val="32"/>
          <w:szCs w:val="32"/>
          <w:highlight w:val="none"/>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r>
        <w:rPr>
          <w:rFonts w:hint="eastAsia" w:ascii="仿宋_GB2312" w:hAnsi="仿宋" w:eastAsia="仿宋_GB2312" w:cs="Times New Roman"/>
          <w:bCs/>
          <w:color w:val="auto"/>
          <w:sz w:val="32"/>
          <w:szCs w:val="32"/>
          <w:highlight w:val="none"/>
          <w:lang w:eastAsia="zh-CN"/>
        </w:rPr>
        <w:t>：</w:t>
      </w:r>
      <w:r>
        <w:rPr>
          <w:rFonts w:hint="eastAsia" w:ascii="仿宋_GB2312" w:hAnsi="仿宋_GB2312" w:eastAsia="仿宋_GB2312" w:cs="仿宋_GB2312"/>
          <w:color w:val="auto"/>
          <w:sz w:val="32"/>
          <w:szCs w:val="32"/>
          <w:highlight w:val="none"/>
        </w:rPr>
        <w:t>和田市城市管理局行政编制</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名,事业编制</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名,其中科级领导职数</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名(正科级</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名、副科级</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名)。机关工勤享业编制</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w:t>
      </w:r>
    </w:p>
    <w:p>
      <w:pPr>
        <w:pStyle w:val="16"/>
        <w:snapToGrid w:val="0"/>
        <w:spacing w:line="540" w:lineRule="exact"/>
        <w:ind w:left="0" w:leftChars="0" w:firstLine="640" w:firstLineChars="200"/>
        <w:rPr>
          <w:rFonts w:hint="eastAsia" w:ascii="仿宋_GB2312" w:hAnsi="仿宋" w:eastAsia="仿宋_GB2312" w:cs="Times New Roman"/>
          <w:bCs/>
          <w:color w:val="auto"/>
          <w:sz w:val="32"/>
          <w:szCs w:val="32"/>
          <w:highlight w:val="none"/>
          <w:lang w:eastAsia="zh-CN"/>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重点工作计划</w:t>
      </w:r>
      <w:r>
        <w:rPr>
          <w:rFonts w:hint="eastAsia" w:ascii="仿宋_GB2312" w:hAnsi="仿宋" w:eastAsia="仿宋_GB2312" w:cs="Times New Roman"/>
          <w:bCs/>
          <w:color w:val="auto"/>
          <w:sz w:val="32"/>
          <w:szCs w:val="32"/>
          <w:highlight w:val="none"/>
          <w:lang w:eastAsia="zh-CN"/>
        </w:rPr>
        <w:t>：</w:t>
      </w:r>
    </w:p>
    <w:p>
      <w:pPr>
        <w:pStyle w:val="16"/>
        <w:snapToGrid w:val="0"/>
        <w:spacing w:line="540" w:lineRule="exact"/>
        <w:ind w:firstLine="640"/>
        <w:rPr>
          <w:rFonts w:hint="eastAsia" w:ascii="仿宋_GB2312" w:hAnsi="仿宋" w:eastAsia="仿宋_GB2312" w:cs="Times New Roman"/>
          <w:bCs/>
          <w:color w:val="auto"/>
          <w:kern w:val="2"/>
          <w:sz w:val="32"/>
          <w:szCs w:val="32"/>
          <w:highlight w:val="none"/>
          <w:lang w:val="en-US" w:eastAsia="zh-CN" w:bidi="ar-SA"/>
        </w:rPr>
      </w:pPr>
      <w:r>
        <w:rPr>
          <w:rFonts w:hint="eastAsia"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kern w:val="2"/>
          <w:sz w:val="32"/>
          <w:szCs w:val="32"/>
          <w:highlight w:val="none"/>
          <w:lang w:val="en-US" w:eastAsia="zh-CN" w:bidi="ar-SA"/>
        </w:rPr>
        <w:t>（1）保障1辆车辆正常运行维护（修）及保险费用和燃油费；</w:t>
      </w:r>
    </w:p>
    <w:p>
      <w:pPr>
        <w:pStyle w:val="16"/>
        <w:snapToGrid w:val="0"/>
        <w:spacing w:line="540" w:lineRule="exact"/>
        <w:ind w:firstLine="640"/>
        <w:rPr>
          <w:rFonts w:hint="eastAsia" w:ascii="仿宋_GB2312" w:hAnsi="仿宋" w:eastAsia="仿宋_GB2312" w:cs="Times New Roman"/>
          <w:bCs/>
          <w:color w:val="auto"/>
          <w:kern w:val="2"/>
          <w:sz w:val="32"/>
          <w:szCs w:val="32"/>
          <w:highlight w:val="none"/>
          <w:lang w:val="en-US" w:eastAsia="zh-CN" w:bidi="ar-SA"/>
        </w:rPr>
      </w:pPr>
      <w:r>
        <w:rPr>
          <w:rFonts w:hint="eastAsia" w:ascii="仿宋_GB2312" w:hAnsi="仿宋" w:eastAsia="仿宋_GB2312" w:cs="Times New Roman"/>
          <w:bCs/>
          <w:color w:val="auto"/>
          <w:kern w:val="2"/>
          <w:sz w:val="32"/>
          <w:szCs w:val="32"/>
          <w:highlight w:val="none"/>
          <w:lang w:val="en-US" w:eastAsia="zh-CN" w:bidi="ar-SA"/>
        </w:rPr>
        <w:t>（2）确保4个科室正常运转；</w:t>
      </w:r>
    </w:p>
    <w:p>
      <w:pPr>
        <w:pStyle w:val="16"/>
        <w:snapToGrid w:val="0"/>
        <w:spacing w:line="540" w:lineRule="exact"/>
        <w:ind w:firstLine="640"/>
        <w:rPr>
          <w:rFonts w:hint="eastAsia" w:ascii="仿宋_GB2312" w:hAnsi="仿宋" w:eastAsia="仿宋_GB2312" w:cs="Times New Roman"/>
          <w:bCs/>
          <w:color w:val="auto"/>
          <w:kern w:val="2"/>
          <w:sz w:val="32"/>
          <w:szCs w:val="32"/>
          <w:highlight w:val="none"/>
          <w:lang w:val="en-US" w:eastAsia="zh-CN" w:bidi="ar-SA"/>
        </w:rPr>
      </w:pPr>
      <w:r>
        <w:rPr>
          <w:rFonts w:hint="eastAsia" w:ascii="仿宋_GB2312" w:hAnsi="仿宋" w:eastAsia="仿宋_GB2312" w:cs="Times New Roman"/>
          <w:bCs/>
          <w:color w:val="auto"/>
          <w:kern w:val="2"/>
          <w:sz w:val="32"/>
          <w:szCs w:val="32"/>
          <w:highlight w:val="none"/>
          <w:lang w:val="en-US" w:eastAsia="zh-CN" w:bidi="ar-SA"/>
        </w:rPr>
        <w:t>（3）确保春节亮化美化；</w:t>
      </w:r>
      <w:bookmarkStart w:id="0" w:name="_GoBack"/>
      <w:bookmarkEnd w:id="0"/>
    </w:p>
    <w:p>
      <w:pPr>
        <w:pStyle w:val="16"/>
        <w:snapToGrid w:val="0"/>
        <w:spacing w:line="540" w:lineRule="exact"/>
        <w:ind w:firstLine="640"/>
        <w:rPr>
          <w:rFonts w:hint="eastAsia" w:ascii="仿宋_GB2312" w:hAnsi="仿宋" w:eastAsia="仿宋_GB2312" w:cs="Times New Roman"/>
          <w:bCs/>
          <w:color w:val="auto"/>
          <w:kern w:val="2"/>
          <w:sz w:val="32"/>
          <w:szCs w:val="32"/>
          <w:highlight w:val="none"/>
          <w:lang w:val="en-US" w:eastAsia="zh-CN" w:bidi="ar-SA"/>
        </w:rPr>
      </w:pPr>
      <w:r>
        <w:rPr>
          <w:rFonts w:hint="eastAsia" w:ascii="仿宋_GB2312" w:hAnsi="仿宋" w:eastAsia="仿宋_GB2312" w:cs="Times New Roman"/>
          <w:bCs/>
          <w:color w:val="auto"/>
          <w:kern w:val="2"/>
          <w:sz w:val="32"/>
          <w:szCs w:val="32"/>
          <w:highlight w:val="none"/>
          <w:lang w:val="en-US" w:eastAsia="zh-CN" w:bidi="ar-SA"/>
        </w:rPr>
        <w:t>（4）确保城市维护管理达到市民满意；</w:t>
      </w:r>
    </w:p>
    <w:p>
      <w:pPr>
        <w:pStyle w:val="16"/>
        <w:snapToGrid w:val="0"/>
        <w:spacing w:line="54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kern w:val="2"/>
          <w:sz w:val="32"/>
          <w:szCs w:val="32"/>
          <w:highlight w:val="none"/>
          <w:lang w:val="en-US" w:eastAsia="zh-CN" w:bidi="ar-SA"/>
        </w:rPr>
        <w:t>（5）为提高居民生活质量、控制环境污染，生活垃圾第一时间处理，并回收再利用。</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hint="eastAsia" w:ascii="仿宋_GB2312" w:hAnsi="仿宋" w:eastAsia="仿宋_GB2312" w:cs="Times New Roman"/>
          <w:bCs/>
          <w:color w:val="auto"/>
          <w:kern w:val="2"/>
          <w:sz w:val="32"/>
          <w:szCs w:val="32"/>
          <w:highlight w:val="none"/>
          <w:lang w:val="en-US" w:eastAsia="zh-CN" w:bidi="ar-SA"/>
        </w:rPr>
      </w:pPr>
      <w:r>
        <w:rPr>
          <w:rFonts w:hint="eastAsia" w:ascii="仿宋_GB2312" w:hAnsi="仿宋" w:eastAsia="仿宋_GB2312" w:cs="Times New Roman"/>
          <w:bCs/>
          <w:color w:val="auto"/>
          <w:kern w:val="2"/>
          <w:sz w:val="32"/>
          <w:szCs w:val="32"/>
          <w:highlight w:val="none"/>
          <w:lang w:val="en-US" w:eastAsia="zh-CN" w:bidi="ar-SA"/>
        </w:rPr>
        <w:t>本单位的项目立项符合相关法规政策及单位职责，依据充分；项目按照规定的程序申请设立；审批文件、材料符合相关要求；项目前期已经经过必要的可行性研究、风险评估、绩效评估、集体决策。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和田市城市管理局</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4924.99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4588.58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93.2</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kern w:val="2"/>
          <w:sz w:val="32"/>
          <w:szCs w:val="32"/>
          <w:highlight w:val="none"/>
          <w:lang w:val="en-US" w:eastAsia="zh-CN" w:bidi="ar-SA"/>
        </w:rPr>
        <w:t>2054.29</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2870.7</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139</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eastAsia="zh-CN"/>
        </w:rPr>
        <w:t>项目增加。</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257.81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257.81</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235.09</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22.72</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11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4607.18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4290.69</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93.1</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1449.36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1426.96</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3157.82</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2863.73</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60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40.08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66.8</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手续费、邮电费、差旅费、维修（护）费、公务用车运行维护费、其他交通费用、税金及附加费用、其他商品和服务支出、办公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和田市城市管理局</w:t>
      </w:r>
      <w:r>
        <w:rPr>
          <w:rFonts w:hint="eastAsia" w:hAnsi="方正楷体简体"/>
          <w:color w:val="auto"/>
          <w:highlight w:val="none"/>
        </w:rPr>
        <w:t>项目支出共涉及</w:t>
      </w:r>
      <w:r>
        <w:rPr>
          <w:rFonts w:hint="eastAsia" w:hAnsi="方正楷体简体"/>
          <w:color w:val="auto"/>
          <w:highlight w:val="none"/>
          <w:lang w:val="en-US" w:eastAsia="zh-CN"/>
        </w:rPr>
        <w:t>12</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生活垃圾焚烧处理费（PPP)</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700万元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春节美化亮化费用</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历年各类工程款</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746.82万元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业务费</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2.54万元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环卫工人慰问费</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101.5万元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红星市场商铺、房屋及观光塔拆除项目</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488.55万元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城市维护费（第一批）</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385.87万元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自治区“访惠聚"为民办实事好事经费</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2021年春季城市亮化、美化材料费用</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28.27万元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城市维护费（第三批）</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776.34万元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和田市机场路景观绿化工程项目（EPC模式项目总承包)</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1100万元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auto"/>
                <w:kern w:val="0"/>
                <w:sz w:val="28"/>
                <w:szCs w:val="28"/>
                <w:highlight w:val="none"/>
                <w:u w:val="none"/>
                <w:lang w:val="en-US" w:eastAsia="zh-CN" w:bidi="ar"/>
              </w:rPr>
              <w:t>垃圾焚烧处理费项目</w:t>
            </w:r>
          </w:p>
        </w:tc>
        <w:tc>
          <w:tcPr>
            <w:tcW w:w="4261"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auto"/>
                <w:kern w:val="0"/>
                <w:sz w:val="28"/>
                <w:szCs w:val="28"/>
                <w:highlight w:val="none"/>
                <w:u w:val="none"/>
                <w:lang w:val="en-US" w:eastAsia="zh-CN" w:bidi="ar"/>
              </w:rPr>
              <w:t>227.29万元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项目资金使用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w:t>
      </w:r>
      <w:r>
        <w:rPr>
          <w:rFonts w:hint="eastAsia" w:ascii="仿宋_GB2312" w:hAnsi="方正楷体简体" w:eastAsia="仿宋_GB2312" w:cs="宋体"/>
          <w:color w:val="auto"/>
          <w:sz w:val="32"/>
          <w:szCs w:val="32"/>
          <w:highlight w:val="none"/>
          <w:lang w:val="en-US" w:eastAsia="zh-CN"/>
        </w:rPr>
        <w:t>无</w:t>
      </w:r>
      <w:r>
        <w:rPr>
          <w:rFonts w:hint="eastAsia" w:ascii="仿宋_GB2312" w:hAnsi="方正楷体简体" w:eastAsia="仿宋_GB2312" w:cs="宋体"/>
          <w:color w:val="auto"/>
          <w:sz w:val="32"/>
          <w:szCs w:val="32"/>
          <w:highlight w:val="none"/>
        </w:rPr>
        <w:t>接待费的报销</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default" w:ascii="仿宋_GB2312" w:hAnsi="方正楷体简体" w:eastAsia="仿宋_GB2312" w:cs="宋体"/>
          <w:color w:val="auto"/>
          <w:sz w:val="32"/>
          <w:szCs w:val="32"/>
          <w:highlight w:val="none"/>
        </w:rPr>
        <w:t>和田市城市管理局</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257.81</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249.2</w:t>
      </w:r>
      <w:r>
        <w:rPr>
          <w:rFonts w:hint="eastAsia" w:ascii="仿宋_GB2312" w:hAnsi="方正楷体简体" w:eastAsia="仿宋_GB2312" w:cs="宋体"/>
          <w:color w:val="auto"/>
          <w:sz w:val="32"/>
          <w:szCs w:val="32"/>
          <w:highlight w:val="none"/>
        </w:rPr>
        <w:t>万元，公用经费</w:t>
      </w:r>
      <w:r>
        <w:rPr>
          <w:rFonts w:hint="default" w:ascii="仿宋_GB2312" w:hAnsi="方正楷体简体" w:eastAsia="仿宋_GB2312" w:cs="宋体"/>
          <w:color w:val="auto"/>
          <w:sz w:val="32"/>
          <w:szCs w:val="32"/>
          <w:highlight w:val="none"/>
        </w:rPr>
        <w:t>8.61</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257.81</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3.34</w:t>
      </w:r>
      <w:r>
        <w:rPr>
          <w:rFonts w:hint="eastAsia" w:ascii="仿宋_GB2312" w:hAnsi="方正楷体简体" w:eastAsia="仿宋_GB2312" w:cs="宋体"/>
          <w:color w:val="auto"/>
          <w:sz w:val="32"/>
          <w:szCs w:val="32"/>
          <w:highlight w:val="none"/>
        </w:rPr>
        <w:t xml:space="preserve">万元。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万元，公务接待费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3.34</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3.34</w:t>
      </w:r>
      <w:r>
        <w:rPr>
          <w:rFonts w:hint="eastAsia" w:ascii="仿宋_GB2312" w:hAnsi="方正楷体简体" w:eastAsia="仿宋_GB2312" w:cs="宋体"/>
          <w:color w:val="auto"/>
          <w:sz w:val="32"/>
          <w:szCs w:val="32"/>
          <w:highlight w:val="none"/>
        </w:rPr>
        <w:t>万元，公务接待费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万元，较20</w:t>
      </w:r>
      <w:r>
        <w:rPr>
          <w:rFonts w:hint="default" w:ascii="仿宋_GB2312" w:hAnsi="方正楷体简体" w:eastAsia="仿宋_GB2312" w:cs="宋体"/>
          <w:color w:val="auto"/>
          <w:sz w:val="32"/>
          <w:szCs w:val="32"/>
          <w:highlight w:val="none"/>
        </w:rPr>
        <w:t>20</w:t>
      </w:r>
      <w:r>
        <w:rPr>
          <w:rFonts w:hint="eastAsia" w:ascii="仿宋_GB2312" w:hAnsi="方正楷体简体" w:eastAsia="仿宋_GB2312" w:cs="宋体"/>
          <w:color w:val="auto"/>
          <w:sz w:val="32"/>
          <w:szCs w:val="32"/>
          <w:highlight w:val="none"/>
        </w:rPr>
        <w:t>年“三公”经费决算</w:t>
      </w:r>
      <w:r>
        <w:rPr>
          <w:rFonts w:hint="eastAsia" w:ascii="仿宋_GB2312" w:hAnsi="方正楷体简体" w:eastAsia="仿宋_GB2312" w:cs="宋体"/>
          <w:color w:val="auto"/>
          <w:sz w:val="32"/>
          <w:szCs w:val="32"/>
          <w:highlight w:val="none"/>
          <w:lang w:val="en-US" w:eastAsia="zh-CN"/>
        </w:rPr>
        <w:t>2.3</w:t>
      </w:r>
      <w:r>
        <w:rPr>
          <w:rFonts w:hint="eastAsia" w:ascii="仿宋_GB2312" w:hAnsi="方正楷体简体" w:eastAsia="仿宋_GB2312" w:cs="宋体"/>
          <w:color w:val="auto"/>
          <w:sz w:val="32"/>
          <w:szCs w:val="32"/>
          <w:highlight w:val="none"/>
        </w:rPr>
        <w:t>万元，上浮</w:t>
      </w:r>
      <w:r>
        <w:rPr>
          <w:rFonts w:hint="eastAsia" w:ascii="仿宋_GB2312" w:hAnsi="方正楷体简体" w:eastAsia="仿宋_GB2312" w:cs="宋体"/>
          <w:color w:val="auto"/>
          <w:sz w:val="32"/>
          <w:szCs w:val="32"/>
          <w:highlight w:val="none"/>
          <w:lang w:val="en-US" w:eastAsia="zh-CN"/>
        </w:rPr>
        <w:t>45.2</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default" w:ascii="仿宋_GB2312" w:hAnsi="方正楷体简体" w:eastAsia="仿宋_GB2312" w:cs="宋体"/>
          <w:color w:val="auto"/>
          <w:sz w:val="32"/>
          <w:szCs w:val="32"/>
          <w:highlight w:val="none"/>
        </w:rPr>
        <w:t>60</w:t>
      </w:r>
      <w:r>
        <w:rPr>
          <w:rFonts w:hint="eastAsia" w:ascii="仿宋_GB2312" w:hAnsi="方正楷体简体" w:eastAsia="仿宋_GB2312" w:cs="宋体"/>
          <w:color w:val="auto"/>
          <w:sz w:val="32"/>
          <w:szCs w:val="32"/>
          <w:highlight w:val="none"/>
        </w:rPr>
        <w:t>万元，实际支出</w:t>
      </w:r>
      <w:r>
        <w:rPr>
          <w:rFonts w:hint="default" w:ascii="仿宋_GB2312" w:hAnsi="方正楷体简体" w:eastAsia="仿宋_GB2312" w:cs="宋体"/>
          <w:color w:val="auto"/>
          <w:sz w:val="32"/>
          <w:szCs w:val="32"/>
          <w:highlight w:val="none"/>
        </w:rPr>
        <w:t>40.08</w:t>
      </w:r>
      <w:r>
        <w:rPr>
          <w:rFonts w:hint="eastAsia" w:ascii="仿宋_GB2312" w:hAnsi="方正楷体简体" w:eastAsia="仿宋_GB2312" w:cs="宋体"/>
          <w:color w:val="auto"/>
          <w:sz w:val="32"/>
          <w:szCs w:val="32"/>
          <w:highlight w:val="none"/>
        </w:rPr>
        <w:t>万元，预算执行率</w:t>
      </w:r>
      <w:r>
        <w:rPr>
          <w:rFonts w:hint="default" w:ascii="仿宋_GB2312" w:hAnsi="方正楷体简体" w:eastAsia="仿宋_GB2312" w:cs="宋体"/>
          <w:color w:val="auto"/>
          <w:sz w:val="32"/>
          <w:szCs w:val="32"/>
          <w:highlight w:val="none"/>
        </w:rPr>
        <w:t>66</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lang w:val="en-US" w:eastAsia="zh-CN"/>
        </w:rPr>
        <w:t>8</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057"/>
        <w:gridCol w:w="1134"/>
        <w:gridCol w:w="1134"/>
        <w:gridCol w:w="2035"/>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自治区“访惠聚"为民办实事好事经费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60万元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40.08万元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66.8%</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其他类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60万元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40.08万元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66.8%</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spacing w:line="560" w:lineRule="exact"/>
        <w:ind w:firstLine="200"/>
        <w:rPr>
          <w:rFonts w:hint="eastAsia" w:ascii="仿宋_GB2312" w:eastAsia="仿宋_GB2312"/>
          <w:color w:val="auto"/>
          <w:sz w:val="32"/>
          <w:szCs w:val="32"/>
          <w:highlight w:val="none"/>
          <w:lang w:eastAsia="zh-CN"/>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r>
        <w:rPr>
          <w:rFonts w:hint="eastAsia" w:ascii="仿宋_GB2312" w:eastAsia="仿宋_GB2312"/>
          <w:color w:val="auto"/>
          <w:sz w:val="32"/>
          <w:szCs w:val="32"/>
          <w:highlight w:val="none"/>
          <w:lang w:eastAsia="zh-CN"/>
        </w:rPr>
        <w:t>未及时申请资金。</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12</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 xml:space="preserve"> 4667.18</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4667.18</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4330.77</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92.8</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12</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92.8</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12</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12</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12</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12</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（3）项目效益性分析</w:t>
      </w:r>
    </w:p>
    <w:p>
      <w:pPr>
        <w:pStyle w:val="16"/>
        <w:snapToGrid w:val="0"/>
        <w:spacing w:line="540" w:lineRule="exact"/>
        <w:ind w:firstLine="64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202</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年度本单位实施1</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个项目，通过项目的实施带来的效益，有效保障单位正常运转，持续为群众提供政府公共服务能力。</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r>
        <w:rPr>
          <w:rFonts w:hint="eastAsia" w:ascii="仿宋" w:hAnsi="仿宋" w:eastAsia="仿宋" w:cs="Times New Roman"/>
          <w:bCs/>
          <w:color w:val="auto"/>
          <w:sz w:val="32"/>
          <w:szCs w:val="32"/>
          <w:highlight w:val="none"/>
        </w:rPr>
        <w:t xml:space="preserve">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8</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19</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19</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100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pStyle w:val="16"/>
        <w:snapToGrid w:val="0"/>
        <w:spacing w:line="54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保障单位干部职工工资正常发放人数，预期指标是14人，实际完成值是14人，指标完成率是100%，达到预期目标。</w:t>
      </w:r>
    </w:p>
    <w:p>
      <w:pPr>
        <w:pStyle w:val="16"/>
        <w:snapToGrid w:val="0"/>
        <w:spacing w:line="54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保障退休人员工资正常发放人数，预期指标是</w:t>
      </w:r>
      <w:r>
        <w:rPr>
          <w:rFonts w:hint="eastAsia" w:ascii="仿宋_GB2312" w:hAnsi="仿宋" w:eastAsia="仿宋_GB2312" w:cs="Times New Roman"/>
          <w:bCs/>
          <w:color w:val="auto"/>
          <w:sz w:val="32"/>
          <w:szCs w:val="32"/>
          <w:highlight w:val="none"/>
          <w:lang w:val="en-US" w:eastAsia="zh-CN"/>
        </w:rPr>
        <w:t>6</w:t>
      </w:r>
      <w:r>
        <w:rPr>
          <w:rFonts w:hint="eastAsia" w:ascii="仿宋_GB2312" w:hAnsi="仿宋" w:eastAsia="仿宋_GB2312" w:cs="Times New Roman"/>
          <w:bCs/>
          <w:color w:val="auto"/>
          <w:sz w:val="32"/>
          <w:szCs w:val="32"/>
          <w:highlight w:val="none"/>
        </w:rPr>
        <w:t>人，实际完成值是</w:t>
      </w:r>
      <w:r>
        <w:rPr>
          <w:rFonts w:hint="eastAsia" w:ascii="仿宋_GB2312" w:hAnsi="仿宋" w:eastAsia="仿宋_GB2312" w:cs="Times New Roman"/>
          <w:bCs/>
          <w:color w:val="auto"/>
          <w:sz w:val="32"/>
          <w:szCs w:val="32"/>
          <w:highlight w:val="none"/>
          <w:lang w:val="en-US" w:eastAsia="zh-CN"/>
        </w:rPr>
        <w:t>6</w:t>
      </w:r>
      <w:r>
        <w:rPr>
          <w:rFonts w:hint="eastAsia" w:ascii="仿宋_GB2312" w:hAnsi="仿宋" w:eastAsia="仿宋_GB2312" w:cs="Times New Roman"/>
          <w:bCs/>
          <w:color w:val="auto"/>
          <w:sz w:val="32"/>
          <w:szCs w:val="32"/>
          <w:highlight w:val="none"/>
        </w:rPr>
        <w:t>人，指标完成率是100%，达到预期目标。</w:t>
      </w:r>
    </w:p>
    <w:p>
      <w:pPr>
        <w:pStyle w:val="16"/>
        <w:snapToGrid w:val="0"/>
        <w:spacing w:line="54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保障运转车辆数，预期指标是1辆，实际完成值是1辆，指标完成率是100%，达到预期目标。</w:t>
      </w:r>
    </w:p>
    <w:p>
      <w:pPr>
        <w:pStyle w:val="16"/>
        <w:snapToGrid w:val="0"/>
        <w:spacing w:line="54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保障部门预算项目数，预期指标是</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rPr>
        <w:t>个，实际完成值是</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rPr>
        <w:t>个，指标完成率是</w:t>
      </w:r>
      <w:r>
        <w:rPr>
          <w:rFonts w:hint="eastAsia" w:ascii="仿宋_GB2312" w:hAnsi="仿宋" w:eastAsia="仿宋_GB2312" w:cs="Times New Roman"/>
          <w:bCs/>
          <w:color w:val="auto"/>
          <w:sz w:val="32"/>
          <w:szCs w:val="32"/>
          <w:highlight w:val="none"/>
          <w:lang w:val="en-US" w:eastAsia="zh-CN"/>
        </w:rPr>
        <w:t>100</w:t>
      </w:r>
      <w:r>
        <w:rPr>
          <w:rFonts w:hint="eastAsia" w:ascii="仿宋_GB2312" w:hAnsi="仿宋" w:eastAsia="仿宋_GB2312" w:cs="Times New Roman"/>
          <w:bCs/>
          <w:color w:val="auto"/>
          <w:sz w:val="32"/>
          <w:szCs w:val="32"/>
          <w:highlight w:val="none"/>
        </w:rPr>
        <w:t>%，达到预期目标。</w:t>
      </w:r>
    </w:p>
    <w:p>
      <w:pPr>
        <w:pStyle w:val="16"/>
        <w:snapToGrid w:val="0"/>
        <w:spacing w:line="540" w:lineRule="exact"/>
        <w:ind w:firstLine="640"/>
        <w:rPr>
          <w:rFonts w:hint="default" w:ascii="仿宋_GB2312" w:hAnsi="仿宋" w:eastAsia="仿宋_GB2312"/>
          <w:color w:val="auto"/>
          <w:sz w:val="32"/>
          <w:szCs w:val="32"/>
          <w:highlight w:val="none"/>
          <w:lang w:val="en-US" w:eastAsia="zh-CN"/>
        </w:rPr>
      </w:pPr>
      <w:r>
        <w:rPr>
          <w:rFonts w:hint="eastAsia" w:ascii="仿宋_GB2312" w:hAnsi="仿宋" w:eastAsia="仿宋_GB2312" w:cs="Times New Roman"/>
          <w:bCs/>
          <w:color w:val="auto"/>
          <w:sz w:val="32"/>
          <w:szCs w:val="32"/>
          <w:highlight w:val="none"/>
        </w:rPr>
        <w:t>数量指标共计</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rPr>
        <w:t>个，完成</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rPr>
        <w:t>个，达到预期目标，数量指标完成。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pStyle w:val="16"/>
        <w:snapToGrid w:val="0"/>
        <w:spacing w:line="54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工资及社保等各项缴费保障发放率，预期指标是100%，实际完成值是100%，指标完成率是100%，达到预期目标。</w:t>
      </w:r>
    </w:p>
    <w:p>
      <w:pPr>
        <w:pStyle w:val="16"/>
        <w:snapToGrid w:val="0"/>
        <w:spacing w:line="540" w:lineRule="exact"/>
        <w:ind w:firstLine="640"/>
        <w:rPr>
          <w:rStyle w:val="10"/>
          <w:rFonts w:ascii="仿宋_GB2312" w:hAnsi="仿宋" w:eastAsia="仿宋_GB2312" w:cs="Times New Roman"/>
          <w:b w:val="0"/>
          <w:color w:val="auto"/>
          <w:sz w:val="32"/>
          <w:szCs w:val="32"/>
          <w:highlight w:val="none"/>
        </w:rPr>
      </w:pPr>
      <w:r>
        <w:rPr>
          <w:rFonts w:hint="eastAsia" w:ascii="仿宋_GB2312" w:hAnsi="仿宋" w:eastAsia="仿宋_GB2312" w:cs="Times New Roman"/>
          <w:bCs/>
          <w:color w:val="auto"/>
          <w:sz w:val="32"/>
          <w:szCs w:val="32"/>
          <w:highlight w:val="none"/>
        </w:rPr>
        <w:t>车辆正常运转率，实际完成值是100%，指标完成率是100%，达到预期目标。</w:t>
      </w:r>
    </w:p>
    <w:p>
      <w:pPr>
        <w:pStyle w:val="16"/>
        <w:snapToGrid w:val="0"/>
        <w:spacing w:line="54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val="en-US" w:eastAsia="zh-CN"/>
        </w:rPr>
        <w:t>工作按期完成率</w:t>
      </w:r>
      <w:r>
        <w:rPr>
          <w:rFonts w:hint="eastAsia" w:ascii="仿宋_GB2312" w:hAnsi="仿宋" w:eastAsia="仿宋_GB2312" w:cs="Times New Roman"/>
          <w:bCs/>
          <w:color w:val="auto"/>
          <w:sz w:val="32"/>
          <w:szCs w:val="32"/>
          <w:highlight w:val="none"/>
        </w:rPr>
        <w:t>，预期指标是100%，实际完成值是100%，指标完成率是100%，达到预期目标。</w:t>
      </w:r>
    </w:p>
    <w:p>
      <w:pPr>
        <w:pStyle w:val="16"/>
        <w:snapToGrid w:val="0"/>
        <w:spacing w:line="540" w:lineRule="exact"/>
        <w:ind w:firstLine="64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质量指标共计3个，完成3个，达到预期目标，质量指标完成。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工资及社保等各项缴费发放及时率，预期指标是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95%，实际完成值是95%，指标完成率是100%，达到预期目标。</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项目完成时间，预期指标是2021年12月，实际完成值是2021年12月，指标完成率是100%，达到预期目标。</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项目完成及时率，预期指标是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95%，实际完成值是95%，指标完成率是100%，达到预期目标。</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时效指标共计3个，完成3个，达到预期目标，时效指标完成。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各项工资、福利、补助费用成本，预期指标是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lang w:val="en-US" w:eastAsia="zh-CN"/>
        </w:rPr>
        <w:t>219.29</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219.29</w:t>
      </w:r>
      <w:r>
        <w:rPr>
          <w:rFonts w:hint="eastAsia" w:ascii="仿宋_GB2312" w:hAnsi="仿宋" w:eastAsia="仿宋_GB2312"/>
          <w:color w:val="auto"/>
          <w:sz w:val="32"/>
          <w:szCs w:val="32"/>
          <w:highlight w:val="none"/>
        </w:rPr>
        <w:t>万元，指标完成率是100%，达到预期目标。</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对个人和家庭补助人均成本，预期指标是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rPr>
        <w:t>7.</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9万元，实际完成值是7.</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9万元，指标完成率是100%，达到预期目标。</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正常运转支出成本，预期指标是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rPr>
        <w:t>8.</w:t>
      </w:r>
      <w:r>
        <w:rPr>
          <w:rFonts w:hint="eastAsia" w:ascii="仿宋_GB2312" w:hAnsi="仿宋" w:eastAsia="仿宋_GB2312"/>
          <w:color w:val="auto"/>
          <w:sz w:val="32"/>
          <w:szCs w:val="32"/>
          <w:highlight w:val="none"/>
          <w:lang w:val="en-US" w:eastAsia="zh-CN"/>
        </w:rPr>
        <w:t>61</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8.61</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pStyle w:val="16"/>
        <w:snapToGrid w:val="0"/>
        <w:spacing w:line="540" w:lineRule="exact"/>
        <w:ind w:firstLine="64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预算项目成本，预期指标是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lang w:val="en-US" w:eastAsia="zh-CN"/>
        </w:rPr>
        <w:t>1449.36</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1426.96万元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pStyle w:val="16"/>
        <w:snapToGrid w:val="0"/>
        <w:spacing w:line="540" w:lineRule="exact"/>
        <w:ind w:firstLine="64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成本指标共计4个，完成</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，成本指标完成。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24" w:firstLineChars="200"/>
        <w:rPr>
          <w:rFonts w:hint="eastAsia" w:ascii="仿宋_GB2312" w:eastAsia="仿宋_GB2312"/>
          <w:color w:val="auto"/>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控制环境污染，预期指标是有效控制，实际完成值是有效控制，指标完成率是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生态效益指标共计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28"/>
          <w:highlight w:val="none"/>
        </w:rPr>
        <w:t>生态效益指标完成。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持续为群众提供政府公共服务能力，预期指标是长期，实际完成值是长期，指标完成率是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按计划完成项目实施，已做满意度调查问卷，具体如下：</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干部职工满意度，预期指标是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95%，实际完成值是95%，指标完成率是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受益群众满意，预期指标是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95%，实际完成值是95%，指标完成率是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pStyle w:val="16"/>
        <w:snapToGrid w:val="0"/>
        <w:spacing w:line="540" w:lineRule="exact"/>
        <w:ind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满意度指标共计2个，完成2个，达到预期目标，服务对象满意度指标完成。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olor w:val="auto"/>
          <w:sz w:val="32"/>
          <w:szCs w:val="32"/>
          <w:highlight w:val="none"/>
        </w:rPr>
        <w:t>单位年度任务在预算资金额度内完成，并通过规范的招投标及严格的资金管理及项目管理及其他创新的管理措施实现了资金的节约。三公经费在预算范围内开支，开支范围较上年的变化，有节约</w:t>
      </w:r>
      <w:r>
        <w:rPr>
          <w:rFonts w:hint="eastAsia" w:ascii="仿宋_GB2312" w:hAnsi="仿宋" w:eastAsia="仿宋_GB2312" w:cs="仿宋"/>
          <w:color w:val="auto"/>
          <w:spacing w:val="-4"/>
          <w:sz w:val="32"/>
          <w:szCs w:val="32"/>
          <w:highlight w:val="none"/>
        </w:rPr>
        <w:t>。</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w:t>
      </w:r>
      <w:r>
        <w:rPr>
          <w:rFonts w:hint="eastAsia" w:ascii="仿宋_GB2312" w:hAnsi="仿宋" w:eastAsia="仿宋_GB2312"/>
          <w:color w:val="auto"/>
          <w:sz w:val="32"/>
          <w:szCs w:val="32"/>
          <w:highlight w:val="none"/>
        </w:rPr>
        <w:t>各项工作计划是按预期计划按时完成，效益按预期时间产生。</w:t>
      </w:r>
      <w:r>
        <w:rPr>
          <w:rFonts w:hint="eastAsia" w:ascii="仿宋_GB2312" w:hAnsi="仿宋" w:eastAsia="仿宋_GB2312" w:cs="仿宋"/>
          <w:color w:val="auto"/>
          <w:spacing w:val="-4"/>
          <w:sz w:val="32"/>
          <w:szCs w:val="32"/>
          <w:highlight w:val="none"/>
        </w:rPr>
        <w:t>。</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w:t>
      </w:r>
      <w:r>
        <w:rPr>
          <w:rFonts w:hint="eastAsia" w:ascii="仿宋_GB2312" w:hAnsi="仿宋" w:eastAsia="仿宋_GB2312"/>
          <w:color w:val="auto"/>
          <w:sz w:val="32"/>
          <w:szCs w:val="32"/>
          <w:highlight w:val="none"/>
        </w:rPr>
        <w:t>预期的社会效益、可持续的影响产生，干部职工满意度95%，受益群众满意度95%。</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由于项目支出指标资金有结余导致出现偏差，现已上缴财政。对项目资金使用方面前期预算不够精准，实际支出数小于预算申报数，出现项目资金结余的情况。</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1EA0118"/>
    <w:rsid w:val="04904FA7"/>
    <w:rsid w:val="0673692E"/>
    <w:rsid w:val="077D059C"/>
    <w:rsid w:val="085A7547"/>
    <w:rsid w:val="097807C5"/>
    <w:rsid w:val="0A531B8B"/>
    <w:rsid w:val="0A7B522D"/>
    <w:rsid w:val="0E2D1421"/>
    <w:rsid w:val="0F484CBE"/>
    <w:rsid w:val="11292A0B"/>
    <w:rsid w:val="11970B0A"/>
    <w:rsid w:val="141C6243"/>
    <w:rsid w:val="143B0D52"/>
    <w:rsid w:val="18DB1B2B"/>
    <w:rsid w:val="190C1537"/>
    <w:rsid w:val="1A7D2E72"/>
    <w:rsid w:val="1ACC0302"/>
    <w:rsid w:val="1CEF2574"/>
    <w:rsid w:val="1F70689E"/>
    <w:rsid w:val="227375DB"/>
    <w:rsid w:val="254A2AF8"/>
    <w:rsid w:val="28E76FDC"/>
    <w:rsid w:val="29F9207F"/>
    <w:rsid w:val="2F187AB3"/>
    <w:rsid w:val="2F2E1EC8"/>
    <w:rsid w:val="30E07F90"/>
    <w:rsid w:val="3455214F"/>
    <w:rsid w:val="353C0AD7"/>
    <w:rsid w:val="36A560EA"/>
    <w:rsid w:val="3B2B6289"/>
    <w:rsid w:val="3CCA3DC7"/>
    <w:rsid w:val="3F1B1DE0"/>
    <w:rsid w:val="42F9063E"/>
    <w:rsid w:val="4D457C38"/>
    <w:rsid w:val="4E31105E"/>
    <w:rsid w:val="4ECD6109"/>
    <w:rsid w:val="517E1B32"/>
    <w:rsid w:val="51E63A25"/>
    <w:rsid w:val="555C287A"/>
    <w:rsid w:val="55D03A95"/>
    <w:rsid w:val="56843EE6"/>
    <w:rsid w:val="599F2F96"/>
    <w:rsid w:val="5B073BB0"/>
    <w:rsid w:val="5D6176A7"/>
    <w:rsid w:val="616E0F8F"/>
    <w:rsid w:val="63DC6A36"/>
    <w:rsid w:val="63F978F9"/>
    <w:rsid w:val="66540FAC"/>
    <w:rsid w:val="66FC65D6"/>
    <w:rsid w:val="68D66149"/>
    <w:rsid w:val="6E886415"/>
    <w:rsid w:val="6FE15325"/>
    <w:rsid w:val="7810477E"/>
    <w:rsid w:val="7D086F90"/>
    <w:rsid w:val="7F282EA6"/>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7220</Words>
  <Characters>7667</Characters>
  <Lines>58</Lines>
  <Paragraphs>16</Paragraphs>
  <TotalTime>5</TotalTime>
  <ScaleCrop>false</ScaleCrop>
  <LinksUpToDate>false</LinksUpToDate>
  <CharactersWithSpaces>7689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2022-08-30T10:33:47Z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