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bCs/>
          <w:sz w:val="28"/>
          <w:szCs w:val="32"/>
        </w:rPr>
      </w:pPr>
      <w:r>
        <w:rPr>
          <w:rFonts w:hint="eastAsia"/>
          <w:b/>
          <w:bCs/>
          <w:sz w:val="28"/>
          <w:szCs w:val="32"/>
        </w:rPr>
        <w:t>附件1：</w:t>
      </w:r>
    </w:p>
    <w:p>
      <w:pPr>
        <w:pStyle w:val="9"/>
        <w:numPr>
          <w:ilvl w:val="0"/>
          <w:numId w:val="1"/>
        </w:numPr>
        <w:spacing w:line="360" w:lineRule="auto"/>
        <w:ind w:firstLineChars="0"/>
        <w:jc w:val="left"/>
        <w:rPr>
          <w:rFonts w:hint="eastAsia" w:ascii="黑体" w:hAnsi="黑体" w:eastAsia="黑体" w:cs="黑体"/>
          <w:sz w:val="28"/>
          <w:szCs w:val="32"/>
        </w:rPr>
      </w:pPr>
      <w:r>
        <w:rPr>
          <w:rFonts w:hint="eastAsia" w:ascii="黑体" w:hAnsi="黑体" w:eastAsia="黑体" w:cs="黑体"/>
          <w:sz w:val="28"/>
          <w:szCs w:val="32"/>
        </w:rPr>
        <w:t>基准地价内涵</w:t>
      </w:r>
    </w:p>
    <w:p>
      <w:pPr>
        <w:pStyle w:val="10"/>
        <w:spacing w:before="0" w:after="0"/>
        <w:ind w:left="72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表</w:t>
      </w:r>
      <w:r>
        <w:rPr>
          <w:rFonts w:asciiTheme="minorEastAsia" w:hAnsiTheme="minorEastAsia" w:eastAsiaTheme="minorEastAsia"/>
          <w:kern w:val="0"/>
          <w:sz w:val="22"/>
          <w:szCs w:val="22"/>
        </w:rPr>
        <w:t>1</w:t>
      </w:r>
      <w:r>
        <w:rPr>
          <w:rFonts w:hint="eastAsia" w:asciiTheme="minorEastAsia" w:hAnsiTheme="minorEastAsia" w:eastAsiaTheme="minorEastAsia"/>
          <w:kern w:val="0"/>
          <w:sz w:val="22"/>
          <w:szCs w:val="22"/>
        </w:rPr>
        <w:t xml:space="preserve"> 和田市各用途基准地价内涵表</w:t>
      </w:r>
    </w:p>
    <w:tbl>
      <w:tblPr>
        <w:tblStyle w:val="5"/>
        <w:tblW w:w="8522" w:type="dxa"/>
        <w:tblInd w:w="0" w:type="dxa"/>
        <w:tblLayout w:type="fixed"/>
        <w:tblCellMar>
          <w:top w:w="0" w:type="dxa"/>
          <w:left w:w="108" w:type="dxa"/>
          <w:bottom w:w="0" w:type="dxa"/>
          <w:right w:w="108" w:type="dxa"/>
        </w:tblCellMar>
      </w:tblPr>
      <w:tblGrid>
        <w:gridCol w:w="1384"/>
        <w:gridCol w:w="2277"/>
        <w:gridCol w:w="2368"/>
        <w:gridCol w:w="2493"/>
      </w:tblGrid>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内涵</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集体商服用地</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集体住宅用地</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集体工业用地</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估价期日</w:t>
            </w:r>
          </w:p>
        </w:tc>
        <w:tc>
          <w:tcPr>
            <w:tcW w:w="7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2020年12月31日</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设定产权状况</w:t>
            </w:r>
          </w:p>
        </w:tc>
        <w:tc>
          <w:tcPr>
            <w:tcW w:w="7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在符合规划和用途管制前提下，土地所有者和使用者分别取得合法集体土地所有权证和使用权证情况下的集体建设用地使用权出让价格，在土地权利状况上无他项权利限制。</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土地开发程度</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四通一平</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四通一平</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四通一平</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设定容积率</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0.5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0.5</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0.5</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土地使用年限</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40年</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70年</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50年</w:t>
            </w:r>
          </w:p>
        </w:tc>
      </w:tr>
      <w:tr>
        <w:tblPrEx>
          <w:tblLayout w:type="fixed"/>
          <w:tblCellMar>
            <w:top w:w="0" w:type="dxa"/>
            <w:left w:w="108" w:type="dxa"/>
            <w:bottom w:w="0" w:type="dxa"/>
            <w:right w:w="108" w:type="dxa"/>
          </w:tblCellMar>
        </w:tblPrEx>
        <w:trPr>
          <w:trHeight w:val="288"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价格类型</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平均楼面地价</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平均楼面地价</w:t>
            </w:r>
          </w:p>
        </w:tc>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地面地价</w:t>
            </w:r>
          </w:p>
        </w:tc>
      </w:tr>
      <w:tr>
        <w:tblPrEx>
          <w:tblLayout w:type="fixed"/>
          <w:tblCellMar>
            <w:top w:w="0" w:type="dxa"/>
            <w:left w:w="108" w:type="dxa"/>
            <w:bottom w:w="0" w:type="dxa"/>
            <w:right w:w="108" w:type="dxa"/>
          </w:tblCellMar>
        </w:tblPrEx>
        <w:trPr>
          <w:trHeight w:val="811"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备注说明</w:t>
            </w:r>
          </w:p>
        </w:tc>
        <w:tc>
          <w:tcPr>
            <w:tcW w:w="7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1.集体住宅用地主要指用于村镇社区公寓、建于集体土地上的保障性住房及集体租赁住房；</w:t>
            </w:r>
            <w:r>
              <w:rPr>
                <w:rFonts w:hint="eastAsia" w:ascii="仿宋_GB2312" w:hAnsi="仿宋_GB2312" w:eastAsia="仿宋_GB2312" w:cs="仿宋_GB2312"/>
                <w:color w:val="000000"/>
                <w:sz w:val="20"/>
                <w:szCs w:val="20"/>
                <w:lang w:bidi="ar"/>
              </w:rPr>
              <w:br w:type="textWrapping"/>
            </w:r>
            <w:r>
              <w:rPr>
                <w:rFonts w:hint="eastAsia" w:ascii="仿宋_GB2312" w:hAnsi="仿宋_GB2312" w:eastAsia="仿宋_GB2312" w:cs="仿宋_GB2312"/>
                <w:color w:val="000000"/>
                <w:sz w:val="20"/>
                <w:szCs w:val="20"/>
                <w:lang w:bidi="ar"/>
              </w:rPr>
              <w:t>2.“四通一平”指通上水，通电，通讯，通路及宗地场平；</w:t>
            </w:r>
            <w:r>
              <w:rPr>
                <w:rFonts w:hint="eastAsia" w:ascii="仿宋_GB2312" w:hAnsi="仿宋_GB2312" w:eastAsia="仿宋_GB2312" w:cs="仿宋_GB2312"/>
                <w:color w:val="000000"/>
                <w:sz w:val="20"/>
                <w:szCs w:val="20"/>
                <w:lang w:bidi="ar"/>
              </w:rPr>
              <w:br w:type="textWrapping"/>
            </w:r>
            <w:r>
              <w:rPr>
                <w:rFonts w:hint="eastAsia" w:ascii="仿宋_GB2312" w:hAnsi="仿宋_GB2312" w:eastAsia="仿宋_GB2312" w:cs="仿宋_GB2312"/>
                <w:color w:val="000000"/>
                <w:sz w:val="20"/>
                <w:szCs w:val="20"/>
                <w:lang w:bidi="ar"/>
              </w:rPr>
              <w:t>3.各用途集体建设用地的价格为设定内涵条件下的价格，非现状条件下的价格。</w:t>
            </w:r>
          </w:p>
        </w:tc>
      </w:tr>
    </w:tbl>
    <w:p>
      <w:pPr>
        <w:pStyle w:val="9"/>
        <w:numPr>
          <w:ilvl w:val="0"/>
          <w:numId w:val="1"/>
        </w:numPr>
        <w:spacing w:line="360" w:lineRule="auto"/>
        <w:ind w:firstLineChars="0"/>
        <w:jc w:val="left"/>
        <w:rPr>
          <w:rFonts w:hint="eastAsia" w:ascii="黑体" w:hAnsi="黑体" w:eastAsia="黑体" w:cs="黑体"/>
          <w:sz w:val="28"/>
          <w:szCs w:val="32"/>
        </w:rPr>
      </w:pPr>
      <w:r>
        <w:rPr>
          <w:rFonts w:hint="eastAsia" w:ascii="黑体" w:hAnsi="黑体" w:eastAsia="黑体" w:cs="黑体"/>
          <w:sz w:val="28"/>
          <w:szCs w:val="32"/>
        </w:rPr>
        <w:t>基准地价范围</w:t>
      </w:r>
    </w:p>
    <w:p>
      <w:pPr>
        <w:pStyle w:val="13"/>
        <w:ind w:firstLine="565" w:firstLineChars="211"/>
        <w:rPr>
          <w:rFonts w:hint="eastAsia" w:ascii="仿宋_GB2312" w:hAnsi="仿宋_GB2312" w:eastAsia="仿宋_GB2312" w:cs="仿宋_GB2312"/>
        </w:rPr>
      </w:pPr>
      <w:r>
        <w:rPr>
          <w:rFonts w:hint="eastAsia" w:ascii="仿宋_GB2312" w:hAnsi="仿宋_GB2312" w:eastAsia="仿宋_GB2312" w:cs="仿宋_GB2312"/>
        </w:rPr>
        <w:t>Ⅰ级地主要位于拉斯奎镇、玉龙喀什镇、肖尔巴格乡、古江巴格乡、伊里其乡、吉亚乡，拉斯奎镇。</w:t>
      </w:r>
    </w:p>
    <w:p>
      <w:pPr>
        <w:pStyle w:val="13"/>
        <w:ind w:firstLine="565" w:firstLineChars="211"/>
        <w:rPr>
          <w:rFonts w:hint="eastAsia" w:ascii="仿宋_GB2312" w:hAnsi="仿宋_GB2312" w:eastAsia="仿宋_GB2312" w:cs="仿宋_GB2312"/>
        </w:rPr>
      </w:pPr>
      <w:r>
        <w:rPr>
          <w:rFonts w:hint="eastAsia" w:ascii="仿宋_GB2312" w:hAnsi="仿宋_GB2312" w:eastAsia="仿宋_GB2312" w:cs="仿宋_GB2312"/>
        </w:rPr>
        <w:t>Ⅱ级地主要包括吐沙拉镇大部分域及拉斯奎镇、</w:t>
      </w:r>
      <w:bookmarkStart w:id="0" w:name="_GoBack"/>
      <w:bookmarkEnd w:id="0"/>
      <w:r>
        <w:rPr>
          <w:rFonts w:hint="eastAsia" w:ascii="仿宋_GB2312" w:hAnsi="仿宋_GB2312" w:eastAsia="仿宋_GB2312" w:cs="仿宋_GB2312"/>
        </w:rPr>
        <w:t>吉亚乡部分区域。</w:t>
      </w:r>
    </w:p>
    <w:p>
      <w:pPr>
        <w:pStyle w:val="13"/>
        <w:ind w:firstLine="565" w:firstLineChars="211"/>
        <w:rPr>
          <w:rFonts w:hint="eastAsia" w:ascii="仿宋_GB2312" w:hAnsi="仿宋_GB2312" w:eastAsia="仿宋_GB2312" w:cs="仿宋_GB2312"/>
        </w:rPr>
      </w:pPr>
      <w:r>
        <w:rPr>
          <w:rFonts w:hint="eastAsia" w:ascii="仿宋_GB2312" w:hAnsi="仿宋_GB2312" w:eastAsia="仿宋_GB2312" w:cs="仿宋_GB2312"/>
        </w:rPr>
        <w:t>Ⅲ级地为阿克恰勒乡全域</w:t>
      </w:r>
      <w:r>
        <w:rPr>
          <w:rFonts w:hint="eastAsia" w:ascii="仿宋_GB2312" w:hAnsi="仿宋_GB2312" w:eastAsia="仿宋_GB2312" w:cs="仿宋_GB2312"/>
          <w:szCs w:val="21"/>
        </w:rPr>
        <w:t>。</w:t>
      </w:r>
    </w:p>
    <w:p>
      <w:pPr>
        <w:pStyle w:val="9"/>
        <w:numPr>
          <w:ilvl w:val="0"/>
          <w:numId w:val="1"/>
        </w:numPr>
        <w:spacing w:line="360" w:lineRule="auto"/>
        <w:ind w:firstLineChars="0"/>
        <w:jc w:val="left"/>
        <w:rPr>
          <w:rFonts w:hint="eastAsia" w:ascii="黑体" w:hAnsi="黑体" w:eastAsia="黑体" w:cs="黑体"/>
          <w:sz w:val="28"/>
          <w:szCs w:val="32"/>
        </w:rPr>
      </w:pPr>
      <w:r>
        <w:rPr>
          <w:rFonts w:hint="eastAsia" w:ascii="黑体" w:hAnsi="黑体" w:eastAsia="黑体" w:cs="黑体"/>
          <w:sz w:val="28"/>
          <w:szCs w:val="32"/>
        </w:rPr>
        <w:t>基准地价价格</w:t>
      </w:r>
    </w:p>
    <w:p>
      <w:pPr>
        <w:pStyle w:val="10"/>
        <w:spacing w:before="0" w:after="0" w:line="240" w:lineRule="auto"/>
        <w:ind w:left="720"/>
        <w:rPr>
          <w:sz w:val="22"/>
          <w:szCs w:val="22"/>
        </w:rPr>
      </w:pPr>
      <w:r>
        <w:rPr>
          <w:rFonts w:hint="eastAsia"/>
          <w:sz w:val="22"/>
          <w:szCs w:val="22"/>
        </w:rPr>
        <w:t>表</w:t>
      </w:r>
      <w:r>
        <w:rPr>
          <w:sz w:val="22"/>
          <w:szCs w:val="22"/>
        </w:rPr>
        <w:t>2</w:t>
      </w:r>
      <w:r>
        <w:rPr>
          <w:rFonts w:hint="eastAsia"/>
          <w:sz w:val="22"/>
          <w:szCs w:val="22"/>
        </w:rPr>
        <w:t xml:space="preserve"> 和田市各类用地级别样点平均地价结果表</w:t>
      </w:r>
    </w:p>
    <w:p>
      <w:pPr>
        <w:pStyle w:val="2"/>
        <w:ind w:left="720" w:right="89"/>
        <w:jc w:val="right"/>
        <w:rPr>
          <w:rFonts w:ascii="宋体" w:hAnsi="宋体" w:eastAsia="宋体" w:cs="宋体"/>
          <w:spacing w:val="-1"/>
          <w:sz w:val="18"/>
          <w:szCs w:val="18"/>
          <w:lang w:val="en-US"/>
        </w:rPr>
      </w:pPr>
      <w:r>
        <w:rPr>
          <w:rFonts w:hint="eastAsia" w:ascii="宋体" w:hAnsi="宋体" w:eastAsia="宋体" w:cs="宋体"/>
          <w:spacing w:val="-1"/>
          <w:sz w:val="18"/>
          <w:szCs w:val="18"/>
          <w:lang w:val="en-US"/>
        </w:rPr>
        <w:t>单位：元/㎡</w:t>
      </w:r>
    </w:p>
    <w:tbl>
      <w:tblPr>
        <w:tblStyle w:val="5"/>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389"/>
        <w:gridCol w:w="2287"/>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2"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类别</w:t>
            </w:r>
          </w:p>
        </w:tc>
        <w:tc>
          <w:tcPr>
            <w:tcW w:w="6823" w:type="dxa"/>
            <w:gridSpan w:val="3"/>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2"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p>
        </w:tc>
        <w:tc>
          <w:tcPr>
            <w:tcW w:w="2389"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Ⅰ级</w:t>
            </w:r>
          </w:p>
        </w:tc>
        <w:tc>
          <w:tcPr>
            <w:tcW w:w="228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Ⅱ级</w:t>
            </w:r>
          </w:p>
        </w:tc>
        <w:tc>
          <w:tcPr>
            <w:tcW w:w="214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Ⅲ</w:t>
            </w:r>
            <w:r>
              <w:rPr>
                <w:rFonts w:hint="eastAsia" w:ascii="仿宋_GB2312" w:hAnsi="仿宋_GB2312" w:eastAsia="仿宋_GB2312" w:cs="仿宋_GB2312"/>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2"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集体商服用地</w:t>
            </w:r>
          </w:p>
        </w:tc>
        <w:tc>
          <w:tcPr>
            <w:tcW w:w="2389"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175</w:t>
            </w:r>
          </w:p>
        </w:tc>
        <w:tc>
          <w:tcPr>
            <w:tcW w:w="228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130</w:t>
            </w:r>
          </w:p>
        </w:tc>
        <w:tc>
          <w:tcPr>
            <w:tcW w:w="214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2"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集体住宅用地</w:t>
            </w:r>
          </w:p>
        </w:tc>
        <w:tc>
          <w:tcPr>
            <w:tcW w:w="2389"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140</w:t>
            </w:r>
          </w:p>
        </w:tc>
        <w:tc>
          <w:tcPr>
            <w:tcW w:w="228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105</w:t>
            </w:r>
          </w:p>
        </w:tc>
        <w:tc>
          <w:tcPr>
            <w:tcW w:w="214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2"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集体工业用地</w:t>
            </w:r>
          </w:p>
        </w:tc>
        <w:tc>
          <w:tcPr>
            <w:tcW w:w="2389"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95</w:t>
            </w:r>
          </w:p>
        </w:tc>
        <w:tc>
          <w:tcPr>
            <w:tcW w:w="228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80</w:t>
            </w:r>
          </w:p>
        </w:tc>
        <w:tc>
          <w:tcPr>
            <w:tcW w:w="2147" w:type="dxa"/>
            <w:shd w:val="clear" w:color="auto" w:fill="auto"/>
            <w:vAlign w:val="center"/>
          </w:tcPr>
          <w:p>
            <w:pPr>
              <w:widowControl/>
              <w:jc w:val="center"/>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60</w:t>
            </w:r>
          </w:p>
        </w:tc>
      </w:tr>
    </w:tbl>
    <w:p>
      <w:pPr>
        <w:spacing w:line="360" w:lineRule="auto"/>
        <w:jc w:val="left"/>
        <w:rPr>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7E0E"/>
    <w:multiLevelType w:val="multilevel"/>
    <w:tmpl w:val="33527E0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87"/>
    <w:rsid w:val="00011D9E"/>
    <w:rsid w:val="000E704F"/>
    <w:rsid w:val="000E7B68"/>
    <w:rsid w:val="001005FB"/>
    <w:rsid w:val="0011166F"/>
    <w:rsid w:val="00111FE9"/>
    <w:rsid w:val="001635A7"/>
    <w:rsid w:val="001B2B69"/>
    <w:rsid w:val="001C1346"/>
    <w:rsid w:val="00246947"/>
    <w:rsid w:val="002E5438"/>
    <w:rsid w:val="003167CD"/>
    <w:rsid w:val="003211BC"/>
    <w:rsid w:val="00364777"/>
    <w:rsid w:val="00416865"/>
    <w:rsid w:val="004723AA"/>
    <w:rsid w:val="00516C5B"/>
    <w:rsid w:val="0056420E"/>
    <w:rsid w:val="0060784E"/>
    <w:rsid w:val="00640F42"/>
    <w:rsid w:val="00670271"/>
    <w:rsid w:val="00786FA9"/>
    <w:rsid w:val="007E7BA3"/>
    <w:rsid w:val="009142C2"/>
    <w:rsid w:val="00965602"/>
    <w:rsid w:val="00A54687"/>
    <w:rsid w:val="00A562C6"/>
    <w:rsid w:val="00A66092"/>
    <w:rsid w:val="00B23C6F"/>
    <w:rsid w:val="00C15643"/>
    <w:rsid w:val="00C16665"/>
    <w:rsid w:val="00E72EB3"/>
    <w:rsid w:val="00E76BF3"/>
    <w:rsid w:val="00F92F67"/>
    <w:rsid w:val="00FA0EED"/>
    <w:rsid w:val="00FF49E8"/>
    <w:rsid w:val="3143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仿宋" w:hAnsi="仿宋" w:eastAsia="仿宋" w:cs="仿宋"/>
      <w:kern w:val="0"/>
      <w:sz w:val="24"/>
      <w:szCs w:val="24"/>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00表头"/>
    <w:basedOn w:val="1"/>
    <w:link w:val="12"/>
    <w:qFormat/>
    <w:uiPriority w:val="1"/>
    <w:pPr>
      <w:autoSpaceDE w:val="0"/>
      <w:autoSpaceDN w:val="0"/>
      <w:spacing w:before="161" w:after="120" w:line="360" w:lineRule="auto"/>
      <w:ind w:left="220"/>
      <w:jc w:val="center"/>
    </w:pPr>
    <w:rPr>
      <w:rFonts w:ascii="宋体" w:hAnsi="宋体" w:eastAsia="宋体" w:cs="宋体"/>
      <w:b/>
      <w:spacing w:val="20"/>
      <w:szCs w:val="21"/>
      <w:lang w:bidi="zh-CN"/>
    </w:rPr>
  </w:style>
  <w:style w:type="character" w:customStyle="1" w:styleId="11">
    <w:name w:val="正文文本 字符"/>
    <w:basedOn w:val="6"/>
    <w:link w:val="2"/>
    <w:qFormat/>
    <w:uiPriority w:val="1"/>
    <w:rPr>
      <w:rFonts w:ascii="仿宋" w:hAnsi="仿宋" w:eastAsia="仿宋" w:cs="仿宋"/>
      <w:kern w:val="0"/>
      <w:sz w:val="24"/>
      <w:szCs w:val="24"/>
      <w:lang w:val="zh-CN" w:bidi="zh-CN"/>
    </w:rPr>
  </w:style>
  <w:style w:type="character" w:customStyle="1" w:styleId="12">
    <w:name w:val="00表头 字符"/>
    <w:basedOn w:val="6"/>
    <w:link w:val="10"/>
    <w:qFormat/>
    <w:uiPriority w:val="1"/>
    <w:rPr>
      <w:rFonts w:ascii="宋体" w:hAnsi="宋体" w:eastAsia="宋体" w:cs="宋体"/>
      <w:b/>
      <w:spacing w:val="20"/>
      <w:szCs w:val="21"/>
      <w:lang w:bidi="zh-CN"/>
    </w:rPr>
  </w:style>
  <w:style w:type="paragraph" w:customStyle="1" w:styleId="13">
    <w:name w:val="00正文文本"/>
    <w:basedOn w:val="1"/>
    <w:link w:val="14"/>
    <w:qFormat/>
    <w:uiPriority w:val="1"/>
    <w:pPr>
      <w:spacing w:line="360" w:lineRule="auto"/>
      <w:ind w:firstLine="536" w:firstLineChars="200"/>
    </w:pPr>
    <w:rPr>
      <w:rFonts w:ascii="Times New Roman" w:hAnsi="Times New Roman" w:eastAsia="宋体" w:cs="Times New Roman"/>
      <w:spacing w:val="14"/>
      <w:kern w:val="0"/>
      <w:sz w:val="24"/>
      <w:szCs w:val="20"/>
    </w:rPr>
  </w:style>
  <w:style w:type="character" w:customStyle="1" w:styleId="14">
    <w:name w:val="00正文文本 字符"/>
    <w:basedOn w:val="6"/>
    <w:link w:val="13"/>
    <w:qFormat/>
    <w:uiPriority w:val="1"/>
    <w:rPr>
      <w:rFonts w:ascii="Times New Roman" w:hAnsi="Times New Roman" w:eastAsia="宋体" w:cs="Times New Roman"/>
      <w:spacing w:val="14"/>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1</TotalTime>
  <ScaleCrop>false</ScaleCrop>
  <LinksUpToDate>false</LinksUpToDate>
  <CharactersWithSpaces>562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2021-09-18T09:00:00Z</dcterms:created>
  <dc:creator>lenovo</dc:creator>
  <cp:lastModifiedBy>Administrator</cp:lastModifiedBy>
  <cp:lastPrinted>2021-09-20T02:46:16Z</cp:lastPrinted>
  <dcterms:modified xsi:type="dcterms:W3CDTF">2021-09-20T02:46:18Z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