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一、标定地价概念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标定地价是政府为管理需要确定的，标准宗地在现状开发利用、正常市场条件、法定最高使用年期或政策规定年期下，某一估价期日的土地权利价格。</w:t>
      </w: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二、标定地价的内涵</w:t>
      </w:r>
    </w:p>
    <w:p>
      <w:pPr>
        <w:pStyle w:val="9"/>
        <w:spacing w:before="0" w:after="0"/>
        <w:ind w:left="0"/>
        <w:rPr>
          <w:rFonts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表</w:t>
      </w:r>
      <w:r>
        <w:rPr>
          <w:rFonts w:asciiTheme="minorEastAsia" w:hAnsiTheme="minorEastAsia" w:eastAsiaTheme="minorEastAsia"/>
          <w:kern w:val="0"/>
        </w:rPr>
        <w:t>1</w:t>
      </w:r>
      <w:r>
        <w:rPr>
          <w:rFonts w:hint="eastAsia" w:asciiTheme="minorEastAsia" w:hAnsiTheme="minorEastAsia" w:eastAsiaTheme="minorEastAsia"/>
          <w:kern w:val="0"/>
        </w:rPr>
        <w:t xml:space="preserve"> 和田市各用途标定地价内涵表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土地用途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工业用地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估价期日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202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年1月1日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土地开发程度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七通一平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法定使用年期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容积率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现状容积率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现状容积率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现状容积率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价格类型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国有出让建设用地使用权价格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价格表现形式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标定地价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三、标定地价的范围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本次标定地价的范围在和田市2020年城镇基准地价更新成果的基础上，结合和田市国有建设用地使用权市场实际，确定公示范围共80.35平方公里.</w:t>
      </w: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四、标定地价的应用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标定地价作为公示地价的一种，可以应用于地价管理、财政核算、税收等方面。目前标定地价在地价管理上的应用体现在地价评估方面，丰富了地价评估方法，估价人员可以通过标定地价系数修正法，对宗地进行地价评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spacing w:before="0" w:after="0" w:line="240" w:lineRule="atLeast"/>
        <w:ind w:left="0"/>
        <w:outlineLvl w:val="1"/>
        <w:rPr>
          <w:rFonts w:hint="eastAsia" w:ascii="黑体" w:hAnsi="黑体" w:eastAsia="黑体" w:cs="黑体"/>
          <w:kern w:val="0"/>
        </w:rPr>
      </w:pPr>
      <w:bookmarkStart w:id="0" w:name="_Toc70098089"/>
      <w:r>
        <w:rPr>
          <w:rFonts w:hint="eastAsia" w:ascii="黑体" w:hAnsi="黑体" w:eastAsia="黑体" w:cs="黑体"/>
          <w:kern w:val="0"/>
        </w:rPr>
        <w:t>五、标定地价成果</w:t>
      </w:r>
      <w:bookmarkEnd w:id="0"/>
    </w:p>
    <w:p>
      <w:pPr>
        <w:ind w:firstLine="489" w:firstLineChars="195"/>
        <w:jc w:val="center"/>
        <w:rPr>
          <w:rFonts w:ascii="宋体" w:hAnsi="宋体" w:cs="宋体"/>
          <w:b/>
          <w:spacing w:val="20"/>
          <w:kern w:val="0"/>
          <w:szCs w:val="21"/>
          <w:lang w:bidi="zh-CN"/>
        </w:rPr>
      </w:pP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>表</w:t>
      </w:r>
      <w:r>
        <w:rPr>
          <w:rFonts w:ascii="宋体" w:hAnsi="宋体" w:cs="宋体"/>
          <w:b/>
          <w:spacing w:val="20"/>
          <w:kern w:val="0"/>
          <w:szCs w:val="21"/>
          <w:lang w:bidi="zh-CN"/>
        </w:rPr>
        <w:t>2</w:t>
      </w: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 xml:space="preserve"> 和田市商服用地标定地价表</w:t>
      </w:r>
    </w:p>
    <w:tbl>
      <w:tblPr>
        <w:tblStyle w:val="5"/>
        <w:tblW w:w="1519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56"/>
        <w:gridCol w:w="2922"/>
        <w:gridCol w:w="1843"/>
        <w:gridCol w:w="1185"/>
        <w:gridCol w:w="800"/>
        <w:gridCol w:w="1041"/>
        <w:gridCol w:w="766"/>
        <w:gridCol w:w="1162"/>
        <w:gridCol w:w="1000"/>
        <w:gridCol w:w="992"/>
        <w:gridCol w:w="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_Toc51878171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标准宗地编码</w:t>
            </w:r>
          </w:p>
        </w:tc>
        <w:tc>
          <w:tcPr>
            <w:tcW w:w="4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位置和名称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权利类型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设定使用年期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标定地价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（5）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（8）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（9）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（10）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653201S5000101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肖尔巴格乡，北京西路以南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肖尔巴格民族特色美食城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4546.35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653201S5000201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北京西路以南、和田市人民医院以东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昆仑绿源集团有限公司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6530.47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653201S5000301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火车站南侧、玫瑰大道以西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北慕水果批发市场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101961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653201S5000401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京通大道以南、乌鲁木齐北路延伸段以西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众一快捷酒店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25665.6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653201S5000501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台北路以南、乌鲁木齐北路以西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何胖子酒店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14494.64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653201S5000601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北京西路以北、西子花园对面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中国移动和田分公司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6666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653201S5000701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北京西路以北、二环路以东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庆隆阳光里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5976.76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653201S5000801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建设西路以北、玉泉湖公园以东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天王三角楼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1963.79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653201S5000901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塔乃依南路西侧、人民路北侧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玉都国际广场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653201S5001001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屯垦西路以北、塔乃依南路以西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龙煤大厦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7888.01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653201S5001101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地区公安局住宅楼南侧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公安局住宅小区商铺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3459.98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653201S5001201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迎宾路东、地区殡仪馆旁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德荣商贸有限责任公司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653201S5001301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加买路以北、台北路以南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加买路商业楼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1849.3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653201S5001401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阿恰勒东路以南、公园西路以西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名门大酒店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7485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653201S5001501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古江巴格乡、东环南路以东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麦迪森药业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46824.89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653201S5001601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玉龙喀什河西岸、玉龙喀什河一大桥以南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二手车交易市场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67828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653201S5001701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伊力其乡农贸市场以北、依盖其路以西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友谊牛羊肉定点屠宰场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27666.7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653201S5001801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京通大道以北、东风干渠以西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兵团加油站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6389.76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653201S5001901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杭州大道以东、萧山路以南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建筑工程建材构建监测中心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24003.19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653201S5002001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宋体" w:hAnsi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Helvetica"/>
                <w:color w:val="333333"/>
                <w:kern w:val="0"/>
                <w:sz w:val="18"/>
                <w:szCs w:val="18"/>
              </w:rPr>
              <w:t>园区京东路以北、京怀大道以东、京和大道以西、京安路以南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全盛驾驶培训学校考场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33341.24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填表说明:表中填写单位分别为：面积，平方米；标定地价：元/平方米</w:t>
            </w:r>
          </w:p>
        </w:tc>
      </w:tr>
    </w:tbl>
    <w:p>
      <w:pPr>
        <w:ind w:firstLine="489" w:firstLineChars="195"/>
        <w:jc w:val="center"/>
        <w:rPr>
          <w:rFonts w:ascii="宋体" w:hAnsi="宋体" w:cs="宋体"/>
          <w:b/>
          <w:spacing w:val="20"/>
          <w:kern w:val="0"/>
          <w:szCs w:val="21"/>
          <w:lang w:bidi="zh-CN"/>
        </w:rPr>
      </w:pPr>
    </w:p>
    <w:p>
      <w:pPr>
        <w:pStyle w:val="10"/>
        <w:ind w:firstLine="240"/>
        <w:rPr>
          <w:lang w:bidi="zh-CN"/>
        </w:rPr>
      </w:pPr>
    </w:p>
    <w:p>
      <w:pPr>
        <w:rPr>
          <w:lang w:bidi="zh-CN"/>
        </w:rPr>
      </w:pPr>
      <w:r>
        <w:rPr>
          <w:lang w:bidi="zh-CN"/>
        </w:rPr>
        <w:br w:type="page"/>
      </w:r>
    </w:p>
    <w:p>
      <w:pPr>
        <w:ind w:firstLine="489" w:firstLineChars="195"/>
        <w:jc w:val="center"/>
        <w:rPr>
          <w:rFonts w:ascii="宋体" w:hAnsi="宋体" w:cs="宋体"/>
          <w:b/>
          <w:spacing w:val="20"/>
          <w:kern w:val="0"/>
          <w:szCs w:val="21"/>
          <w:lang w:bidi="zh-CN"/>
        </w:rPr>
      </w:pP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>表</w:t>
      </w:r>
      <w:r>
        <w:rPr>
          <w:rFonts w:ascii="宋体" w:hAnsi="宋体" w:cs="宋体"/>
          <w:b/>
          <w:spacing w:val="20"/>
          <w:kern w:val="0"/>
          <w:szCs w:val="21"/>
          <w:lang w:bidi="zh-CN"/>
        </w:rPr>
        <w:t xml:space="preserve">3 </w:t>
      </w: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>和田市住宅用地标定地价表</w:t>
      </w:r>
    </w:p>
    <w:tbl>
      <w:tblPr>
        <w:tblStyle w:val="5"/>
        <w:tblW w:w="1509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5"/>
        <w:gridCol w:w="2830"/>
        <w:gridCol w:w="1790"/>
        <w:gridCol w:w="1125"/>
        <w:gridCol w:w="1170"/>
        <w:gridCol w:w="1371"/>
        <w:gridCol w:w="766"/>
        <w:gridCol w:w="1149"/>
        <w:gridCol w:w="973"/>
        <w:gridCol w:w="876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标准宗地编码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位置和名称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权利类型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设定使用年期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标定地价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（5）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（8）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（9）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（10）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（11）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653201Z7000101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拉斯奎镇阿克塔什村，火车站南侧，站前横六路以北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玫瑰小区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5840.063885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653201Z7000201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乌鲁木齐北路以西、315国道以北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世纪家园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20409.97913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653201Z7000301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315国道以南、亚皮拉克路以西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城北小区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划拨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32325.50613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653201Z7000401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台北路以南、玉泉湖公园以东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友谊花园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14766.15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653201Z7000501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敬老路以北、平安北路以西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城西小区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划拨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22651.74677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653201Z7000601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肖尔巴格村，北京西路北侧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通达公司住宅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56889.232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653201Z7000701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北京西路以南、二环路以西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幸福花园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85751.91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2.803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653201Z7000801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北京西路以南、三乡连线以北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玫瑰花园小区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24392.21407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653201Z7000901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台北路以北、托普恰巷以西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泰和园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16525.9964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653201Z7001001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纳瓦格路以北、红星街以西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依孜巴萨尔商住楼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24480.8912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653201Z7001101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建设东路6号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古江苑小区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15504.44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2.39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653201Z7001201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建设西路以北、玉泉湖公园以东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天王国际二期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2616.770653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653201Z7001301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阿恰勒西路以南、乌鲁木齐南路以东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川亿滨江府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30880.87121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653201Z7001401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塔乃依南路以西、人民路以南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中润华府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19650.58459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653201Z7001501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塔乃依南路以西、阿恰勒西路以南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瓯越花苑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13174.43484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653201Z7001601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迎宾路以东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东都公寓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29578.91238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653201Z7001701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古江南路以东、屯垦路以北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昆鹏小区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31891.13893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653201Z7001801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伊里其乡夏马勒巴格村、天合加气站旁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京阗小区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17400.74477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653201Z7001901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安康路以西、东环南路以东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环湖小区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28160.97246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653201Z7002001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东环南路以东、台北路以北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玉河小区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划拨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3779.639091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653201Z7002101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北京东路以北，台北路以南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东湖花苑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32110.44542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653201Z7002201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台北路以北、夏马勒巴格路以西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交通花园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41528.42026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填表说明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表中填写单位分别为：面积，平方米；标定地价：元/平方米</w:t>
            </w:r>
          </w:p>
        </w:tc>
      </w:tr>
    </w:tbl>
    <w:p>
      <w:pPr>
        <w:widowControl/>
        <w:jc w:val="center"/>
        <w:rPr>
          <w:rFonts w:ascii="仿宋" w:hAnsi="仿宋" w:eastAsia="等线" w:cs="宋体"/>
          <w:color w:val="000000"/>
          <w:kern w:val="0"/>
          <w:sz w:val="22"/>
        </w:rPr>
      </w:pPr>
      <w:r>
        <w:rPr>
          <w:rFonts w:hint="eastAsia" w:ascii="仿宋" w:hAnsi="仿宋" w:eastAsia="等线" w:cs="宋体"/>
          <w:color w:val="000000"/>
          <w:kern w:val="0"/>
          <w:sz w:val="22"/>
        </w:rPr>
        <w:br w:type="page"/>
      </w:r>
    </w:p>
    <w:bookmarkEnd w:id="1"/>
    <w:p>
      <w:pPr>
        <w:ind w:firstLine="489" w:firstLineChars="195"/>
        <w:jc w:val="center"/>
        <w:rPr>
          <w:rFonts w:ascii="宋体" w:hAnsi="宋体" w:cs="宋体"/>
          <w:b/>
          <w:spacing w:val="20"/>
          <w:kern w:val="0"/>
          <w:szCs w:val="21"/>
          <w:lang w:bidi="zh-CN"/>
        </w:rPr>
      </w:pP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>表</w:t>
      </w:r>
      <w:r>
        <w:rPr>
          <w:rFonts w:ascii="宋体" w:hAnsi="宋体" w:cs="宋体"/>
          <w:b/>
          <w:spacing w:val="20"/>
          <w:kern w:val="0"/>
          <w:szCs w:val="21"/>
          <w:lang w:bidi="zh-CN"/>
        </w:rPr>
        <w:t>4</w:t>
      </w:r>
      <w:r>
        <w:rPr>
          <w:rFonts w:hint="eastAsia" w:ascii="宋体" w:hAnsi="宋体" w:cs="宋体"/>
          <w:b/>
          <w:spacing w:val="20"/>
          <w:kern w:val="0"/>
          <w:szCs w:val="21"/>
          <w:lang w:bidi="zh-CN"/>
        </w:rPr>
        <w:t xml:space="preserve"> 和田市工业用地标定地价表</w:t>
      </w:r>
    </w:p>
    <w:tbl>
      <w:tblPr>
        <w:tblStyle w:val="5"/>
        <w:tblW w:w="1496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76"/>
        <w:gridCol w:w="2656"/>
        <w:gridCol w:w="2867"/>
        <w:gridCol w:w="1134"/>
        <w:gridCol w:w="851"/>
        <w:gridCol w:w="1151"/>
        <w:gridCol w:w="766"/>
        <w:gridCol w:w="923"/>
        <w:gridCol w:w="845"/>
        <w:gridCol w:w="876"/>
        <w:gridCol w:w="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标准宗地编码</w:t>
            </w:r>
          </w:p>
        </w:tc>
        <w:tc>
          <w:tcPr>
            <w:tcW w:w="5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位置和名称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权利类型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开发程度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设定使用年期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标定地价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（5）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（8）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（9）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（10）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653201G6000101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和墨路以南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和田天王纺织有限公司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17360.65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653201G6000201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拉斯奎镇阿克塔什村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和田华威火力发电有限责任公司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194243.82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653201G6000301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拉斯奎镇阿克塔什村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和田市新玉有限责任公司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653201G6000401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杭州大道以西、长兴路以南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米兰食品厂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4238.74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653201G6000501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园区南湖路以东、湖州路以北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和田市爱力其笆哈热面粉厂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6359.84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653201G6000601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园区纵一路以东、横十一路以南、横十路以北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和田地区乌敦商贸有限责任公司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81352.74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653201G6000701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京东路以北、京和大道以东、阿和公路以西、京安路以南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新疆京和纺织科技有限公司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出让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94926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填表说明:表中填写单位分别为：面积，平方米；标定地价：元/平方米</w:t>
            </w:r>
          </w:p>
        </w:tc>
      </w:tr>
    </w:tbl>
    <w:p>
      <w:pPr>
        <w:ind w:firstLine="352" w:firstLineChars="195"/>
        <w:jc w:val="center"/>
        <w:rPr>
          <w:b/>
          <w:bCs/>
          <w:sz w:val="18"/>
          <w:szCs w:val="18"/>
        </w:rPr>
      </w:pP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61"/>
    <w:rsid w:val="00011D9E"/>
    <w:rsid w:val="000E704F"/>
    <w:rsid w:val="000E7B68"/>
    <w:rsid w:val="001005FB"/>
    <w:rsid w:val="0011166F"/>
    <w:rsid w:val="00111FE9"/>
    <w:rsid w:val="001635A7"/>
    <w:rsid w:val="001B2B69"/>
    <w:rsid w:val="001C1346"/>
    <w:rsid w:val="00246947"/>
    <w:rsid w:val="002E5438"/>
    <w:rsid w:val="003167CD"/>
    <w:rsid w:val="003211BC"/>
    <w:rsid w:val="00364777"/>
    <w:rsid w:val="00416865"/>
    <w:rsid w:val="004723AA"/>
    <w:rsid w:val="004F6199"/>
    <w:rsid w:val="00506761"/>
    <w:rsid w:val="00516C5B"/>
    <w:rsid w:val="0056420E"/>
    <w:rsid w:val="0060784E"/>
    <w:rsid w:val="00640F42"/>
    <w:rsid w:val="00670271"/>
    <w:rsid w:val="00786FA9"/>
    <w:rsid w:val="007E7BA3"/>
    <w:rsid w:val="009142C2"/>
    <w:rsid w:val="00965602"/>
    <w:rsid w:val="00A562C6"/>
    <w:rsid w:val="00A66092"/>
    <w:rsid w:val="00AD621C"/>
    <w:rsid w:val="00B23C6F"/>
    <w:rsid w:val="00C15643"/>
    <w:rsid w:val="00E72EB3"/>
    <w:rsid w:val="00E76BF3"/>
    <w:rsid w:val="00FA0EED"/>
    <w:rsid w:val="00FF49E8"/>
    <w:rsid w:val="0F8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00表头"/>
    <w:basedOn w:val="1"/>
    <w:qFormat/>
    <w:uiPriority w:val="1"/>
    <w:pPr>
      <w:autoSpaceDE w:val="0"/>
      <w:autoSpaceDN w:val="0"/>
      <w:spacing w:before="161" w:after="120" w:line="360" w:lineRule="auto"/>
      <w:ind w:left="220"/>
      <w:jc w:val="center"/>
    </w:pPr>
    <w:rPr>
      <w:rFonts w:ascii="宋体" w:hAnsi="宋体" w:eastAsia="宋体" w:cs="宋体"/>
      <w:b/>
      <w:spacing w:val="20"/>
      <w:szCs w:val="21"/>
      <w:lang w:bidi="zh-CN"/>
    </w:rPr>
  </w:style>
  <w:style w:type="paragraph" w:customStyle="1" w:styleId="10">
    <w:name w:val="样式1"/>
    <w:basedOn w:val="1"/>
    <w:next w:val="1"/>
    <w:qFormat/>
    <w:uiPriority w:val="0"/>
    <w:pPr>
      <w:spacing w:before="120" w:after="120" w:line="312" w:lineRule="auto"/>
    </w:pPr>
    <w:rPr>
      <w:rFonts w:eastAsia="宋体"/>
      <w:spacing w:val="20"/>
      <w:sz w:val="24"/>
    </w:rPr>
  </w:style>
  <w:style w:type="paragraph" w:customStyle="1" w:styleId="11">
    <w:name w:val="00标题4"/>
    <w:basedOn w:val="2"/>
    <w:qFormat/>
    <w:uiPriority w:val="1"/>
    <w:pPr>
      <w:autoSpaceDE w:val="0"/>
      <w:autoSpaceDN w:val="0"/>
      <w:spacing w:before="120" w:line="360" w:lineRule="auto"/>
      <w:ind w:left="220" w:firstLine="482"/>
      <w:outlineLvl w:val="3"/>
    </w:pPr>
    <w:rPr>
      <w:rFonts w:ascii="宋体" w:hAnsi="宋体" w:eastAsia="宋体" w:cs="宋体"/>
      <w:b/>
      <w:bCs/>
      <w:spacing w:val="-1"/>
      <w:sz w:val="28"/>
      <w:szCs w:val="28"/>
      <w:lang w:bidi="zh-CN"/>
    </w:rPr>
  </w:style>
  <w:style w:type="character" w:customStyle="1" w:styleId="12">
    <w:name w:val="正文文本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693</Words>
  <Characters>3953</Characters>
  <Lines>32</Lines>
  <Paragraphs>9</Paragraphs>
  <TotalTime>3</TotalTime>
  <ScaleCrop>false</ScaleCrop>
  <LinksUpToDate>false</LinksUpToDate>
  <CharactersWithSpaces>4637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2021-09-18T08:56:00Z</dcterms:created>
  <dc:creator>lenovo</dc:creator>
  <cp:lastModifiedBy>Administrator</cp:lastModifiedBy>
  <cp:lastPrinted>2021-09-20T02:34:40Z</cp:lastPrinted>
  <dcterms:modified xsi:type="dcterms:W3CDTF">2021-09-20T02:34:48Z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