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EBA4F" w14:textId="77777777" w:rsidR="00B5342F" w:rsidRDefault="00B5342F">
      <w:pPr>
        <w:pStyle w:val="af2"/>
        <w:widowControl w:val="0"/>
        <w:spacing w:before="0" w:beforeAutospacing="0" w:after="120" w:afterAutospacing="0"/>
        <w:ind w:firstLineChars="100" w:firstLine="240"/>
        <w:jc w:val="both"/>
        <w:rPr>
          <w:rFonts w:hint="eastAsia"/>
        </w:rPr>
      </w:pPr>
      <w:bookmarkStart w:id="0" w:name="_Toc20843"/>
    </w:p>
    <w:p w14:paraId="6E2E514C" w14:textId="77777777" w:rsidR="00B5342F" w:rsidRDefault="00B5342F">
      <w:pPr>
        <w:pStyle w:val="af2"/>
        <w:widowControl w:val="0"/>
        <w:spacing w:before="0" w:beforeAutospacing="0" w:after="120" w:afterAutospacing="0"/>
        <w:ind w:firstLineChars="100" w:firstLine="240"/>
        <w:jc w:val="both"/>
        <w:rPr>
          <w:rFonts w:hint="eastAsia"/>
        </w:rPr>
      </w:pPr>
    </w:p>
    <w:p w14:paraId="01F1C055" w14:textId="77777777" w:rsidR="00B5342F" w:rsidRDefault="00B5342F">
      <w:pPr>
        <w:pStyle w:val="af2"/>
        <w:widowControl w:val="0"/>
        <w:spacing w:before="0" w:beforeAutospacing="0" w:after="120" w:afterAutospacing="0"/>
        <w:ind w:firstLineChars="100" w:firstLine="240"/>
        <w:jc w:val="both"/>
        <w:rPr>
          <w:rFonts w:hint="eastAsia"/>
        </w:rPr>
      </w:pPr>
    </w:p>
    <w:p w14:paraId="326C29C3" w14:textId="77777777" w:rsidR="00B5342F" w:rsidRDefault="00B5342F">
      <w:pPr>
        <w:pStyle w:val="af2"/>
        <w:widowControl w:val="0"/>
        <w:spacing w:before="0" w:beforeAutospacing="0" w:after="120" w:afterAutospacing="0"/>
        <w:ind w:firstLineChars="100" w:firstLine="240"/>
        <w:jc w:val="both"/>
        <w:rPr>
          <w:rFonts w:hint="eastAsia"/>
        </w:rPr>
      </w:pPr>
    </w:p>
    <w:p w14:paraId="7A8AF01C" w14:textId="77777777" w:rsidR="00B5342F" w:rsidRDefault="00B5342F">
      <w:pPr>
        <w:pStyle w:val="af2"/>
        <w:widowControl w:val="0"/>
        <w:spacing w:before="0" w:beforeAutospacing="0" w:after="120" w:afterAutospacing="0"/>
        <w:ind w:firstLineChars="100" w:firstLine="240"/>
        <w:jc w:val="both"/>
        <w:rPr>
          <w:rFonts w:hint="eastAsia"/>
        </w:rPr>
      </w:pPr>
    </w:p>
    <w:p w14:paraId="3F2A63F3" w14:textId="77777777" w:rsidR="00B5342F" w:rsidRDefault="00000000">
      <w:pPr>
        <w:autoSpaceDE w:val="0"/>
        <w:jc w:val="center"/>
        <w:rPr>
          <w:rFonts w:ascii="方正小标宋_GBK" w:eastAsia="方正小标宋_GBK" w:hAnsi="方正小标宋_GBK" w:cs="方正小标宋_GBK" w:hint="eastAsia"/>
          <w:bCs/>
          <w:spacing w:val="14"/>
          <w:sz w:val="58"/>
          <w:szCs w:val="58"/>
        </w:rPr>
      </w:pPr>
      <w:r>
        <w:rPr>
          <w:rFonts w:ascii="方正小标宋_GBK" w:eastAsia="方正小标宋_GBK" w:hAnsi="方正小标宋_GBK" w:cs="方正小标宋_GBK" w:hint="eastAsia"/>
          <w:bCs/>
          <w:spacing w:val="14"/>
          <w:sz w:val="58"/>
          <w:szCs w:val="58"/>
          <w:lang w:bidi="ar"/>
        </w:rPr>
        <w:t>和田市国民经济和社会发展</w:t>
      </w:r>
    </w:p>
    <w:p w14:paraId="58492BD4" w14:textId="77777777" w:rsidR="00B5342F" w:rsidRDefault="00000000">
      <w:pPr>
        <w:autoSpaceDE w:val="0"/>
        <w:jc w:val="center"/>
        <w:rPr>
          <w:rFonts w:ascii="方正小标宋_GBK" w:eastAsia="方正小标宋_GBK" w:hAnsi="方正小标宋_GBK" w:cs="方正小标宋_GBK" w:hint="eastAsia"/>
          <w:bCs/>
          <w:sz w:val="58"/>
          <w:szCs w:val="58"/>
        </w:rPr>
      </w:pPr>
      <w:r>
        <w:rPr>
          <w:rFonts w:ascii="方正小标宋_GBK" w:eastAsia="方正小标宋_GBK" w:hAnsi="方正小标宋_GBK" w:cs="方正小标宋_GBK" w:hint="eastAsia"/>
          <w:bCs/>
          <w:sz w:val="58"/>
          <w:szCs w:val="58"/>
          <w:lang w:bidi="ar"/>
        </w:rPr>
        <w:t>第十四个五年规划和</w:t>
      </w:r>
      <w:r>
        <w:rPr>
          <w:rFonts w:ascii="Times New Roman" w:eastAsia="方正小标宋_GBK" w:hAnsi="Times New Roman" w:cs="Times New Roman"/>
          <w:bCs/>
          <w:sz w:val="58"/>
          <w:szCs w:val="58"/>
          <w:lang w:bidi="ar"/>
        </w:rPr>
        <w:t>2035</w:t>
      </w:r>
      <w:r>
        <w:rPr>
          <w:rFonts w:ascii="方正小标宋_GBK" w:eastAsia="方正小标宋_GBK" w:hAnsi="方正小标宋_GBK" w:cs="方正小标宋_GBK" w:hint="eastAsia"/>
          <w:bCs/>
          <w:sz w:val="58"/>
          <w:szCs w:val="58"/>
          <w:lang w:bidi="ar"/>
        </w:rPr>
        <w:t>年</w:t>
      </w:r>
    </w:p>
    <w:p w14:paraId="0A2359F5" w14:textId="77777777" w:rsidR="00B5342F" w:rsidRDefault="00000000">
      <w:pPr>
        <w:autoSpaceDE w:val="0"/>
        <w:jc w:val="center"/>
        <w:rPr>
          <w:rFonts w:ascii="方正小标宋_GBK" w:eastAsia="方正小标宋_GBK" w:hAnsi="方正小标宋_GBK" w:cs="方正小标宋_GBK" w:hint="eastAsia"/>
          <w:bCs/>
          <w:spacing w:val="60"/>
          <w:sz w:val="58"/>
          <w:szCs w:val="58"/>
        </w:rPr>
      </w:pPr>
      <w:r>
        <w:rPr>
          <w:rFonts w:ascii="方正小标宋_GBK" w:eastAsia="方正小标宋_GBK" w:hAnsi="方正小标宋_GBK" w:cs="方正小标宋_GBK" w:hint="eastAsia"/>
          <w:bCs/>
          <w:spacing w:val="60"/>
          <w:sz w:val="58"/>
          <w:szCs w:val="58"/>
          <w:lang w:bidi="ar"/>
        </w:rPr>
        <w:t>远景目标纲要</w:t>
      </w:r>
    </w:p>
    <w:p w14:paraId="093EBBBD" w14:textId="77777777" w:rsidR="00B5342F" w:rsidRDefault="00B5342F">
      <w:pPr>
        <w:pStyle w:val="af2"/>
        <w:widowControl w:val="0"/>
        <w:spacing w:before="0" w:beforeAutospacing="0" w:after="120" w:afterAutospacing="0"/>
        <w:ind w:leftChars="200" w:left="420" w:firstLineChars="200" w:firstLine="480"/>
        <w:jc w:val="both"/>
        <w:rPr>
          <w:rFonts w:hint="eastAsia"/>
        </w:rPr>
      </w:pPr>
    </w:p>
    <w:p w14:paraId="46B4E9D2" w14:textId="77777777" w:rsidR="00B5342F" w:rsidRDefault="00B5342F">
      <w:pPr>
        <w:pStyle w:val="af2"/>
        <w:widowControl w:val="0"/>
        <w:spacing w:before="0" w:beforeAutospacing="0" w:after="120" w:afterAutospacing="0"/>
        <w:ind w:firstLineChars="100" w:firstLine="240"/>
        <w:jc w:val="both"/>
        <w:rPr>
          <w:rFonts w:hint="eastAsia"/>
        </w:rPr>
      </w:pPr>
    </w:p>
    <w:p w14:paraId="257B04EB" w14:textId="77777777" w:rsidR="00B5342F" w:rsidRDefault="00B5342F">
      <w:pPr>
        <w:pStyle w:val="af2"/>
        <w:widowControl w:val="0"/>
        <w:spacing w:before="0" w:beforeAutospacing="0" w:after="120" w:afterAutospacing="0"/>
        <w:ind w:firstLineChars="100" w:firstLine="240"/>
        <w:jc w:val="both"/>
        <w:rPr>
          <w:rFonts w:hint="eastAsia"/>
        </w:rPr>
      </w:pPr>
    </w:p>
    <w:p w14:paraId="7B7866DC" w14:textId="77777777" w:rsidR="00B5342F" w:rsidRDefault="00B5342F">
      <w:pPr>
        <w:pStyle w:val="af2"/>
        <w:widowControl w:val="0"/>
        <w:spacing w:before="0" w:beforeAutospacing="0" w:after="120" w:afterAutospacing="0"/>
        <w:ind w:firstLineChars="100" w:firstLine="240"/>
        <w:jc w:val="both"/>
        <w:rPr>
          <w:rFonts w:hint="eastAsia"/>
        </w:rPr>
      </w:pPr>
    </w:p>
    <w:p w14:paraId="550F0EAA" w14:textId="77777777" w:rsidR="00B5342F" w:rsidRDefault="00B5342F">
      <w:pPr>
        <w:pStyle w:val="af2"/>
        <w:widowControl w:val="0"/>
        <w:spacing w:before="0" w:beforeAutospacing="0" w:after="120" w:afterAutospacing="0"/>
        <w:ind w:firstLineChars="100" w:firstLine="240"/>
        <w:jc w:val="both"/>
        <w:rPr>
          <w:rFonts w:hint="eastAsia"/>
        </w:rPr>
      </w:pPr>
    </w:p>
    <w:p w14:paraId="3DB27CA1" w14:textId="77777777" w:rsidR="00B5342F" w:rsidRDefault="00B5342F">
      <w:pPr>
        <w:pStyle w:val="af2"/>
        <w:widowControl w:val="0"/>
        <w:spacing w:before="0" w:beforeAutospacing="0" w:after="120" w:afterAutospacing="0"/>
        <w:ind w:firstLineChars="100" w:firstLine="240"/>
        <w:jc w:val="both"/>
        <w:rPr>
          <w:rFonts w:hint="eastAsia"/>
        </w:rPr>
      </w:pPr>
    </w:p>
    <w:p w14:paraId="03640369" w14:textId="77777777" w:rsidR="00B5342F" w:rsidRDefault="00B5342F">
      <w:pPr>
        <w:pStyle w:val="af2"/>
        <w:widowControl w:val="0"/>
        <w:spacing w:before="0" w:beforeAutospacing="0" w:after="120" w:afterAutospacing="0"/>
        <w:ind w:firstLineChars="100" w:firstLine="240"/>
        <w:jc w:val="both"/>
        <w:rPr>
          <w:rFonts w:hint="eastAsia"/>
        </w:rPr>
      </w:pPr>
    </w:p>
    <w:p w14:paraId="2EE37B3C" w14:textId="77777777" w:rsidR="00B5342F" w:rsidRDefault="00B5342F">
      <w:pPr>
        <w:pStyle w:val="af2"/>
        <w:widowControl w:val="0"/>
        <w:spacing w:before="0" w:beforeAutospacing="0" w:after="120" w:afterAutospacing="0"/>
        <w:ind w:firstLineChars="100" w:firstLine="240"/>
        <w:jc w:val="both"/>
        <w:rPr>
          <w:rFonts w:hint="eastAsia"/>
        </w:rPr>
      </w:pPr>
    </w:p>
    <w:p w14:paraId="67FB6717" w14:textId="77777777" w:rsidR="00B5342F" w:rsidRDefault="00B5342F">
      <w:pPr>
        <w:pStyle w:val="af2"/>
        <w:widowControl w:val="0"/>
        <w:spacing w:before="0" w:beforeAutospacing="0" w:after="120" w:afterAutospacing="0"/>
        <w:ind w:firstLineChars="100" w:firstLine="240"/>
        <w:jc w:val="both"/>
        <w:rPr>
          <w:rFonts w:hint="eastAsia"/>
        </w:rPr>
      </w:pPr>
    </w:p>
    <w:p w14:paraId="32AEC356" w14:textId="77777777" w:rsidR="00B5342F" w:rsidRDefault="00B5342F">
      <w:pPr>
        <w:pStyle w:val="af2"/>
        <w:widowControl w:val="0"/>
        <w:spacing w:before="0" w:beforeAutospacing="0" w:after="120" w:afterAutospacing="0"/>
        <w:ind w:firstLineChars="100" w:firstLine="240"/>
        <w:jc w:val="both"/>
        <w:rPr>
          <w:rFonts w:hint="eastAsia"/>
        </w:rPr>
      </w:pPr>
    </w:p>
    <w:p w14:paraId="758875E2" w14:textId="77777777" w:rsidR="00B5342F" w:rsidRDefault="00B5342F">
      <w:pPr>
        <w:pStyle w:val="af2"/>
        <w:widowControl w:val="0"/>
        <w:spacing w:before="0" w:beforeAutospacing="0" w:after="0" w:afterAutospacing="0"/>
        <w:ind w:firstLineChars="100" w:firstLine="240"/>
        <w:jc w:val="both"/>
        <w:rPr>
          <w:rFonts w:hint="eastAsia"/>
        </w:rPr>
      </w:pPr>
    </w:p>
    <w:p w14:paraId="0F1F4F6C" w14:textId="77777777" w:rsidR="00B5342F" w:rsidRDefault="00B5342F">
      <w:pPr>
        <w:pStyle w:val="af2"/>
        <w:widowControl w:val="0"/>
        <w:spacing w:before="0" w:beforeAutospacing="0" w:after="120" w:afterAutospacing="0"/>
        <w:ind w:firstLineChars="100" w:firstLine="240"/>
        <w:jc w:val="both"/>
        <w:rPr>
          <w:rFonts w:hint="eastAsia"/>
        </w:rPr>
      </w:pPr>
    </w:p>
    <w:p w14:paraId="3F36A080" w14:textId="77777777" w:rsidR="00B5342F" w:rsidRDefault="00B5342F">
      <w:pPr>
        <w:pStyle w:val="af2"/>
        <w:widowControl w:val="0"/>
        <w:spacing w:before="0" w:beforeAutospacing="0" w:after="120" w:afterAutospacing="0"/>
        <w:ind w:firstLineChars="100" w:firstLine="240"/>
        <w:jc w:val="both"/>
        <w:rPr>
          <w:rFonts w:hint="eastAsia"/>
        </w:rPr>
      </w:pPr>
    </w:p>
    <w:p w14:paraId="2DB8262B" w14:textId="77777777" w:rsidR="00B5342F" w:rsidRDefault="00B5342F">
      <w:pPr>
        <w:pStyle w:val="af2"/>
        <w:widowControl w:val="0"/>
        <w:spacing w:before="0" w:beforeAutospacing="0" w:after="120" w:afterAutospacing="0"/>
        <w:ind w:firstLineChars="100" w:firstLine="240"/>
        <w:jc w:val="both"/>
        <w:rPr>
          <w:rFonts w:hint="eastAsia"/>
        </w:rPr>
      </w:pPr>
    </w:p>
    <w:p w14:paraId="0C9D0708" w14:textId="77777777" w:rsidR="00B5342F" w:rsidRDefault="00B5342F">
      <w:pPr>
        <w:pStyle w:val="af2"/>
        <w:widowControl w:val="0"/>
        <w:spacing w:before="0" w:beforeAutospacing="0" w:after="120" w:afterAutospacing="0"/>
        <w:ind w:firstLineChars="100" w:firstLine="240"/>
        <w:jc w:val="both"/>
        <w:rPr>
          <w:rFonts w:hint="eastAsia"/>
        </w:rPr>
      </w:pPr>
    </w:p>
    <w:p w14:paraId="7F23755A" w14:textId="77777777" w:rsidR="00B5342F" w:rsidRDefault="00B5342F">
      <w:pPr>
        <w:pStyle w:val="af2"/>
        <w:widowControl w:val="0"/>
        <w:spacing w:before="0" w:beforeAutospacing="0" w:after="120" w:afterAutospacing="0"/>
        <w:ind w:firstLineChars="100" w:firstLine="240"/>
        <w:jc w:val="both"/>
        <w:rPr>
          <w:rFonts w:hint="eastAsia"/>
        </w:rPr>
      </w:pPr>
    </w:p>
    <w:p w14:paraId="0E59E76C" w14:textId="77777777" w:rsidR="00B5342F" w:rsidRDefault="00B5342F">
      <w:pPr>
        <w:pStyle w:val="af2"/>
        <w:widowControl w:val="0"/>
        <w:spacing w:before="0" w:beforeAutospacing="0" w:after="120" w:afterAutospacing="0"/>
        <w:ind w:firstLineChars="100" w:firstLine="240"/>
        <w:jc w:val="both"/>
        <w:rPr>
          <w:rFonts w:hint="eastAsia"/>
        </w:rPr>
      </w:pPr>
    </w:p>
    <w:p w14:paraId="2A0FD91A" w14:textId="77777777" w:rsidR="00B5342F" w:rsidRDefault="00B5342F">
      <w:pPr>
        <w:pStyle w:val="af2"/>
        <w:widowControl w:val="0"/>
        <w:spacing w:before="0" w:beforeAutospacing="0" w:after="120" w:afterAutospacing="0"/>
        <w:ind w:firstLineChars="100" w:firstLine="240"/>
        <w:jc w:val="both"/>
        <w:rPr>
          <w:rFonts w:hint="eastAsia"/>
        </w:rPr>
      </w:pPr>
    </w:p>
    <w:p w14:paraId="3D087D22" w14:textId="77777777" w:rsidR="00B5342F" w:rsidRDefault="00B5342F">
      <w:pPr>
        <w:jc w:val="center"/>
        <w:rPr>
          <w:rFonts w:ascii="方正小标宋_GBK" w:eastAsia="方正小标宋_GBK" w:hAnsi="方正小标宋_GBK" w:cs="方正小标宋_GBK" w:hint="eastAsia"/>
          <w:sz w:val="44"/>
          <w:szCs w:val="44"/>
        </w:rPr>
        <w:sectPr w:rsidR="00B5342F">
          <w:footerReference w:type="default" r:id="rId8"/>
          <w:pgSz w:w="11906" w:h="16838"/>
          <w:pgMar w:top="2041" w:right="1417" w:bottom="1701" w:left="1417" w:header="851" w:footer="992" w:gutter="0"/>
          <w:pgNumType w:start="1"/>
          <w:cols w:space="425"/>
          <w:docGrid w:type="lines" w:linePitch="312"/>
        </w:sectPr>
      </w:pPr>
    </w:p>
    <w:p w14:paraId="09B54E28" w14:textId="77777777" w:rsidR="00B5342F" w:rsidRDefault="00000000">
      <w:pPr>
        <w:jc w:val="center"/>
        <w:rPr>
          <w:rFonts w:ascii="Times New Roman" w:eastAsia="宋体" w:hAnsi="Times New Roman"/>
          <w:b/>
          <w:bCs/>
          <w:sz w:val="24"/>
          <w:szCs w:val="24"/>
        </w:rPr>
      </w:pPr>
      <w:r>
        <w:rPr>
          <w:rFonts w:ascii="方正小标宋_GBK" w:eastAsia="方正小标宋_GBK" w:hAnsi="方正小标宋_GBK" w:cs="方正小标宋_GBK" w:hint="eastAsia"/>
          <w:sz w:val="44"/>
          <w:szCs w:val="44"/>
        </w:rPr>
        <w:lastRenderedPageBreak/>
        <w:t>目  录</w:t>
      </w:r>
      <w:r>
        <w:rPr>
          <w:sz w:val="36"/>
          <w:szCs w:val="36"/>
        </w:rPr>
        <w:fldChar w:fldCharType="begin"/>
      </w:r>
      <w:r>
        <w:rPr>
          <w:sz w:val="36"/>
          <w:szCs w:val="36"/>
        </w:rPr>
        <w:instrText xml:space="preserve"> TOC \o "1-3" \h \z \u </w:instrText>
      </w:r>
      <w:r>
        <w:rPr>
          <w:sz w:val="36"/>
          <w:szCs w:val="36"/>
        </w:rPr>
        <w:fldChar w:fldCharType="separate"/>
      </w:r>
    </w:p>
    <w:p w14:paraId="0B840EFB" w14:textId="77777777" w:rsidR="00B5342F" w:rsidRDefault="00000000">
      <w:pPr>
        <w:pStyle w:val="TOC2"/>
        <w:tabs>
          <w:tab w:val="clear" w:pos="1470"/>
          <w:tab w:val="clear" w:pos="8296"/>
          <w:tab w:val="right" w:leader="dot" w:pos="9072"/>
        </w:tabs>
        <w:topLinePunct/>
        <w:ind w:left="420"/>
      </w:pPr>
      <w:hyperlink w:anchor="_Toc20812" w:history="1">
        <w:r>
          <w:rPr>
            <w:rFonts w:ascii="黑体" w:eastAsia="黑体" w:hAnsi="黑体" w:cs="黑体" w:hint="eastAsia"/>
            <w:szCs w:val="30"/>
          </w:rPr>
          <w:t>第一章  站在小康新起点  擘画和田市高质量发展新篇章</w:t>
        </w:r>
        <w:r>
          <w:tab/>
        </w:r>
        <w:fldSimple w:instr=" PAGEREF _Toc20812 ">
          <w:r>
            <w:t>1</w:t>
          </w:r>
        </w:fldSimple>
      </w:hyperlink>
    </w:p>
    <w:p w14:paraId="643F5A5F" w14:textId="77777777" w:rsidR="00B5342F" w:rsidRDefault="00000000">
      <w:pPr>
        <w:pStyle w:val="TOC2"/>
        <w:tabs>
          <w:tab w:val="clear" w:pos="1470"/>
          <w:tab w:val="clear" w:pos="8296"/>
          <w:tab w:val="right" w:leader="dot" w:pos="9072"/>
        </w:tabs>
        <w:topLinePunct/>
        <w:ind w:left="420"/>
      </w:pPr>
      <w:hyperlink w:anchor="_Toc6716" w:history="1">
        <w:r>
          <w:rPr>
            <w:rFonts w:ascii="楷体" w:eastAsia="楷体" w:hAnsi="楷体" w:cs="楷体" w:hint="eastAsia"/>
            <w:bCs/>
            <w:szCs w:val="28"/>
          </w:rPr>
          <w:t>第一节  发展基础</w:t>
        </w:r>
        <w:r>
          <w:tab/>
        </w:r>
        <w:fldSimple w:instr=" PAGEREF _Toc6716 ">
          <w:r>
            <w:t>1</w:t>
          </w:r>
        </w:fldSimple>
      </w:hyperlink>
    </w:p>
    <w:p w14:paraId="6D7AC846" w14:textId="77777777" w:rsidR="00B5342F" w:rsidRDefault="00000000">
      <w:pPr>
        <w:pStyle w:val="TOC2"/>
        <w:tabs>
          <w:tab w:val="clear" w:pos="1470"/>
          <w:tab w:val="clear" w:pos="8296"/>
          <w:tab w:val="right" w:leader="dot" w:pos="9072"/>
        </w:tabs>
        <w:topLinePunct/>
        <w:ind w:left="420"/>
      </w:pPr>
      <w:hyperlink w:anchor="_Toc12318" w:history="1">
        <w:r>
          <w:rPr>
            <w:rFonts w:ascii="楷体" w:eastAsia="楷体" w:hAnsi="楷体" w:cs="楷体" w:hint="eastAsia"/>
            <w:bCs/>
            <w:szCs w:val="28"/>
          </w:rPr>
          <w:t>第二节  面临的机遇和挑战</w:t>
        </w:r>
        <w:r>
          <w:tab/>
        </w:r>
        <w:fldSimple w:instr=" PAGEREF _Toc12318 ">
          <w:r>
            <w:t>5</w:t>
          </w:r>
        </w:fldSimple>
      </w:hyperlink>
    </w:p>
    <w:p w14:paraId="1A621680" w14:textId="77777777" w:rsidR="00B5342F" w:rsidRDefault="00000000">
      <w:pPr>
        <w:pStyle w:val="TOC2"/>
        <w:tabs>
          <w:tab w:val="clear" w:pos="1470"/>
          <w:tab w:val="clear" w:pos="8296"/>
          <w:tab w:val="right" w:leader="dot" w:pos="9072"/>
        </w:tabs>
        <w:topLinePunct/>
        <w:ind w:left="420"/>
      </w:pPr>
      <w:hyperlink w:anchor="_Toc7636" w:history="1">
        <w:r>
          <w:rPr>
            <w:rFonts w:ascii="楷体" w:eastAsia="楷体" w:hAnsi="楷体" w:cs="楷体" w:hint="eastAsia"/>
            <w:bCs/>
            <w:szCs w:val="28"/>
          </w:rPr>
          <w:t>第三节  指导思想和原则</w:t>
        </w:r>
        <w:r>
          <w:tab/>
        </w:r>
        <w:fldSimple w:instr=" PAGEREF _Toc7636 ">
          <w:r>
            <w:t>7</w:t>
          </w:r>
        </w:fldSimple>
      </w:hyperlink>
    </w:p>
    <w:p w14:paraId="4005E3B9" w14:textId="77777777" w:rsidR="00B5342F" w:rsidRDefault="00000000">
      <w:pPr>
        <w:pStyle w:val="TOC2"/>
        <w:tabs>
          <w:tab w:val="clear" w:pos="1470"/>
          <w:tab w:val="clear" w:pos="8296"/>
          <w:tab w:val="right" w:leader="dot" w:pos="9072"/>
        </w:tabs>
        <w:topLinePunct/>
        <w:ind w:left="420"/>
      </w:pPr>
      <w:hyperlink w:anchor="_Toc594" w:history="1">
        <w:r>
          <w:rPr>
            <w:rFonts w:ascii="楷体" w:eastAsia="楷体" w:hAnsi="楷体" w:cs="楷体" w:hint="eastAsia"/>
            <w:bCs/>
            <w:szCs w:val="28"/>
          </w:rPr>
          <w:t>第四节  发展思路</w:t>
        </w:r>
        <w:r>
          <w:tab/>
        </w:r>
        <w:fldSimple w:instr=" PAGEREF _Toc594 ">
          <w:r>
            <w:t>9</w:t>
          </w:r>
        </w:fldSimple>
      </w:hyperlink>
    </w:p>
    <w:p w14:paraId="3CFE0507" w14:textId="77777777" w:rsidR="00B5342F" w:rsidRDefault="00000000">
      <w:pPr>
        <w:pStyle w:val="TOC2"/>
        <w:tabs>
          <w:tab w:val="clear" w:pos="1470"/>
          <w:tab w:val="clear" w:pos="8296"/>
          <w:tab w:val="right" w:leader="dot" w:pos="9072"/>
        </w:tabs>
        <w:topLinePunct/>
        <w:ind w:left="420"/>
      </w:pPr>
      <w:hyperlink w:anchor="_Toc22764" w:history="1">
        <w:r>
          <w:rPr>
            <w:rFonts w:ascii="楷体" w:eastAsia="楷体" w:hAnsi="楷体" w:cs="楷体" w:hint="eastAsia"/>
            <w:bCs/>
            <w:szCs w:val="28"/>
          </w:rPr>
          <w:t>第五节  发展目标</w:t>
        </w:r>
        <w:r>
          <w:tab/>
        </w:r>
        <w:fldSimple w:instr=" PAGEREF _Toc22764 ">
          <w:r>
            <w:t>11</w:t>
          </w:r>
        </w:fldSimple>
      </w:hyperlink>
    </w:p>
    <w:p w14:paraId="7813A8B1" w14:textId="77777777" w:rsidR="00B5342F" w:rsidRDefault="00000000">
      <w:pPr>
        <w:pStyle w:val="TOC2"/>
        <w:tabs>
          <w:tab w:val="clear" w:pos="1470"/>
          <w:tab w:val="clear" w:pos="8296"/>
          <w:tab w:val="right" w:leader="dot" w:pos="9072"/>
        </w:tabs>
        <w:topLinePunct/>
        <w:ind w:left="420"/>
      </w:pPr>
      <w:hyperlink w:anchor="_Toc25103" w:history="1">
        <w:r>
          <w:rPr>
            <w:rFonts w:ascii="楷体" w:eastAsia="楷体" w:hAnsi="楷体" w:cs="楷体" w:hint="eastAsia"/>
            <w:bCs/>
            <w:szCs w:val="28"/>
          </w:rPr>
          <w:t>第六节  2035年远景目标</w:t>
        </w:r>
        <w:r>
          <w:tab/>
        </w:r>
        <w:fldSimple w:instr=" PAGEREF _Toc25103 ">
          <w:r>
            <w:t>14</w:t>
          </w:r>
        </w:fldSimple>
      </w:hyperlink>
    </w:p>
    <w:p w14:paraId="253B95A0" w14:textId="77777777" w:rsidR="00B5342F" w:rsidRDefault="00000000">
      <w:pPr>
        <w:pStyle w:val="TOC2"/>
        <w:tabs>
          <w:tab w:val="clear" w:pos="1470"/>
          <w:tab w:val="clear" w:pos="8296"/>
          <w:tab w:val="right" w:leader="dot" w:pos="9072"/>
        </w:tabs>
        <w:topLinePunct/>
        <w:ind w:left="420"/>
      </w:pPr>
      <w:hyperlink w:anchor="_Toc5183" w:history="1">
        <w:r>
          <w:rPr>
            <w:rFonts w:ascii="黑体" w:eastAsia="黑体" w:hAnsi="黑体" w:cs="黑体" w:hint="eastAsia"/>
            <w:szCs w:val="30"/>
          </w:rPr>
          <w:t>第二章  发挥比较优势  构建特色现代产业体系</w:t>
        </w:r>
        <w:r>
          <w:tab/>
        </w:r>
        <w:fldSimple w:instr=" PAGEREF _Toc5183 ">
          <w:r>
            <w:t>14</w:t>
          </w:r>
        </w:fldSimple>
      </w:hyperlink>
    </w:p>
    <w:p w14:paraId="79E7D065" w14:textId="77777777" w:rsidR="00B5342F" w:rsidRDefault="00000000">
      <w:pPr>
        <w:pStyle w:val="TOC2"/>
        <w:tabs>
          <w:tab w:val="clear" w:pos="1470"/>
          <w:tab w:val="clear" w:pos="8296"/>
          <w:tab w:val="right" w:leader="dot" w:pos="9072"/>
        </w:tabs>
        <w:topLinePunct/>
        <w:ind w:left="420"/>
      </w:pPr>
      <w:hyperlink w:anchor="_Toc30612" w:history="1">
        <w:r>
          <w:rPr>
            <w:rFonts w:ascii="楷体" w:eastAsia="楷体" w:hAnsi="楷体" w:cs="楷体" w:hint="eastAsia"/>
            <w:bCs/>
            <w:szCs w:val="28"/>
          </w:rPr>
          <w:t>第一节  推动工业经济提速增效</w:t>
        </w:r>
        <w:r>
          <w:tab/>
        </w:r>
        <w:fldSimple w:instr=" PAGEREF _Toc30612 ">
          <w:r>
            <w:t>14</w:t>
          </w:r>
        </w:fldSimple>
      </w:hyperlink>
    </w:p>
    <w:p w14:paraId="4D32B883" w14:textId="77777777" w:rsidR="00B5342F" w:rsidRDefault="00000000">
      <w:pPr>
        <w:pStyle w:val="TOC2"/>
        <w:tabs>
          <w:tab w:val="clear" w:pos="1470"/>
          <w:tab w:val="clear" w:pos="8296"/>
          <w:tab w:val="right" w:leader="dot" w:pos="9072"/>
        </w:tabs>
        <w:topLinePunct/>
        <w:ind w:left="420"/>
      </w:pPr>
      <w:hyperlink w:anchor="_Toc30679" w:history="1">
        <w:r>
          <w:rPr>
            <w:rFonts w:ascii="楷体" w:eastAsia="楷体" w:hAnsi="楷体" w:cs="楷体" w:hint="eastAsia"/>
            <w:bCs/>
            <w:szCs w:val="28"/>
          </w:rPr>
          <w:t>第二节  推动现代服务业发展壮大</w:t>
        </w:r>
        <w:r>
          <w:tab/>
        </w:r>
        <w:fldSimple w:instr=" PAGEREF _Toc30679 ">
          <w:r>
            <w:t>18</w:t>
          </w:r>
        </w:fldSimple>
      </w:hyperlink>
    </w:p>
    <w:p w14:paraId="2DDD6351" w14:textId="77777777" w:rsidR="00B5342F" w:rsidRDefault="00000000">
      <w:pPr>
        <w:pStyle w:val="TOC2"/>
        <w:tabs>
          <w:tab w:val="clear" w:pos="1470"/>
          <w:tab w:val="clear" w:pos="8296"/>
          <w:tab w:val="right" w:leader="dot" w:pos="9072"/>
        </w:tabs>
        <w:topLinePunct/>
        <w:ind w:left="420"/>
      </w:pPr>
      <w:hyperlink w:anchor="_Toc28795" w:history="1">
        <w:r>
          <w:rPr>
            <w:rFonts w:ascii="楷体" w:eastAsia="楷体" w:hAnsi="楷体" w:cs="楷体" w:hint="eastAsia"/>
            <w:bCs/>
            <w:szCs w:val="28"/>
          </w:rPr>
          <w:t>第三节  推动现代高效特色农业发展</w:t>
        </w:r>
        <w:r>
          <w:tab/>
        </w:r>
        <w:fldSimple w:instr=" PAGEREF _Toc28795 ">
          <w:r>
            <w:t>23</w:t>
          </w:r>
        </w:fldSimple>
      </w:hyperlink>
    </w:p>
    <w:p w14:paraId="2137D938" w14:textId="77777777" w:rsidR="00B5342F" w:rsidRDefault="00000000">
      <w:pPr>
        <w:pStyle w:val="TOC2"/>
        <w:tabs>
          <w:tab w:val="clear" w:pos="1470"/>
          <w:tab w:val="clear" w:pos="8296"/>
          <w:tab w:val="right" w:leader="dot" w:pos="9072"/>
        </w:tabs>
        <w:topLinePunct/>
        <w:ind w:left="420"/>
      </w:pPr>
      <w:hyperlink w:anchor="_Toc29108" w:history="1">
        <w:r>
          <w:rPr>
            <w:rFonts w:ascii="黑体" w:eastAsia="黑体" w:hAnsi="黑体" w:cs="黑体" w:hint="eastAsia"/>
            <w:szCs w:val="30"/>
          </w:rPr>
          <w:t>第三章  提升城市首位度  促进形成新发展格局</w:t>
        </w:r>
        <w:r>
          <w:tab/>
        </w:r>
        <w:fldSimple w:instr=" PAGEREF _Toc29108 ">
          <w:r>
            <w:t>28</w:t>
          </w:r>
        </w:fldSimple>
      </w:hyperlink>
    </w:p>
    <w:p w14:paraId="7694F50F" w14:textId="77777777" w:rsidR="00B5342F" w:rsidRDefault="00000000">
      <w:pPr>
        <w:pStyle w:val="TOC2"/>
        <w:tabs>
          <w:tab w:val="clear" w:pos="1470"/>
          <w:tab w:val="clear" w:pos="8296"/>
          <w:tab w:val="right" w:leader="dot" w:pos="9072"/>
        </w:tabs>
        <w:topLinePunct/>
        <w:ind w:left="420"/>
      </w:pPr>
      <w:hyperlink w:anchor="_Toc26192" w:history="1">
        <w:r>
          <w:rPr>
            <w:rFonts w:ascii="楷体" w:eastAsia="楷体" w:hAnsi="楷体" w:cs="楷体" w:hint="eastAsia"/>
            <w:bCs/>
            <w:szCs w:val="28"/>
          </w:rPr>
          <w:t>第一节  优化城市空间格局</w:t>
        </w:r>
        <w:r>
          <w:tab/>
        </w:r>
        <w:fldSimple w:instr=" PAGEREF _Toc26192 ">
          <w:r>
            <w:t>28</w:t>
          </w:r>
        </w:fldSimple>
      </w:hyperlink>
    </w:p>
    <w:p w14:paraId="4B8A37BC" w14:textId="77777777" w:rsidR="00B5342F" w:rsidRDefault="00000000">
      <w:pPr>
        <w:pStyle w:val="TOC2"/>
        <w:tabs>
          <w:tab w:val="clear" w:pos="1470"/>
          <w:tab w:val="clear" w:pos="8296"/>
          <w:tab w:val="right" w:leader="dot" w:pos="9072"/>
        </w:tabs>
        <w:topLinePunct/>
        <w:ind w:left="420"/>
      </w:pPr>
      <w:hyperlink w:anchor="_Toc12946" w:history="1">
        <w:r>
          <w:rPr>
            <w:rFonts w:ascii="楷体" w:eastAsia="楷体" w:hAnsi="楷体" w:cs="楷体" w:hint="eastAsia"/>
            <w:bCs/>
            <w:szCs w:val="28"/>
          </w:rPr>
          <w:t>第二节  提升城市品质风貌</w:t>
        </w:r>
        <w:r>
          <w:tab/>
        </w:r>
        <w:fldSimple w:instr=" PAGEREF _Toc12946 ">
          <w:r>
            <w:t>30</w:t>
          </w:r>
        </w:fldSimple>
      </w:hyperlink>
    </w:p>
    <w:p w14:paraId="108907BC" w14:textId="77777777" w:rsidR="00B5342F" w:rsidRDefault="00000000">
      <w:pPr>
        <w:pStyle w:val="TOC2"/>
        <w:tabs>
          <w:tab w:val="clear" w:pos="1470"/>
          <w:tab w:val="clear" w:pos="8296"/>
          <w:tab w:val="right" w:leader="dot" w:pos="9072"/>
        </w:tabs>
        <w:topLinePunct/>
        <w:ind w:left="420"/>
      </w:pPr>
      <w:hyperlink w:anchor="_Toc22196" w:history="1">
        <w:r>
          <w:rPr>
            <w:rFonts w:ascii="楷体" w:eastAsia="楷体" w:hAnsi="楷体" w:cs="楷体" w:hint="eastAsia"/>
            <w:bCs/>
            <w:szCs w:val="28"/>
          </w:rPr>
          <w:t>第三节  加快城市管理科学化精细化智慧化</w:t>
        </w:r>
        <w:r>
          <w:tab/>
        </w:r>
        <w:fldSimple w:instr=" PAGEREF _Toc22196 ">
          <w:r>
            <w:t>33</w:t>
          </w:r>
        </w:fldSimple>
      </w:hyperlink>
    </w:p>
    <w:p w14:paraId="73FA6201" w14:textId="77777777" w:rsidR="00B5342F" w:rsidRDefault="00000000">
      <w:pPr>
        <w:pStyle w:val="TOC2"/>
        <w:tabs>
          <w:tab w:val="clear" w:pos="1470"/>
          <w:tab w:val="clear" w:pos="8296"/>
          <w:tab w:val="right" w:leader="dot" w:pos="9072"/>
        </w:tabs>
        <w:topLinePunct/>
        <w:ind w:left="420"/>
      </w:pPr>
      <w:hyperlink w:anchor="_Toc31239" w:history="1">
        <w:r>
          <w:rPr>
            <w:rFonts w:ascii="楷体" w:eastAsia="楷体" w:hAnsi="楷体" w:cs="楷体" w:hint="eastAsia"/>
            <w:bCs/>
            <w:szCs w:val="28"/>
          </w:rPr>
          <w:t>第四节  发展特色小城镇</w:t>
        </w:r>
        <w:r>
          <w:tab/>
        </w:r>
        <w:fldSimple w:instr=" PAGEREF _Toc31239 ">
          <w:r>
            <w:t>33</w:t>
          </w:r>
        </w:fldSimple>
      </w:hyperlink>
    </w:p>
    <w:p w14:paraId="678EAEBB" w14:textId="77777777" w:rsidR="00B5342F" w:rsidRDefault="00000000">
      <w:pPr>
        <w:pStyle w:val="TOC2"/>
        <w:tabs>
          <w:tab w:val="clear" w:pos="1470"/>
          <w:tab w:val="clear" w:pos="8296"/>
          <w:tab w:val="right" w:leader="dot" w:pos="9072"/>
        </w:tabs>
        <w:topLinePunct/>
        <w:ind w:left="420"/>
      </w:pPr>
      <w:hyperlink w:anchor="_Toc8597" w:history="1">
        <w:r>
          <w:rPr>
            <w:rFonts w:ascii="楷体" w:eastAsia="楷体" w:hAnsi="楷体" w:cs="楷体" w:hint="eastAsia"/>
            <w:bCs/>
            <w:szCs w:val="28"/>
          </w:rPr>
          <w:t>第五节  推进农业转移人口市民化</w:t>
        </w:r>
        <w:r>
          <w:tab/>
        </w:r>
        <w:fldSimple w:instr=" PAGEREF _Toc8597 ">
          <w:r>
            <w:t>34</w:t>
          </w:r>
        </w:fldSimple>
      </w:hyperlink>
    </w:p>
    <w:p w14:paraId="67D22B33" w14:textId="77777777" w:rsidR="00B5342F" w:rsidRDefault="00000000">
      <w:pPr>
        <w:pStyle w:val="TOC2"/>
        <w:tabs>
          <w:tab w:val="clear" w:pos="1470"/>
          <w:tab w:val="clear" w:pos="8296"/>
          <w:tab w:val="right" w:leader="dot" w:pos="9072"/>
        </w:tabs>
        <w:topLinePunct/>
        <w:ind w:left="420"/>
      </w:pPr>
      <w:hyperlink w:anchor="_Toc29767" w:history="1">
        <w:r>
          <w:rPr>
            <w:rFonts w:ascii="楷体" w:eastAsia="楷体" w:hAnsi="楷体" w:cs="楷体" w:hint="eastAsia"/>
            <w:bCs/>
            <w:szCs w:val="28"/>
          </w:rPr>
          <w:t>第六节  促进城乡融合发展</w:t>
        </w:r>
        <w:r>
          <w:tab/>
        </w:r>
        <w:fldSimple w:instr=" PAGEREF _Toc29767 ">
          <w:r>
            <w:t>34</w:t>
          </w:r>
        </w:fldSimple>
      </w:hyperlink>
    </w:p>
    <w:p w14:paraId="04D0399E" w14:textId="77777777" w:rsidR="00B5342F" w:rsidRDefault="00000000">
      <w:pPr>
        <w:pStyle w:val="TOC2"/>
        <w:tabs>
          <w:tab w:val="clear" w:pos="1470"/>
          <w:tab w:val="clear" w:pos="8296"/>
          <w:tab w:val="right" w:leader="dot" w:pos="9072"/>
        </w:tabs>
        <w:topLinePunct/>
        <w:ind w:left="420"/>
      </w:pPr>
      <w:hyperlink w:anchor="_Toc26191" w:history="1">
        <w:r>
          <w:rPr>
            <w:rFonts w:ascii="楷体" w:eastAsia="楷体" w:hAnsi="楷体" w:cs="楷体" w:hint="eastAsia"/>
            <w:bCs/>
            <w:szCs w:val="28"/>
          </w:rPr>
          <w:t>第七节  积极打造区域性消费中心城市</w:t>
        </w:r>
        <w:r>
          <w:tab/>
        </w:r>
        <w:fldSimple w:instr=" PAGEREF _Toc26191 ">
          <w:r>
            <w:t>35</w:t>
          </w:r>
        </w:fldSimple>
      </w:hyperlink>
    </w:p>
    <w:p w14:paraId="433F2011" w14:textId="77777777" w:rsidR="00B5342F" w:rsidRDefault="00000000">
      <w:pPr>
        <w:pStyle w:val="TOC2"/>
        <w:tabs>
          <w:tab w:val="clear" w:pos="1470"/>
          <w:tab w:val="clear" w:pos="8296"/>
          <w:tab w:val="right" w:leader="dot" w:pos="9072"/>
        </w:tabs>
        <w:topLinePunct/>
        <w:ind w:left="420"/>
      </w:pPr>
      <w:hyperlink w:anchor="_Toc16207" w:history="1">
        <w:r>
          <w:rPr>
            <w:rFonts w:ascii="楷体" w:eastAsia="楷体" w:hAnsi="楷体" w:cs="楷体" w:hint="eastAsia"/>
            <w:bCs/>
            <w:szCs w:val="28"/>
          </w:rPr>
          <w:t>第八节  积极融入国内国际双循环格局</w:t>
        </w:r>
        <w:r>
          <w:tab/>
        </w:r>
        <w:fldSimple w:instr=" PAGEREF _Toc16207 ">
          <w:r>
            <w:t>36</w:t>
          </w:r>
        </w:fldSimple>
      </w:hyperlink>
    </w:p>
    <w:p w14:paraId="67BDF275" w14:textId="77777777" w:rsidR="00B5342F" w:rsidRDefault="00000000">
      <w:pPr>
        <w:pStyle w:val="TOC2"/>
        <w:tabs>
          <w:tab w:val="clear" w:pos="1470"/>
          <w:tab w:val="clear" w:pos="8296"/>
          <w:tab w:val="right" w:leader="dot" w:pos="9072"/>
        </w:tabs>
        <w:topLinePunct/>
        <w:ind w:left="420"/>
      </w:pPr>
      <w:hyperlink w:anchor="_Toc7857" w:history="1">
        <w:r>
          <w:rPr>
            <w:rFonts w:ascii="黑体" w:eastAsia="黑体" w:hAnsi="黑体" w:cs="黑体" w:hint="eastAsia"/>
            <w:szCs w:val="30"/>
          </w:rPr>
          <w:t>第四章  深化改革扩大开放  加快创新驱动发展</w:t>
        </w:r>
        <w:r>
          <w:tab/>
        </w:r>
        <w:fldSimple w:instr=" PAGEREF _Toc7857 ">
          <w:r>
            <w:t>36</w:t>
          </w:r>
        </w:fldSimple>
      </w:hyperlink>
    </w:p>
    <w:p w14:paraId="7D0B5AE0" w14:textId="77777777" w:rsidR="00B5342F" w:rsidRDefault="00000000">
      <w:pPr>
        <w:pStyle w:val="TOC2"/>
        <w:tabs>
          <w:tab w:val="clear" w:pos="1470"/>
          <w:tab w:val="clear" w:pos="8296"/>
          <w:tab w:val="right" w:leader="dot" w:pos="9072"/>
        </w:tabs>
        <w:topLinePunct/>
        <w:ind w:left="420"/>
      </w:pPr>
      <w:hyperlink w:anchor="_Toc6743" w:history="1">
        <w:r>
          <w:rPr>
            <w:rFonts w:ascii="楷体" w:eastAsia="楷体" w:hAnsi="楷体" w:cs="楷体" w:hint="eastAsia"/>
            <w:bCs/>
            <w:szCs w:val="28"/>
          </w:rPr>
          <w:t>第一节  全面深化改革</w:t>
        </w:r>
        <w:r>
          <w:tab/>
        </w:r>
        <w:fldSimple w:instr=" PAGEREF _Toc6743 ">
          <w:r>
            <w:t>37</w:t>
          </w:r>
        </w:fldSimple>
      </w:hyperlink>
    </w:p>
    <w:p w14:paraId="37AA448D" w14:textId="77777777" w:rsidR="00B5342F" w:rsidRDefault="00000000">
      <w:pPr>
        <w:pStyle w:val="TOC2"/>
        <w:tabs>
          <w:tab w:val="clear" w:pos="1470"/>
          <w:tab w:val="clear" w:pos="8296"/>
          <w:tab w:val="right" w:leader="dot" w:pos="9072"/>
        </w:tabs>
        <w:topLinePunct/>
        <w:ind w:left="420"/>
      </w:pPr>
      <w:hyperlink w:anchor="_Toc3892" w:history="1">
        <w:r>
          <w:rPr>
            <w:rFonts w:ascii="楷体" w:eastAsia="楷体" w:hAnsi="楷体" w:cs="楷体" w:hint="eastAsia"/>
            <w:bCs/>
            <w:szCs w:val="28"/>
          </w:rPr>
          <w:t>第二节  推进更高水平开放</w:t>
        </w:r>
        <w:r>
          <w:tab/>
        </w:r>
        <w:fldSimple w:instr=" PAGEREF _Toc3892 ">
          <w:r>
            <w:t>39</w:t>
          </w:r>
        </w:fldSimple>
      </w:hyperlink>
    </w:p>
    <w:p w14:paraId="1A14B4C2" w14:textId="77777777" w:rsidR="00B5342F" w:rsidRDefault="00000000">
      <w:pPr>
        <w:pStyle w:val="TOC2"/>
        <w:tabs>
          <w:tab w:val="clear" w:pos="1470"/>
          <w:tab w:val="clear" w:pos="8296"/>
          <w:tab w:val="right" w:leader="dot" w:pos="9072"/>
        </w:tabs>
        <w:topLinePunct/>
        <w:ind w:left="420"/>
      </w:pPr>
      <w:hyperlink w:anchor="_Toc6565" w:history="1">
        <w:r>
          <w:rPr>
            <w:rFonts w:ascii="楷体" w:eastAsia="楷体" w:hAnsi="楷体" w:cs="楷体" w:hint="eastAsia"/>
            <w:bCs/>
            <w:szCs w:val="28"/>
          </w:rPr>
          <w:t>第三节  加快创新驱动发展</w:t>
        </w:r>
        <w:r>
          <w:tab/>
        </w:r>
        <w:fldSimple w:instr=" PAGEREF _Toc6565 ">
          <w:r>
            <w:t>40</w:t>
          </w:r>
        </w:fldSimple>
      </w:hyperlink>
    </w:p>
    <w:p w14:paraId="276740A8" w14:textId="77777777" w:rsidR="00B5342F" w:rsidRDefault="00000000">
      <w:pPr>
        <w:pStyle w:val="TOC2"/>
        <w:tabs>
          <w:tab w:val="clear" w:pos="1470"/>
          <w:tab w:val="clear" w:pos="8296"/>
          <w:tab w:val="right" w:leader="dot" w:pos="9072"/>
        </w:tabs>
        <w:topLinePunct/>
        <w:ind w:left="420"/>
      </w:pPr>
      <w:hyperlink w:anchor="_Toc7657" w:history="1">
        <w:r>
          <w:rPr>
            <w:rFonts w:ascii="黑体" w:eastAsia="黑体" w:hAnsi="黑体" w:cs="黑体" w:hint="eastAsia"/>
            <w:szCs w:val="30"/>
          </w:rPr>
          <w:t>第五章  优先发展农业农村  深入推进乡村振兴</w:t>
        </w:r>
        <w:r>
          <w:tab/>
        </w:r>
        <w:fldSimple w:instr=" PAGEREF _Toc7657 ">
          <w:r>
            <w:t>41</w:t>
          </w:r>
        </w:fldSimple>
      </w:hyperlink>
    </w:p>
    <w:p w14:paraId="3F284021" w14:textId="77777777" w:rsidR="00B5342F" w:rsidRDefault="00000000">
      <w:pPr>
        <w:pStyle w:val="TOC2"/>
        <w:tabs>
          <w:tab w:val="clear" w:pos="1470"/>
          <w:tab w:val="clear" w:pos="8296"/>
          <w:tab w:val="right" w:leader="dot" w:pos="9072"/>
        </w:tabs>
        <w:topLinePunct/>
        <w:ind w:left="420"/>
      </w:pPr>
      <w:hyperlink w:anchor="_Toc19011" w:history="1">
        <w:r>
          <w:rPr>
            <w:rFonts w:ascii="楷体" w:eastAsia="楷体" w:hAnsi="楷体" w:cs="楷体" w:hint="eastAsia"/>
            <w:bCs/>
            <w:szCs w:val="28"/>
          </w:rPr>
          <w:t>第一节  巩固拓展脱贫攻坚成果</w:t>
        </w:r>
        <w:r>
          <w:tab/>
        </w:r>
        <w:fldSimple w:instr=" PAGEREF _Toc19011 ">
          <w:r>
            <w:t>41</w:t>
          </w:r>
        </w:fldSimple>
      </w:hyperlink>
    </w:p>
    <w:p w14:paraId="0630F654" w14:textId="77777777" w:rsidR="00B5342F" w:rsidRDefault="00000000">
      <w:pPr>
        <w:pStyle w:val="TOC2"/>
        <w:tabs>
          <w:tab w:val="clear" w:pos="1470"/>
          <w:tab w:val="clear" w:pos="8296"/>
          <w:tab w:val="right" w:leader="dot" w:pos="9072"/>
        </w:tabs>
        <w:topLinePunct/>
        <w:ind w:left="420"/>
      </w:pPr>
      <w:hyperlink w:anchor="_Toc28145" w:history="1">
        <w:r>
          <w:rPr>
            <w:rFonts w:ascii="楷体" w:eastAsia="楷体" w:hAnsi="楷体" w:cs="楷体" w:hint="eastAsia"/>
            <w:bCs/>
            <w:szCs w:val="28"/>
          </w:rPr>
          <w:t>第二节  实施特色产业发展壮大行动</w:t>
        </w:r>
        <w:r>
          <w:tab/>
        </w:r>
        <w:fldSimple w:instr=" PAGEREF _Toc28145 ">
          <w:r>
            <w:t>42</w:t>
          </w:r>
        </w:fldSimple>
      </w:hyperlink>
    </w:p>
    <w:p w14:paraId="1F669ACE" w14:textId="77777777" w:rsidR="00B5342F" w:rsidRDefault="00000000">
      <w:pPr>
        <w:pStyle w:val="TOC2"/>
        <w:tabs>
          <w:tab w:val="clear" w:pos="1470"/>
          <w:tab w:val="clear" w:pos="8296"/>
          <w:tab w:val="right" w:leader="dot" w:pos="9072"/>
        </w:tabs>
        <w:topLinePunct/>
        <w:ind w:left="420"/>
      </w:pPr>
      <w:hyperlink w:anchor="_Toc19496" w:history="1">
        <w:r>
          <w:rPr>
            <w:rFonts w:ascii="楷体" w:eastAsia="楷体" w:hAnsi="楷体" w:cs="楷体" w:hint="eastAsia"/>
            <w:bCs/>
            <w:szCs w:val="28"/>
          </w:rPr>
          <w:t>第三节  实施人才振兴行动</w:t>
        </w:r>
        <w:r>
          <w:tab/>
        </w:r>
        <w:fldSimple w:instr=" PAGEREF _Toc19496 ">
          <w:r>
            <w:t>42</w:t>
          </w:r>
        </w:fldSimple>
      </w:hyperlink>
    </w:p>
    <w:p w14:paraId="3E4DA3B5" w14:textId="77777777" w:rsidR="00B5342F" w:rsidRDefault="00000000">
      <w:pPr>
        <w:pStyle w:val="TOC2"/>
        <w:tabs>
          <w:tab w:val="clear" w:pos="1470"/>
          <w:tab w:val="clear" w:pos="8296"/>
          <w:tab w:val="right" w:leader="dot" w:pos="9072"/>
        </w:tabs>
        <w:topLinePunct/>
        <w:ind w:left="420"/>
      </w:pPr>
      <w:hyperlink w:anchor="_Toc19310" w:history="1">
        <w:r>
          <w:rPr>
            <w:rFonts w:ascii="楷体" w:eastAsia="楷体" w:hAnsi="楷体" w:cs="楷体" w:hint="eastAsia"/>
            <w:bCs/>
            <w:szCs w:val="28"/>
          </w:rPr>
          <w:t>第四节  实施文化振兴行动</w:t>
        </w:r>
        <w:r>
          <w:tab/>
        </w:r>
        <w:fldSimple w:instr=" PAGEREF _Toc19310 ">
          <w:r>
            <w:t>44</w:t>
          </w:r>
        </w:fldSimple>
      </w:hyperlink>
    </w:p>
    <w:p w14:paraId="438E2C8C" w14:textId="77777777" w:rsidR="00B5342F" w:rsidRDefault="00000000">
      <w:pPr>
        <w:pStyle w:val="TOC2"/>
        <w:tabs>
          <w:tab w:val="clear" w:pos="1470"/>
          <w:tab w:val="clear" w:pos="8296"/>
          <w:tab w:val="right" w:leader="dot" w:pos="9072"/>
        </w:tabs>
        <w:topLinePunct/>
        <w:ind w:left="420"/>
      </w:pPr>
      <w:hyperlink w:anchor="_Toc24268" w:history="1">
        <w:r>
          <w:rPr>
            <w:rFonts w:ascii="楷体" w:eastAsia="楷体" w:hAnsi="楷体" w:cs="楷体" w:hint="eastAsia"/>
            <w:bCs/>
            <w:szCs w:val="28"/>
          </w:rPr>
          <w:t>第五节  实施生态振兴行动</w:t>
        </w:r>
        <w:r>
          <w:tab/>
        </w:r>
        <w:fldSimple w:instr=" PAGEREF _Toc24268 ">
          <w:r>
            <w:t>46</w:t>
          </w:r>
        </w:fldSimple>
      </w:hyperlink>
    </w:p>
    <w:p w14:paraId="404FCFE0" w14:textId="77777777" w:rsidR="00B5342F" w:rsidRDefault="00000000">
      <w:pPr>
        <w:pStyle w:val="TOC2"/>
        <w:tabs>
          <w:tab w:val="clear" w:pos="1470"/>
          <w:tab w:val="clear" w:pos="8296"/>
          <w:tab w:val="right" w:leader="dot" w:pos="9072"/>
        </w:tabs>
        <w:topLinePunct/>
        <w:ind w:left="420"/>
      </w:pPr>
      <w:hyperlink w:anchor="_Toc5204" w:history="1">
        <w:r>
          <w:rPr>
            <w:rFonts w:ascii="楷体" w:eastAsia="楷体" w:hAnsi="楷体" w:cs="楷体" w:hint="eastAsia"/>
            <w:bCs/>
            <w:szCs w:val="28"/>
          </w:rPr>
          <w:t>第六节  实施组织振兴行动</w:t>
        </w:r>
        <w:r>
          <w:tab/>
        </w:r>
        <w:fldSimple w:instr=" PAGEREF _Toc5204 ">
          <w:r>
            <w:t>47</w:t>
          </w:r>
        </w:fldSimple>
      </w:hyperlink>
    </w:p>
    <w:p w14:paraId="50E6961F" w14:textId="77777777" w:rsidR="00B5342F" w:rsidRDefault="00000000">
      <w:pPr>
        <w:pStyle w:val="TOC2"/>
        <w:tabs>
          <w:tab w:val="clear" w:pos="1470"/>
          <w:tab w:val="clear" w:pos="8296"/>
          <w:tab w:val="right" w:leader="dot" w:pos="9072"/>
        </w:tabs>
        <w:topLinePunct/>
        <w:ind w:left="420"/>
      </w:pPr>
      <w:hyperlink w:anchor="_Toc31557" w:history="1">
        <w:r>
          <w:rPr>
            <w:rFonts w:ascii="黑体" w:eastAsia="黑体" w:hAnsi="黑体" w:cs="黑体" w:hint="eastAsia"/>
            <w:szCs w:val="30"/>
          </w:rPr>
          <w:t>第六章  推进文化润疆  铸牢中华民族共同体意识</w:t>
        </w:r>
        <w:r>
          <w:tab/>
        </w:r>
        <w:fldSimple w:instr=" PAGEREF _Toc31557 ">
          <w:r>
            <w:t>49</w:t>
          </w:r>
        </w:fldSimple>
      </w:hyperlink>
    </w:p>
    <w:p w14:paraId="391A039F" w14:textId="77777777" w:rsidR="00B5342F" w:rsidRDefault="00000000">
      <w:pPr>
        <w:pStyle w:val="TOC2"/>
        <w:tabs>
          <w:tab w:val="clear" w:pos="1470"/>
          <w:tab w:val="clear" w:pos="8296"/>
          <w:tab w:val="right" w:leader="dot" w:pos="9072"/>
        </w:tabs>
        <w:topLinePunct/>
        <w:ind w:left="420"/>
      </w:pPr>
      <w:hyperlink w:anchor="_Toc27788" w:history="1">
        <w:r>
          <w:rPr>
            <w:rFonts w:ascii="楷体" w:eastAsia="楷体" w:hAnsi="楷体" w:cs="楷体" w:hint="eastAsia"/>
            <w:bCs/>
            <w:szCs w:val="28"/>
          </w:rPr>
          <w:t>第一节 推进中华民族共有家园建设</w:t>
        </w:r>
        <w:r>
          <w:tab/>
        </w:r>
        <w:fldSimple w:instr=" PAGEREF _Toc27788 ">
          <w:r>
            <w:t>50</w:t>
          </w:r>
        </w:fldSimple>
      </w:hyperlink>
    </w:p>
    <w:p w14:paraId="3609B4DE" w14:textId="77777777" w:rsidR="00B5342F" w:rsidRDefault="00000000">
      <w:pPr>
        <w:pStyle w:val="TOC2"/>
        <w:tabs>
          <w:tab w:val="clear" w:pos="1470"/>
          <w:tab w:val="clear" w:pos="8296"/>
          <w:tab w:val="right" w:leader="dot" w:pos="9072"/>
        </w:tabs>
        <w:topLinePunct/>
        <w:ind w:left="420"/>
      </w:pPr>
      <w:hyperlink w:anchor="_Toc12377" w:history="1">
        <w:r>
          <w:rPr>
            <w:rFonts w:ascii="楷体" w:eastAsia="楷体" w:hAnsi="楷体" w:cs="楷体" w:hint="eastAsia"/>
            <w:bCs/>
            <w:szCs w:val="28"/>
          </w:rPr>
          <w:t>第二节  深入实施文化润疆工程</w:t>
        </w:r>
        <w:r>
          <w:tab/>
        </w:r>
        <w:fldSimple w:instr=" PAGEREF _Toc12377 ">
          <w:r>
            <w:t>50</w:t>
          </w:r>
        </w:fldSimple>
      </w:hyperlink>
    </w:p>
    <w:p w14:paraId="2D6C74C7" w14:textId="77777777" w:rsidR="00B5342F" w:rsidRDefault="00000000">
      <w:pPr>
        <w:pStyle w:val="TOC2"/>
        <w:tabs>
          <w:tab w:val="clear" w:pos="1470"/>
          <w:tab w:val="clear" w:pos="8296"/>
          <w:tab w:val="right" w:leader="dot" w:pos="9072"/>
        </w:tabs>
        <w:topLinePunct/>
        <w:ind w:left="420"/>
      </w:pPr>
      <w:hyperlink w:anchor="_Toc16440" w:history="1">
        <w:r>
          <w:rPr>
            <w:rFonts w:ascii="楷体" w:eastAsia="楷体" w:hAnsi="楷体" w:cs="楷体" w:hint="eastAsia"/>
            <w:bCs/>
            <w:szCs w:val="28"/>
          </w:rPr>
          <w:t>第三节  促进宗教和睦和谐</w:t>
        </w:r>
        <w:r>
          <w:tab/>
        </w:r>
        <w:fldSimple w:instr=" PAGEREF _Toc16440 ">
          <w:r>
            <w:t>51</w:t>
          </w:r>
        </w:fldSimple>
      </w:hyperlink>
    </w:p>
    <w:p w14:paraId="34C8BEC0" w14:textId="77777777" w:rsidR="00B5342F" w:rsidRDefault="00000000">
      <w:pPr>
        <w:pStyle w:val="TOC2"/>
        <w:tabs>
          <w:tab w:val="clear" w:pos="1470"/>
          <w:tab w:val="clear" w:pos="8296"/>
          <w:tab w:val="right" w:leader="dot" w:pos="9072"/>
        </w:tabs>
        <w:topLinePunct/>
        <w:ind w:left="420"/>
      </w:pPr>
      <w:hyperlink w:anchor="_Toc22581" w:history="1">
        <w:r>
          <w:rPr>
            <w:rFonts w:ascii="楷体" w:eastAsia="楷体" w:hAnsi="楷体" w:cs="楷体" w:hint="eastAsia"/>
            <w:bCs/>
            <w:szCs w:val="28"/>
          </w:rPr>
          <w:t>第四节  提高社会文明程度</w:t>
        </w:r>
        <w:r>
          <w:tab/>
        </w:r>
        <w:fldSimple w:instr=" PAGEREF _Toc22581 ">
          <w:r>
            <w:t>51</w:t>
          </w:r>
        </w:fldSimple>
      </w:hyperlink>
    </w:p>
    <w:p w14:paraId="144A9808" w14:textId="77777777" w:rsidR="00B5342F" w:rsidRDefault="00000000">
      <w:pPr>
        <w:pStyle w:val="TOC2"/>
        <w:tabs>
          <w:tab w:val="clear" w:pos="1470"/>
          <w:tab w:val="clear" w:pos="8296"/>
          <w:tab w:val="right" w:leader="dot" w:pos="9072"/>
        </w:tabs>
        <w:topLinePunct/>
        <w:ind w:left="420"/>
      </w:pPr>
      <w:hyperlink w:anchor="_Toc27939" w:history="1">
        <w:r>
          <w:rPr>
            <w:rFonts w:ascii="楷体" w:eastAsia="楷体" w:hAnsi="楷体" w:cs="楷体" w:hint="eastAsia"/>
            <w:bCs/>
            <w:szCs w:val="28"/>
          </w:rPr>
          <w:t>第五节  提升公共文化服务水平</w:t>
        </w:r>
        <w:r>
          <w:tab/>
        </w:r>
        <w:fldSimple w:instr=" PAGEREF _Toc27939 ">
          <w:r>
            <w:t>52</w:t>
          </w:r>
        </w:fldSimple>
      </w:hyperlink>
    </w:p>
    <w:p w14:paraId="0CB71AF0" w14:textId="77777777" w:rsidR="00B5342F" w:rsidRDefault="00000000">
      <w:pPr>
        <w:pStyle w:val="TOC2"/>
        <w:tabs>
          <w:tab w:val="clear" w:pos="1470"/>
          <w:tab w:val="clear" w:pos="8296"/>
          <w:tab w:val="right" w:leader="dot" w:pos="9072"/>
        </w:tabs>
        <w:topLinePunct/>
        <w:ind w:left="420"/>
      </w:pPr>
      <w:hyperlink w:anchor="_Toc15514" w:history="1">
        <w:r>
          <w:rPr>
            <w:rFonts w:ascii="黑体" w:eastAsia="黑体" w:hAnsi="黑体" w:cs="黑体" w:hint="eastAsia"/>
            <w:szCs w:val="30"/>
          </w:rPr>
          <w:t>第七章  加强生态文明建设  建设美丽和田</w:t>
        </w:r>
        <w:r>
          <w:tab/>
        </w:r>
        <w:fldSimple w:instr=" PAGEREF _Toc15514 ">
          <w:r>
            <w:t>53</w:t>
          </w:r>
        </w:fldSimple>
      </w:hyperlink>
    </w:p>
    <w:p w14:paraId="67912D38" w14:textId="77777777" w:rsidR="00B5342F" w:rsidRDefault="00000000">
      <w:pPr>
        <w:pStyle w:val="TOC2"/>
        <w:tabs>
          <w:tab w:val="clear" w:pos="1470"/>
          <w:tab w:val="clear" w:pos="8296"/>
          <w:tab w:val="right" w:leader="dot" w:pos="9072"/>
        </w:tabs>
        <w:topLinePunct/>
        <w:ind w:left="420"/>
      </w:pPr>
      <w:hyperlink w:anchor="_Toc29855" w:history="1">
        <w:r>
          <w:rPr>
            <w:rFonts w:ascii="楷体" w:eastAsia="楷体" w:hAnsi="楷体" w:cs="楷体" w:hint="eastAsia"/>
            <w:bCs/>
            <w:szCs w:val="28"/>
          </w:rPr>
          <w:t>第一节  健全生态环境保护机制</w:t>
        </w:r>
        <w:r>
          <w:tab/>
        </w:r>
        <w:fldSimple w:instr=" PAGEREF _Toc29855 ">
          <w:r>
            <w:t>53</w:t>
          </w:r>
        </w:fldSimple>
      </w:hyperlink>
    </w:p>
    <w:p w14:paraId="4780BAD9" w14:textId="77777777" w:rsidR="00B5342F" w:rsidRDefault="00000000">
      <w:pPr>
        <w:pStyle w:val="TOC2"/>
        <w:tabs>
          <w:tab w:val="clear" w:pos="1470"/>
          <w:tab w:val="clear" w:pos="8296"/>
          <w:tab w:val="right" w:leader="dot" w:pos="9072"/>
        </w:tabs>
        <w:topLinePunct/>
        <w:ind w:left="420"/>
      </w:pPr>
      <w:hyperlink w:anchor="_Toc9670" w:history="1">
        <w:r>
          <w:rPr>
            <w:rFonts w:ascii="楷体" w:eastAsia="楷体" w:hAnsi="楷体" w:cs="楷体" w:hint="eastAsia"/>
            <w:bCs/>
            <w:szCs w:val="28"/>
          </w:rPr>
          <w:t>第二节  推动绿色低碳发展</w:t>
        </w:r>
        <w:r>
          <w:tab/>
        </w:r>
        <w:fldSimple w:instr=" PAGEREF _Toc9670 ">
          <w:r>
            <w:t>54</w:t>
          </w:r>
        </w:fldSimple>
      </w:hyperlink>
    </w:p>
    <w:p w14:paraId="308CFA30" w14:textId="77777777" w:rsidR="00B5342F" w:rsidRDefault="00000000">
      <w:pPr>
        <w:pStyle w:val="TOC2"/>
        <w:tabs>
          <w:tab w:val="clear" w:pos="1470"/>
          <w:tab w:val="clear" w:pos="8296"/>
          <w:tab w:val="right" w:leader="dot" w:pos="9072"/>
        </w:tabs>
        <w:topLinePunct/>
        <w:ind w:left="420"/>
      </w:pPr>
      <w:hyperlink w:anchor="_Toc24923" w:history="1">
        <w:r>
          <w:rPr>
            <w:rFonts w:ascii="楷体" w:eastAsia="楷体" w:hAnsi="楷体" w:cs="楷体" w:hint="eastAsia"/>
            <w:bCs/>
            <w:szCs w:val="28"/>
          </w:rPr>
          <w:t>第三节  持续加强生态环境保护</w:t>
        </w:r>
        <w:r>
          <w:tab/>
        </w:r>
        <w:fldSimple w:instr=" PAGEREF _Toc24923 ">
          <w:r>
            <w:t>54</w:t>
          </w:r>
        </w:fldSimple>
      </w:hyperlink>
    </w:p>
    <w:p w14:paraId="2B66D7BC" w14:textId="77777777" w:rsidR="00B5342F" w:rsidRDefault="00000000">
      <w:pPr>
        <w:pStyle w:val="TOC2"/>
        <w:tabs>
          <w:tab w:val="clear" w:pos="1470"/>
          <w:tab w:val="clear" w:pos="8296"/>
          <w:tab w:val="right" w:leader="dot" w:pos="9072"/>
        </w:tabs>
        <w:topLinePunct/>
        <w:ind w:left="420"/>
      </w:pPr>
      <w:hyperlink w:anchor="_Toc29035" w:history="1">
        <w:r>
          <w:rPr>
            <w:rFonts w:ascii="楷体" w:eastAsia="楷体" w:hAnsi="楷体" w:cs="楷体" w:hint="eastAsia"/>
            <w:bCs/>
            <w:szCs w:val="28"/>
          </w:rPr>
          <w:t>第四节  加强生态环境建设</w:t>
        </w:r>
        <w:r>
          <w:tab/>
        </w:r>
        <w:fldSimple w:instr=" PAGEREF _Toc29035 ">
          <w:r>
            <w:t>56</w:t>
          </w:r>
        </w:fldSimple>
      </w:hyperlink>
    </w:p>
    <w:p w14:paraId="236F0809" w14:textId="77777777" w:rsidR="00B5342F" w:rsidRDefault="00000000">
      <w:pPr>
        <w:pStyle w:val="TOC2"/>
        <w:tabs>
          <w:tab w:val="clear" w:pos="1470"/>
          <w:tab w:val="clear" w:pos="8296"/>
          <w:tab w:val="right" w:leader="dot" w:pos="9072"/>
        </w:tabs>
        <w:topLinePunct/>
        <w:ind w:left="420"/>
      </w:pPr>
      <w:hyperlink w:anchor="_Toc10497" w:history="1">
        <w:r>
          <w:rPr>
            <w:rFonts w:ascii="楷体" w:eastAsia="楷体" w:hAnsi="楷体" w:cs="楷体" w:hint="eastAsia"/>
            <w:bCs/>
            <w:szCs w:val="28"/>
          </w:rPr>
          <w:t>第五节  推进资源节约高效利用</w:t>
        </w:r>
        <w:r>
          <w:tab/>
        </w:r>
        <w:fldSimple w:instr=" PAGEREF _Toc10497 ">
          <w:r>
            <w:t>56</w:t>
          </w:r>
        </w:fldSimple>
      </w:hyperlink>
    </w:p>
    <w:p w14:paraId="759418B5" w14:textId="77777777" w:rsidR="00B5342F" w:rsidRDefault="00000000">
      <w:pPr>
        <w:pStyle w:val="TOC2"/>
        <w:tabs>
          <w:tab w:val="clear" w:pos="1470"/>
          <w:tab w:val="clear" w:pos="8296"/>
          <w:tab w:val="right" w:leader="dot" w:pos="9072"/>
        </w:tabs>
        <w:topLinePunct/>
        <w:ind w:left="420"/>
      </w:pPr>
      <w:hyperlink w:anchor="_Toc31327" w:history="1">
        <w:r>
          <w:rPr>
            <w:rFonts w:ascii="楷体" w:eastAsia="楷体" w:hAnsi="楷体" w:cs="楷体" w:hint="eastAsia"/>
            <w:bCs/>
            <w:szCs w:val="28"/>
          </w:rPr>
          <w:t>第六节  实施精准监管和智慧监管</w:t>
        </w:r>
        <w:r>
          <w:tab/>
        </w:r>
        <w:fldSimple w:instr=" PAGEREF _Toc31327 ">
          <w:r>
            <w:t>56</w:t>
          </w:r>
        </w:fldSimple>
      </w:hyperlink>
    </w:p>
    <w:p w14:paraId="4D84D6FB" w14:textId="77777777" w:rsidR="00B5342F" w:rsidRDefault="00000000">
      <w:pPr>
        <w:pStyle w:val="TOC2"/>
        <w:tabs>
          <w:tab w:val="clear" w:pos="1470"/>
          <w:tab w:val="clear" w:pos="8296"/>
          <w:tab w:val="right" w:leader="dot" w:pos="9072"/>
        </w:tabs>
        <w:topLinePunct/>
        <w:ind w:left="420"/>
      </w:pPr>
      <w:hyperlink w:anchor="_Toc20372" w:history="1">
        <w:r>
          <w:rPr>
            <w:rFonts w:ascii="黑体" w:eastAsia="黑体" w:hAnsi="黑体" w:cs="黑体" w:hint="eastAsia"/>
            <w:szCs w:val="30"/>
          </w:rPr>
          <w:t>第八章  大力保障和改善民生  增进各族群众福祉</w:t>
        </w:r>
        <w:r>
          <w:tab/>
        </w:r>
        <w:fldSimple w:instr=" PAGEREF _Toc20372 ">
          <w:r>
            <w:t>57</w:t>
          </w:r>
        </w:fldSimple>
      </w:hyperlink>
    </w:p>
    <w:p w14:paraId="7C384581" w14:textId="77777777" w:rsidR="00B5342F" w:rsidRDefault="00000000">
      <w:pPr>
        <w:pStyle w:val="TOC2"/>
        <w:tabs>
          <w:tab w:val="clear" w:pos="1470"/>
          <w:tab w:val="clear" w:pos="8296"/>
          <w:tab w:val="right" w:leader="dot" w:pos="9072"/>
        </w:tabs>
        <w:topLinePunct/>
        <w:ind w:left="420"/>
      </w:pPr>
      <w:hyperlink w:anchor="_Toc7931" w:history="1">
        <w:r>
          <w:rPr>
            <w:rFonts w:ascii="楷体" w:eastAsia="楷体" w:hAnsi="楷体" w:cs="楷体" w:hint="eastAsia"/>
            <w:bCs/>
            <w:szCs w:val="28"/>
          </w:rPr>
          <w:t>第一节  提高就业质量</w:t>
        </w:r>
        <w:r>
          <w:tab/>
        </w:r>
        <w:fldSimple w:instr=" PAGEREF _Toc7931 ">
          <w:r>
            <w:t>57</w:t>
          </w:r>
        </w:fldSimple>
      </w:hyperlink>
    </w:p>
    <w:p w14:paraId="15CF5C67" w14:textId="77777777" w:rsidR="00B5342F" w:rsidRDefault="00000000">
      <w:pPr>
        <w:pStyle w:val="TOC2"/>
        <w:tabs>
          <w:tab w:val="clear" w:pos="1470"/>
          <w:tab w:val="clear" w:pos="8296"/>
          <w:tab w:val="right" w:leader="dot" w:pos="9072"/>
        </w:tabs>
        <w:topLinePunct/>
        <w:ind w:left="420"/>
      </w:pPr>
      <w:hyperlink w:anchor="_Toc740" w:history="1">
        <w:r>
          <w:rPr>
            <w:rFonts w:ascii="楷体" w:eastAsia="楷体" w:hAnsi="楷体" w:cs="楷体" w:hint="eastAsia"/>
            <w:bCs/>
            <w:szCs w:val="28"/>
          </w:rPr>
          <w:t>第二节  优先发展教育事业</w:t>
        </w:r>
        <w:r>
          <w:tab/>
        </w:r>
        <w:fldSimple w:instr=" PAGEREF _Toc740 ">
          <w:r>
            <w:t>58</w:t>
          </w:r>
        </w:fldSimple>
      </w:hyperlink>
    </w:p>
    <w:p w14:paraId="4F189CAE" w14:textId="77777777" w:rsidR="00B5342F" w:rsidRDefault="00000000">
      <w:pPr>
        <w:pStyle w:val="TOC2"/>
        <w:tabs>
          <w:tab w:val="clear" w:pos="1470"/>
          <w:tab w:val="clear" w:pos="8296"/>
          <w:tab w:val="right" w:leader="dot" w:pos="9072"/>
        </w:tabs>
        <w:topLinePunct/>
        <w:ind w:left="420"/>
      </w:pPr>
      <w:hyperlink w:anchor="_Toc25406" w:history="1">
        <w:r>
          <w:rPr>
            <w:rFonts w:ascii="楷体" w:eastAsia="楷体" w:hAnsi="楷体" w:cs="楷体" w:hint="eastAsia"/>
            <w:bCs/>
            <w:szCs w:val="28"/>
          </w:rPr>
          <w:t>第三节  推进健康和田建设</w:t>
        </w:r>
        <w:r>
          <w:tab/>
        </w:r>
        <w:fldSimple w:instr=" PAGEREF _Toc25406 ">
          <w:r>
            <w:t>58</w:t>
          </w:r>
        </w:fldSimple>
      </w:hyperlink>
    </w:p>
    <w:p w14:paraId="7E3FA110" w14:textId="77777777" w:rsidR="00B5342F" w:rsidRDefault="00000000">
      <w:pPr>
        <w:pStyle w:val="TOC2"/>
        <w:tabs>
          <w:tab w:val="clear" w:pos="1470"/>
          <w:tab w:val="clear" w:pos="8296"/>
          <w:tab w:val="right" w:leader="dot" w:pos="9072"/>
        </w:tabs>
        <w:topLinePunct/>
        <w:ind w:left="420"/>
      </w:pPr>
      <w:hyperlink w:anchor="_Toc22172" w:history="1">
        <w:r>
          <w:rPr>
            <w:rFonts w:ascii="楷体" w:eastAsia="楷体" w:hAnsi="楷体" w:cs="楷体" w:hint="eastAsia"/>
            <w:bCs/>
            <w:szCs w:val="28"/>
          </w:rPr>
          <w:t>第四节  加强社会保障体系建设</w:t>
        </w:r>
        <w:r>
          <w:tab/>
        </w:r>
        <w:fldSimple w:instr=" PAGEREF _Toc22172 ">
          <w:r>
            <w:t>61</w:t>
          </w:r>
        </w:fldSimple>
      </w:hyperlink>
    </w:p>
    <w:p w14:paraId="6A12EB8E" w14:textId="77777777" w:rsidR="00B5342F" w:rsidRDefault="00000000">
      <w:pPr>
        <w:pStyle w:val="TOC2"/>
        <w:tabs>
          <w:tab w:val="clear" w:pos="1470"/>
          <w:tab w:val="clear" w:pos="8296"/>
          <w:tab w:val="right" w:leader="dot" w:pos="9072"/>
        </w:tabs>
        <w:topLinePunct/>
        <w:ind w:left="420"/>
      </w:pPr>
      <w:hyperlink w:anchor="_Toc21805" w:history="1">
        <w:r>
          <w:rPr>
            <w:rFonts w:ascii="楷体" w:eastAsia="楷体" w:hAnsi="楷体" w:cs="楷体" w:hint="eastAsia"/>
            <w:bCs/>
            <w:szCs w:val="28"/>
          </w:rPr>
          <w:t>第五节  加大住房保障力度</w:t>
        </w:r>
        <w:r>
          <w:tab/>
        </w:r>
        <w:fldSimple w:instr=" PAGEREF _Toc21805 ">
          <w:r>
            <w:t>62</w:t>
          </w:r>
        </w:fldSimple>
      </w:hyperlink>
    </w:p>
    <w:p w14:paraId="72E39374" w14:textId="77777777" w:rsidR="00B5342F" w:rsidRDefault="00000000">
      <w:pPr>
        <w:pStyle w:val="TOC2"/>
        <w:tabs>
          <w:tab w:val="clear" w:pos="1470"/>
          <w:tab w:val="clear" w:pos="8296"/>
          <w:tab w:val="right" w:leader="dot" w:pos="9072"/>
        </w:tabs>
        <w:topLinePunct/>
        <w:ind w:left="420"/>
      </w:pPr>
      <w:hyperlink w:anchor="_Toc19885" w:history="1">
        <w:r>
          <w:rPr>
            <w:rFonts w:ascii="楷体" w:eastAsia="楷体" w:hAnsi="楷体" w:cs="楷体" w:hint="eastAsia"/>
            <w:bCs/>
            <w:szCs w:val="28"/>
          </w:rPr>
          <w:t>第六节  健全公共安全体系</w:t>
        </w:r>
        <w:r>
          <w:tab/>
        </w:r>
        <w:fldSimple w:instr=" PAGEREF _Toc19885 ">
          <w:r>
            <w:t>62</w:t>
          </w:r>
        </w:fldSimple>
      </w:hyperlink>
    </w:p>
    <w:p w14:paraId="1F9CC66C" w14:textId="77777777" w:rsidR="00B5342F" w:rsidRDefault="00000000">
      <w:pPr>
        <w:pStyle w:val="TOC2"/>
        <w:tabs>
          <w:tab w:val="clear" w:pos="1470"/>
          <w:tab w:val="clear" w:pos="8296"/>
          <w:tab w:val="right" w:leader="dot" w:pos="9072"/>
        </w:tabs>
        <w:topLinePunct/>
        <w:ind w:left="420"/>
      </w:pPr>
      <w:hyperlink w:anchor="_Toc19717" w:history="1">
        <w:r>
          <w:rPr>
            <w:rFonts w:ascii="黑体" w:eastAsia="黑体" w:hAnsi="黑体" w:cs="黑体" w:hint="eastAsia"/>
            <w:szCs w:val="30"/>
          </w:rPr>
          <w:t>第九章  推进社会治理体系和治理能力现代化  建设更高水平的平安和田</w:t>
        </w:r>
        <w:r>
          <w:tab/>
        </w:r>
        <w:fldSimple w:instr=" PAGEREF _Toc19717 ">
          <w:r>
            <w:t>63</w:t>
          </w:r>
        </w:fldSimple>
      </w:hyperlink>
    </w:p>
    <w:p w14:paraId="5C74EBAF" w14:textId="77777777" w:rsidR="00B5342F" w:rsidRDefault="00000000">
      <w:pPr>
        <w:pStyle w:val="TOC2"/>
        <w:tabs>
          <w:tab w:val="clear" w:pos="1470"/>
          <w:tab w:val="clear" w:pos="8296"/>
          <w:tab w:val="right" w:leader="dot" w:pos="9072"/>
        </w:tabs>
        <w:topLinePunct/>
        <w:ind w:left="420"/>
      </w:pPr>
      <w:hyperlink w:anchor="_Toc1061" w:history="1">
        <w:r>
          <w:rPr>
            <w:rFonts w:ascii="楷体" w:eastAsia="楷体" w:hAnsi="楷体" w:cs="楷体" w:hint="eastAsia"/>
            <w:bCs/>
            <w:szCs w:val="28"/>
          </w:rPr>
          <w:t>第一节  推进法治和田建设</w:t>
        </w:r>
        <w:r>
          <w:tab/>
        </w:r>
        <w:fldSimple w:instr=" PAGEREF _Toc1061 ">
          <w:r>
            <w:t>63</w:t>
          </w:r>
        </w:fldSimple>
      </w:hyperlink>
    </w:p>
    <w:p w14:paraId="0C82793C" w14:textId="77777777" w:rsidR="00B5342F" w:rsidRDefault="00000000">
      <w:pPr>
        <w:pStyle w:val="TOC2"/>
        <w:tabs>
          <w:tab w:val="clear" w:pos="1470"/>
          <w:tab w:val="clear" w:pos="8296"/>
          <w:tab w:val="right" w:leader="dot" w:pos="9072"/>
        </w:tabs>
        <w:topLinePunct/>
        <w:ind w:left="420"/>
      </w:pPr>
      <w:hyperlink w:anchor="_Toc12350" w:history="1">
        <w:r>
          <w:rPr>
            <w:rFonts w:ascii="楷体" w:eastAsia="楷体" w:hAnsi="楷体" w:cs="楷体" w:hint="eastAsia"/>
            <w:bCs/>
            <w:szCs w:val="28"/>
          </w:rPr>
          <w:t>第二节  推进反恐维稳常态化</w:t>
        </w:r>
        <w:r>
          <w:tab/>
        </w:r>
        <w:fldSimple w:instr=" PAGEREF _Toc12350 ">
          <w:r>
            <w:t>63</w:t>
          </w:r>
        </w:fldSimple>
      </w:hyperlink>
    </w:p>
    <w:p w14:paraId="0471B26A" w14:textId="77777777" w:rsidR="00B5342F" w:rsidRDefault="00000000">
      <w:pPr>
        <w:pStyle w:val="TOC2"/>
        <w:tabs>
          <w:tab w:val="clear" w:pos="1470"/>
          <w:tab w:val="clear" w:pos="8296"/>
          <w:tab w:val="right" w:leader="dot" w:pos="9072"/>
        </w:tabs>
        <w:topLinePunct/>
        <w:ind w:left="420"/>
      </w:pPr>
      <w:hyperlink w:anchor="_Toc9398" w:history="1">
        <w:r>
          <w:rPr>
            <w:rFonts w:ascii="楷体" w:eastAsia="楷体" w:hAnsi="楷体" w:cs="楷体" w:hint="eastAsia"/>
            <w:bCs/>
            <w:szCs w:val="28"/>
          </w:rPr>
          <w:t>第三节  加强和创新社会治理</w:t>
        </w:r>
        <w:r>
          <w:tab/>
        </w:r>
        <w:fldSimple w:instr=" PAGEREF _Toc9398 ">
          <w:r>
            <w:t>64</w:t>
          </w:r>
        </w:fldSimple>
      </w:hyperlink>
    </w:p>
    <w:p w14:paraId="18D64827" w14:textId="77777777" w:rsidR="00B5342F" w:rsidRDefault="00000000">
      <w:pPr>
        <w:pStyle w:val="TOC2"/>
        <w:tabs>
          <w:tab w:val="clear" w:pos="1470"/>
          <w:tab w:val="clear" w:pos="8296"/>
          <w:tab w:val="right" w:leader="dot" w:pos="9072"/>
        </w:tabs>
        <w:topLinePunct/>
        <w:ind w:left="420"/>
      </w:pPr>
      <w:hyperlink w:anchor="_Toc21877" w:history="1">
        <w:r>
          <w:rPr>
            <w:rFonts w:ascii="黑体" w:eastAsia="黑体" w:hAnsi="黑体" w:cs="黑体" w:hint="eastAsia"/>
            <w:szCs w:val="30"/>
          </w:rPr>
          <w:t>第十章  深化对口援疆合作  提高援疆综合效益</w:t>
        </w:r>
        <w:r>
          <w:tab/>
        </w:r>
        <w:fldSimple w:instr=" PAGEREF _Toc21877 ">
          <w:r>
            <w:t>64</w:t>
          </w:r>
        </w:fldSimple>
      </w:hyperlink>
    </w:p>
    <w:p w14:paraId="6F9ACA1F" w14:textId="77777777" w:rsidR="00B5342F" w:rsidRDefault="00000000">
      <w:pPr>
        <w:pStyle w:val="TOC2"/>
        <w:tabs>
          <w:tab w:val="clear" w:pos="1470"/>
          <w:tab w:val="clear" w:pos="8296"/>
          <w:tab w:val="right" w:leader="dot" w:pos="9072"/>
        </w:tabs>
        <w:topLinePunct/>
        <w:ind w:left="420"/>
      </w:pPr>
      <w:hyperlink w:anchor="_Toc28534" w:history="1">
        <w:r>
          <w:rPr>
            <w:rFonts w:ascii="楷体" w:eastAsia="楷体" w:hAnsi="楷体" w:cs="楷体" w:hint="eastAsia"/>
            <w:bCs/>
            <w:szCs w:val="28"/>
          </w:rPr>
          <w:t>第一节  突出抓好智力支援</w:t>
        </w:r>
        <w:r>
          <w:tab/>
        </w:r>
        <w:fldSimple w:instr=" PAGEREF _Toc28534 ">
          <w:r>
            <w:t>64</w:t>
          </w:r>
        </w:fldSimple>
      </w:hyperlink>
    </w:p>
    <w:p w14:paraId="2048EBD1" w14:textId="77777777" w:rsidR="00B5342F" w:rsidRDefault="00000000">
      <w:pPr>
        <w:pStyle w:val="TOC2"/>
        <w:tabs>
          <w:tab w:val="clear" w:pos="1470"/>
          <w:tab w:val="clear" w:pos="8296"/>
          <w:tab w:val="right" w:leader="dot" w:pos="9072"/>
        </w:tabs>
        <w:topLinePunct/>
        <w:ind w:left="420"/>
      </w:pPr>
      <w:hyperlink w:anchor="_Toc22697" w:history="1">
        <w:r>
          <w:rPr>
            <w:rFonts w:ascii="楷体" w:eastAsia="楷体" w:hAnsi="楷体" w:cs="楷体" w:hint="eastAsia"/>
            <w:bCs/>
            <w:szCs w:val="28"/>
          </w:rPr>
          <w:t>第二节  务实推进产业支援</w:t>
        </w:r>
        <w:r>
          <w:tab/>
        </w:r>
        <w:fldSimple w:instr=" PAGEREF _Toc22697 ">
          <w:r>
            <w:t>65</w:t>
          </w:r>
        </w:fldSimple>
      </w:hyperlink>
    </w:p>
    <w:p w14:paraId="288B81C6" w14:textId="77777777" w:rsidR="00B5342F" w:rsidRDefault="00000000">
      <w:pPr>
        <w:pStyle w:val="TOC2"/>
        <w:tabs>
          <w:tab w:val="clear" w:pos="1470"/>
          <w:tab w:val="clear" w:pos="8296"/>
          <w:tab w:val="right" w:leader="dot" w:pos="9072"/>
        </w:tabs>
        <w:topLinePunct/>
        <w:ind w:left="420"/>
      </w:pPr>
      <w:hyperlink w:anchor="_Toc928" w:history="1">
        <w:r>
          <w:rPr>
            <w:rFonts w:ascii="楷体" w:eastAsia="楷体" w:hAnsi="楷体" w:cs="楷体" w:hint="eastAsia"/>
            <w:bCs/>
            <w:szCs w:val="28"/>
          </w:rPr>
          <w:t>第三节  持续保障和改善民生</w:t>
        </w:r>
        <w:r>
          <w:tab/>
        </w:r>
        <w:fldSimple w:instr=" PAGEREF _Toc928 ">
          <w:r>
            <w:t>65</w:t>
          </w:r>
        </w:fldSimple>
      </w:hyperlink>
    </w:p>
    <w:p w14:paraId="0AFE6266" w14:textId="77777777" w:rsidR="00B5342F" w:rsidRDefault="00000000">
      <w:pPr>
        <w:pStyle w:val="TOC2"/>
        <w:tabs>
          <w:tab w:val="clear" w:pos="1470"/>
          <w:tab w:val="clear" w:pos="8296"/>
          <w:tab w:val="right" w:leader="dot" w:pos="9072"/>
        </w:tabs>
        <w:topLinePunct/>
        <w:ind w:left="420"/>
      </w:pPr>
      <w:hyperlink w:anchor="_Toc27257" w:history="1">
        <w:r>
          <w:rPr>
            <w:rFonts w:ascii="楷体" w:eastAsia="楷体" w:hAnsi="楷体" w:cs="楷体" w:hint="eastAsia"/>
            <w:bCs/>
            <w:szCs w:val="28"/>
          </w:rPr>
          <w:t>第四节  完善对口支援与乡村振兴机制</w:t>
        </w:r>
        <w:r>
          <w:tab/>
        </w:r>
        <w:fldSimple w:instr=" PAGEREF _Toc27257 ">
          <w:r>
            <w:t>65</w:t>
          </w:r>
        </w:fldSimple>
      </w:hyperlink>
    </w:p>
    <w:p w14:paraId="5C1191E2" w14:textId="77777777" w:rsidR="00B5342F" w:rsidRDefault="00000000">
      <w:pPr>
        <w:pStyle w:val="TOC2"/>
        <w:tabs>
          <w:tab w:val="clear" w:pos="1470"/>
          <w:tab w:val="clear" w:pos="8296"/>
          <w:tab w:val="right" w:leader="dot" w:pos="9072"/>
        </w:tabs>
        <w:topLinePunct/>
        <w:ind w:left="420"/>
      </w:pPr>
      <w:hyperlink w:anchor="_Toc27744" w:history="1">
        <w:r>
          <w:rPr>
            <w:rFonts w:ascii="楷体" w:eastAsia="楷体" w:hAnsi="楷体" w:cs="楷体" w:hint="eastAsia"/>
            <w:bCs/>
            <w:szCs w:val="28"/>
          </w:rPr>
          <w:t>第五节  着力促进各民族交往交流交融</w:t>
        </w:r>
        <w:r>
          <w:tab/>
        </w:r>
        <w:fldSimple w:instr=" PAGEREF _Toc27744 ">
          <w:r>
            <w:t>66</w:t>
          </w:r>
        </w:fldSimple>
      </w:hyperlink>
    </w:p>
    <w:p w14:paraId="29167919" w14:textId="77777777" w:rsidR="00B5342F" w:rsidRDefault="00000000">
      <w:pPr>
        <w:pStyle w:val="TOC2"/>
        <w:tabs>
          <w:tab w:val="clear" w:pos="1470"/>
          <w:tab w:val="clear" w:pos="8296"/>
          <w:tab w:val="right" w:leader="dot" w:pos="9072"/>
        </w:tabs>
        <w:topLinePunct/>
        <w:ind w:left="420"/>
      </w:pPr>
      <w:hyperlink w:anchor="_Toc14919" w:history="1">
        <w:r>
          <w:rPr>
            <w:rFonts w:ascii="楷体" w:eastAsia="楷体" w:hAnsi="楷体" w:cs="楷体" w:hint="eastAsia"/>
            <w:bCs/>
            <w:szCs w:val="28"/>
          </w:rPr>
          <w:t>第六节  扎实推进文化教育支援</w:t>
        </w:r>
        <w:r>
          <w:tab/>
        </w:r>
        <w:fldSimple w:instr=" PAGEREF _Toc14919 ">
          <w:r>
            <w:t>66</w:t>
          </w:r>
        </w:fldSimple>
      </w:hyperlink>
    </w:p>
    <w:p w14:paraId="5E30806F" w14:textId="77777777" w:rsidR="00B5342F" w:rsidRDefault="00000000">
      <w:pPr>
        <w:pStyle w:val="TOC2"/>
        <w:tabs>
          <w:tab w:val="clear" w:pos="1470"/>
          <w:tab w:val="clear" w:pos="8296"/>
          <w:tab w:val="right" w:leader="dot" w:pos="9072"/>
        </w:tabs>
        <w:topLinePunct/>
        <w:ind w:left="420"/>
      </w:pPr>
      <w:hyperlink w:anchor="_Toc12523" w:history="1">
        <w:r>
          <w:rPr>
            <w:rFonts w:ascii="黑体" w:eastAsia="黑体" w:hAnsi="黑体" w:cs="黑体" w:hint="eastAsia"/>
            <w:szCs w:val="30"/>
          </w:rPr>
          <w:t>第十一章  促进兵地融合发展  发挥兵团特殊作用</w:t>
        </w:r>
        <w:r>
          <w:tab/>
        </w:r>
        <w:fldSimple w:instr=" PAGEREF _Toc12523 ">
          <w:r>
            <w:t>66</w:t>
          </w:r>
        </w:fldSimple>
      </w:hyperlink>
    </w:p>
    <w:p w14:paraId="05BBFFB0" w14:textId="77777777" w:rsidR="00B5342F" w:rsidRDefault="00000000">
      <w:pPr>
        <w:pStyle w:val="TOC2"/>
        <w:tabs>
          <w:tab w:val="clear" w:pos="1470"/>
          <w:tab w:val="clear" w:pos="8296"/>
          <w:tab w:val="right" w:leader="dot" w:pos="9072"/>
        </w:tabs>
        <w:topLinePunct/>
        <w:ind w:left="420"/>
      </w:pPr>
      <w:hyperlink w:anchor="_Toc23142" w:history="1">
        <w:r>
          <w:rPr>
            <w:rFonts w:ascii="楷体" w:eastAsia="楷体" w:hAnsi="楷体" w:cs="楷体" w:hint="eastAsia"/>
            <w:bCs/>
            <w:szCs w:val="28"/>
          </w:rPr>
          <w:t>第一节  支持兵团改革稳定</w:t>
        </w:r>
        <w:r>
          <w:tab/>
        </w:r>
        <w:fldSimple w:instr=" PAGEREF _Toc23142 ">
          <w:r>
            <w:t>66</w:t>
          </w:r>
        </w:fldSimple>
      </w:hyperlink>
    </w:p>
    <w:p w14:paraId="184CC2DB" w14:textId="77777777" w:rsidR="00B5342F" w:rsidRDefault="00000000">
      <w:pPr>
        <w:pStyle w:val="TOC2"/>
        <w:tabs>
          <w:tab w:val="clear" w:pos="1470"/>
          <w:tab w:val="clear" w:pos="8296"/>
          <w:tab w:val="right" w:leader="dot" w:pos="9072"/>
        </w:tabs>
        <w:topLinePunct/>
        <w:ind w:left="420"/>
      </w:pPr>
      <w:hyperlink w:anchor="_Toc27252" w:history="1">
        <w:r>
          <w:rPr>
            <w:rFonts w:ascii="楷体" w:eastAsia="楷体" w:hAnsi="楷体" w:cs="楷体" w:hint="eastAsia"/>
            <w:bCs/>
            <w:szCs w:val="28"/>
          </w:rPr>
          <w:t>第二节  推进兵地融合发展</w:t>
        </w:r>
        <w:r>
          <w:tab/>
        </w:r>
        <w:fldSimple w:instr=" PAGEREF _Toc27252 ">
          <w:r>
            <w:t>67</w:t>
          </w:r>
        </w:fldSimple>
      </w:hyperlink>
    </w:p>
    <w:p w14:paraId="53DBFCB6" w14:textId="77777777" w:rsidR="00B5342F" w:rsidRDefault="00000000">
      <w:pPr>
        <w:pStyle w:val="TOC2"/>
        <w:tabs>
          <w:tab w:val="clear" w:pos="1470"/>
          <w:tab w:val="clear" w:pos="8296"/>
          <w:tab w:val="right" w:leader="dot" w:pos="9072"/>
        </w:tabs>
        <w:topLinePunct/>
        <w:ind w:left="420"/>
      </w:pPr>
      <w:hyperlink w:anchor="_Toc14011" w:history="1">
        <w:r>
          <w:rPr>
            <w:rFonts w:ascii="黑体" w:eastAsia="黑体" w:hAnsi="黑体" w:cs="黑体" w:hint="eastAsia"/>
            <w:szCs w:val="30"/>
          </w:rPr>
          <w:t>第十二章  切实加强党的领导  保障规划顺利实施</w:t>
        </w:r>
        <w:r>
          <w:tab/>
        </w:r>
        <w:fldSimple w:instr=" PAGEREF _Toc14011 ">
          <w:r>
            <w:t>67</w:t>
          </w:r>
        </w:fldSimple>
      </w:hyperlink>
    </w:p>
    <w:p w14:paraId="397AB1F4" w14:textId="77777777" w:rsidR="00B5342F" w:rsidRDefault="00000000">
      <w:pPr>
        <w:pStyle w:val="TOC2"/>
        <w:tabs>
          <w:tab w:val="clear" w:pos="1470"/>
          <w:tab w:val="clear" w:pos="8296"/>
          <w:tab w:val="right" w:leader="dot" w:pos="9072"/>
        </w:tabs>
        <w:topLinePunct/>
        <w:ind w:left="420"/>
      </w:pPr>
      <w:hyperlink w:anchor="_Toc14019" w:history="1">
        <w:r>
          <w:rPr>
            <w:rFonts w:ascii="楷体" w:eastAsia="楷体" w:hAnsi="楷体" w:cs="楷体" w:hint="eastAsia"/>
            <w:bCs/>
            <w:szCs w:val="28"/>
          </w:rPr>
          <w:t>第一节  坚持和加强党的全面领导</w:t>
        </w:r>
        <w:r>
          <w:tab/>
        </w:r>
        <w:fldSimple w:instr=" PAGEREF _Toc14019 ">
          <w:r>
            <w:t>67</w:t>
          </w:r>
        </w:fldSimple>
      </w:hyperlink>
    </w:p>
    <w:p w14:paraId="33099D55" w14:textId="77777777" w:rsidR="00B5342F" w:rsidRDefault="00000000">
      <w:pPr>
        <w:pStyle w:val="TOC2"/>
        <w:tabs>
          <w:tab w:val="clear" w:pos="1470"/>
          <w:tab w:val="clear" w:pos="8296"/>
          <w:tab w:val="right" w:leader="dot" w:pos="9072"/>
        </w:tabs>
        <w:topLinePunct/>
        <w:ind w:left="420"/>
      </w:pPr>
      <w:hyperlink w:anchor="_Toc14721" w:history="1">
        <w:r>
          <w:rPr>
            <w:rFonts w:ascii="楷体" w:eastAsia="楷体" w:hAnsi="楷体" w:cs="楷体" w:hint="eastAsia"/>
            <w:bCs/>
            <w:szCs w:val="28"/>
          </w:rPr>
          <w:t>第二节  强化资金投入和项目支撑</w:t>
        </w:r>
        <w:r>
          <w:tab/>
        </w:r>
        <w:fldSimple w:instr=" PAGEREF _Toc14721 ">
          <w:r>
            <w:t>68</w:t>
          </w:r>
        </w:fldSimple>
      </w:hyperlink>
    </w:p>
    <w:p w14:paraId="12E5887E" w14:textId="77777777" w:rsidR="00B5342F" w:rsidRDefault="00000000">
      <w:pPr>
        <w:pStyle w:val="TOC2"/>
        <w:tabs>
          <w:tab w:val="clear" w:pos="1470"/>
          <w:tab w:val="clear" w:pos="8296"/>
          <w:tab w:val="right" w:leader="dot" w:pos="9072"/>
        </w:tabs>
        <w:topLinePunct/>
        <w:ind w:left="420"/>
      </w:pPr>
      <w:hyperlink w:anchor="_Toc22285" w:history="1">
        <w:r>
          <w:rPr>
            <w:rFonts w:ascii="楷体" w:eastAsia="楷体" w:hAnsi="楷体" w:cs="楷体" w:hint="eastAsia"/>
            <w:bCs/>
            <w:szCs w:val="28"/>
          </w:rPr>
          <w:t>第三节  建立健全规划落实机制</w:t>
        </w:r>
        <w:r>
          <w:tab/>
        </w:r>
        <w:fldSimple w:instr=" PAGEREF _Toc22285 ">
          <w:r>
            <w:t>69</w:t>
          </w:r>
        </w:fldSimple>
      </w:hyperlink>
    </w:p>
    <w:p w14:paraId="0AB20F9C" w14:textId="77777777" w:rsidR="00B5342F" w:rsidRDefault="00000000">
      <w:pPr>
        <w:pStyle w:val="TOC3"/>
        <w:tabs>
          <w:tab w:val="right" w:leader="dot" w:pos="8296"/>
        </w:tabs>
        <w:wordWrap w:val="0"/>
        <w:topLinePunct/>
        <w:spacing w:line="600" w:lineRule="exact"/>
        <w:ind w:leftChars="0" w:left="0" w:firstLineChars="200" w:firstLine="420"/>
        <w:jc w:val="center"/>
      </w:pPr>
      <w:r>
        <w:fldChar w:fldCharType="end"/>
      </w:r>
    </w:p>
    <w:p w14:paraId="6C0D923C" w14:textId="77777777" w:rsidR="00B5342F" w:rsidRDefault="00B5342F">
      <w:pPr>
        <w:wordWrap w:val="0"/>
        <w:topLinePunct/>
        <w:sectPr w:rsidR="00B5342F">
          <w:footerReference w:type="default" r:id="rId9"/>
          <w:pgSz w:w="11906" w:h="16838"/>
          <w:pgMar w:top="2041" w:right="1417" w:bottom="1701" w:left="1417" w:header="851" w:footer="992" w:gutter="0"/>
          <w:pgNumType w:start="1"/>
          <w:cols w:space="425"/>
          <w:docGrid w:type="lines" w:linePitch="312"/>
        </w:sectPr>
      </w:pPr>
    </w:p>
    <w:bookmarkEnd w:id="0"/>
    <w:p w14:paraId="5FAFFB56"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lastRenderedPageBreak/>
        <w:t>“十四五”时期，是我国全面建设社会主义现代化国家新征程的开局起步期，是和田市抢抓国家重大战略机遇、缩小与先进地区差距、提升区域性中心城市首位度的关键时期。新冠肺炎疫情全球大流行使当今世界百年未有之大变局加速变化，发扬斗争精神，在危机中育新机、于变局中开新局，科学编制并有效实施“十四五”规划，具有十分重要的意义。本规划纲要主要阐明政府的战略意图、工作重点、政策取向和实施举措，是未来五年全市经济社会发展的宏伟蓝图，是政府履行职责的重要依据，是引导市场主体行为的重要指南，是全市人民共同奋斗的行动纲领。</w:t>
      </w:r>
    </w:p>
    <w:p w14:paraId="7D49EFAD" w14:textId="77777777" w:rsidR="00B5342F" w:rsidRDefault="00B5342F">
      <w:pPr>
        <w:pStyle w:val="2"/>
        <w:wordWrap w:val="0"/>
        <w:topLinePunct/>
        <w:ind w:firstLine="640"/>
      </w:pPr>
    </w:p>
    <w:p w14:paraId="187CAD19" w14:textId="77777777" w:rsidR="00B5342F" w:rsidRDefault="00000000">
      <w:pPr>
        <w:pStyle w:val="20"/>
        <w:keepNext w:val="0"/>
        <w:keepLines w:val="0"/>
        <w:wordWrap w:val="0"/>
        <w:topLinePunct/>
        <w:spacing w:before="0" w:after="0" w:line="560" w:lineRule="exact"/>
        <w:jc w:val="center"/>
        <w:rPr>
          <w:rFonts w:ascii="方正小标宋简体" w:eastAsia="方正小标宋简体" w:hAnsi="方正小标宋简体" w:cs="方正小标宋简体" w:hint="eastAsia"/>
          <w:b w:val="0"/>
          <w:bCs w:val="0"/>
        </w:rPr>
      </w:pPr>
      <w:bookmarkStart w:id="1" w:name="_Toc47281692"/>
      <w:bookmarkStart w:id="2" w:name="_Toc27328"/>
      <w:bookmarkStart w:id="3" w:name="_Toc3803"/>
      <w:bookmarkStart w:id="4" w:name="_Toc20812"/>
      <w:bookmarkStart w:id="5" w:name="_Toc64715911"/>
      <w:bookmarkStart w:id="6" w:name="_Toc59821221"/>
      <w:bookmarkStart w:id="7" w:name="_Toc15073"/>
      <w:bookmarkStart w:id="8" w:name="_Toc12418"/>
      <w:bookmarkStart w:id="9" w:name="_Toc29325"/>
      <w:bookmarkStart w:id="10" w:name="_Toc54868525"/>
      <w:r>
        <w:rPr>
          <w:rFonts w:ascii="方正小标宋简体" w:eastAsia="方正小标宋简体" w:hAnsi="方正小标宋简体" w:cs="方正小标宋简体" w:hint="eastAsia"/>
          <w:b w:val="0"/>
          <w:bCs w:val="0"/>
        </w:rPr>
        <w:t>第一章  站在小康新起点</w:t>
      </w:r>
      <w:bookmarkEnd w:id="1"/>
      <w:r>
        <w:rPr>
          <w:rFonts w:ascii="方正小标宋简体" w:eastAsia="方正小标宋简体" w:hAnsi="方正小标宋简体" w:cs="方正小标宋简体" w:hint="eastAsia"/>
          <w:b w:val="0"/>
          <w:bCs w:val="0"/>
        </w:rPr>
        <w:t xml:space="preserve">  擘画和田市高质量发展新篇章</w:t>
      </w:r>
      <w:bookmarkEnd w:id="2"/>
      <w:bookmarkEnd w:id="3"/>
      <w:bookmarkEnd w:id="4"/>
      <w:bookmarkEnd w:id="5"/>
      <w:bookmarkEnd w:id="6"/>
      <w:bookmarkEnd w:id="7"/>
      <w:bookmarkEnd w:id="8"/>
      <w:bookmarkEnd w:id="9"/>
      <w:bookmarkEnd w:id="10"/>
    </w:p>
    <w:p w14:paraId="02094545" w14:textId="77777777" w:rsidR="00B5342F" w:rsidRDefault="00000000">
      <w:pPr>
        <w:wordWrap w:val="0"/>
        <w:topLinePunct/>
        <w:spacing w:line="56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十三五”以来，在地委、市委的坚强领导下，和田市聚焦社会稳定和长治久安总目标，推动自治区“1+3+3+改革开放”落地见效，确保了“稳定不出事、脱贫不掉队、城乡大变样”。“十四五”在全面建成小康社会基础上，启程全面建设社会主义现代化，要准确把握战略定位，践行新发展理念，在构建新发展格局中展现新作为。</w:t>
      </w:r>
    </w:p>
    <w:p w14:paraId="38B3097C" w14:textId="77777777" w:rsidR="00B5342F" w:rsidRDefault="00B5342F">
      <w:pPr>
        <w:pStyle w:val="2"/>
        <w:wordWrap w:val="0"/>
        <w:topLinePunct/>
        <w:ind w:firstLine="640"/>
      </w:pPr>
    </w:p>
    <w:p w14:paraId="477FB456"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11" w:name="_Toc6716"/>
      <w:bookmarkStart w:id="12" w:name="_Toc12931"/>
      <w:bookmarkStart w:id="13" w:name="_Toc6347"/>
      <w:bookmarkStart w:id="14" w:name="_Toc64715912"/>
      <w:bookmarkStart w:id="15" w:name="_Toc10939"/>
      <w:bookmarkStart w:id="16" w:name="_Toc28985"/>
      <w:bookmarkStart w:id="17" w:name="_Toc26576"/>
      <w:bookmarkStart w:id="18" w:name="_Toc54868526"/>
      <w:r>
        <w:rPr>
          <w:rFonts w:ascii="黑体" w:eastAsia="黑体" w:hAnsi="黑体" w:cs="黑体" w:hint="eastAsia"/>
          <w:b w:val="0"/>
          <w:bCs w:val="0"/>
          <w:sz w:val="28"/>
          <w:szCs w:val="28"/>
        </w:rPr>
        <w:t>第一节  发展基础</w:t>
      </w:r>
      <w:bookmarkEnd w:id="11"/>
      <w:bookmarkEnd w:id="12"/>
      <w:bookmarkEnd w:id="13"/>
      <w:bookmarkEnd w:id="14"/>
      <w:bookmarkEnd w:id="15"/>
      <w:bookmarkEnd w:id="16"/>
      <w:bookmarkEnd w:id="17"/>
      <w:bookmarkEnd w:id="18"/>
    </w:p>
    <w:p w14:paraId="0936335E"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十三五”时期是和田市砥砺奋进、极不平凡的五年，围绕建设区域中心城市，坚持创新引领开放崛起，团结拼搏、扎实工作，积极应对各种风险挑战，脱贫攻坚、城市建设、产业调整、民生改善成效显著，为“十四五”经济社会发展奠定了坚实的基础。</w:t>
      </w:r>
    </w:p>
    <w:p w14:paraId="7F5D54BE"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一、社会大局持续稳定</w:t>
      </w:r>
    </w:p>
    <w:p w14:paraId="3A88F4AF"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五年来，和田市坚持完整准确贯彻新时代党的治疆方略，社会大</w:t>
      </w:r>
      <w:r>
        <w:rPr>
          <w:rFonts w:asciiTheme="minorEastAsia" w:hAnsiTheme="minorEastAsia" w:cstheme="minorEastAsia" w:hint="eastAsia"/>
          <w:sz w:val="28"/>
          <w:szCs w:val="28"/>
        </w:rPr>
        <w:lastRenderedPageBreak/>
        <w:t>局持续稳定。始终把维护社会稳定作为压倒一切的整治任务，聚焦总目标、打好“组合拳”，始终紧绷稳定这跟玄不放松，不断创新社会治理体系，提升社会治理能力，精心做好群众工作，社会综合治理和维护稳定能力明显提升。各族人民群众的获得感、幸福感、安全感显著增强，对社会稳定和长治久安的信心明显增强。</w:t>
      </w:r>
    </w:p>
    <w:p w14:paraId="331FBA90"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二、脱贫攻坚取得全面胜利</w:t>
      </w:r>
    </w:p>
    <w:p w14:paraId="6344E9BF"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五年来，和田市始终坚持精准扶贫、精准脱贫基本方略，按照“两不愁、三保障”目标要求，扎实推进“六个一批”“三个加大力度”，大力发展产业、促进就业，实现了建档立卡贫困户产业就业全覆盖双保险，完成535户2762人易地扶贫搬迁任务，实现22190户102191人脱贫，91个贫困村全部退出，贫困发生率降至零，全市113个行政村“一降五通七有”全部达标，义务教育、基本医疗、住房安全及饮水安全均有保障。</w:t>
      </w:r>
    </w:p>
    <w:p w14:paraId="65C83082"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三、综合实力稳健提高</w:t>
      </w:r>
    </w:p>
    <w:p w14:paraId="4BF9C930"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五年来，和田市坚持完整准确全面贯彻新发展理念，经济实力明显增强。坚持“做精一产、做优二产、做强三产”的产业布局，地区生产总值从2015年的65.51亿元增加到2020年的114.28亿元，年均增长11.78%。一般公共预算收入从2015年的6.96亿元增加到2020年的10.67亿元，年均增长8.92%。2020年城镇居民人均可支配收入31062元，年均增长6.69%，是2015年的1.38倍；农牧民人均纯收入11381元，年均增长11.41%，是2015年的1.72倍。一是农业基础更加稳固。累计完成3925座大棚建设，完成53.05万亩小麦、32.7万亩玉米种植，粮食安全得到有效保障。累计投入17.69亿元，扎实推进现代农业产业园、高标准农田、种兔基地等重点农业项目，</w:t>
      </w:r>
      <w:r>
        <w:rPr>
          <w:rFonts w:asciiTheme="minorEastAsia" w:hAnsiTheme="minorEastAsia" w:cstheme="minorEastAsia" w:hint="eastAsia"/>
          <w:sz w:val="28"/>
          <w:szCs w:val="28"/>
        </w:rPr>
        <w:lastRenderedPageBreak/>
        <w:t>大力发展羊、兔、鸡、设施农业、食用菌等农业主导产业。二是工业加快转型升级。加快推进产业集群发展，积极培育纺织服装、特色农副产品加工等劳动密集型龙头企业。2020年工业增加值达到4.33亿元，年均增长20.8%。三是现代服务业蓬勃发展。大力发展商贸物流、特色民族餐饮、休闲娱乐等服务业，成功注册“和田夜市”集体商标和图形商标。大力推行电子商务进农村综合示范项目。创建团城、地区博物馆2家4A级景区和昆仑湖等6家3A级景区。累计接待游客1155.05万人次，实现旅游收入123.76亿元。</w:t>
      </w:r>
    </w:p>
    <w:p w14:paraId="48A807BC"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四、城市建设更美丽更宜居</w:t>
      </w:r>
    </w:p>
    <w:p w14:paraId="713D9435"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五年来，和田市坚持规划先行建管并重的理念，城市品位大幅提升。中心城市总体功能进一步完善，城市承载功能明显提升。一是优化城市空间格局。强化商贸金融、文教卫生等公共设施功能，促进城市布局调整。二是提升城市建设品质。加快供电、供水、供气、交通等基础设施建设，着力优化城市环境，提升综合承载能力。玉泉湖、昆仑湖、团城改造顺利实施，新建英明路、乌鲁木齐路北延、二环路延伸段等20条城区道路，完成台北路、公园西路等12条道路改造工程。新建106处街头绿地、小公园，人均公共绿地占有量持续扩大。新建供水管网20.4公里、排水管网165.3公里、综合管廊3.2公里。三是提高城市管理水平。加强城市管理和综合执法工作，精心制定城市道路分级管理、城市容貌管理等标准，实施标准化管理，违章建筑、私搭乱建、占道经营得到有效治理。</w:t>
      </w:r>
    </w:p>
    <w:p w14:paraId="626B9815"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五、民生保障扎实给力</w:t>
      </w:r>
    </w:p>
    <w:p w14:paraId="54B64DF2"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五年来，和田市始终坚持民生优先，财政和援疆资金的80%用于保障和改善民生。一是多渠道促进就业创业。城镇累计实现新增就业</w:t>
      </w:r>
      <w:r>
        <w:rPr>
          <w:rFonts w:asciiTheme="minorEastAsia" w:hAnsiTheme="minorEastAsia" w:cstheme="minorEastAsia" w:hint="eastAsia"/>
          <w:sz w:val="28"/>
          <w:szCs w:val="28"/>
        </w:rPr>
        <w:lastRenderedPageBreak/>
        <w:t>3.91万人，城乡富余劳动力累计转移就业19.53万人次，城镇失业登记率控制在4.5%以内，零就业家庭全部实现动态清零。二是加快教育事业发展。坚持社会主义办学方向，全面推行国家通用语言文字教育教学，全面加强教师队伍建设，朝阳、德润教育园区建成并投入使用，15年免费教育政策全面落实，义务教育学校标准化建设和均衡发展通过自治区验收。三是提高全民健康水平。持续提升公共卫生服务能力和医疗服务水平，累计开展全民健康体检173万余人次，和田市人民医院建成并投入使用，全市23家各级各类医保定点医疗机构实行“先诊疗、后付费”工作机制。四是持续推进暖心工程建设。完成22个老旧小区改造，19029套棚改房、17913套安居富民房、4185套公租房、23382户煤改电建设任务，新增天然气户5.3万户。五是扎实开展村庄清洁行动。农村垃圾实现“户收集、村拉运、乡中转、市处理”。荣获2020年全国村庄清洁行动先进市。六是公共安全管理不断加强。健全公共安全隐患排查和安全预防控制体系，全面提升应对处置各类突发事件的能力和水平，遏制重大安全事故发生。加强食品药品和产品质量安全监管，营造了安全放心的消费环境。</w:t>
      </w:r>
    </w:p>
    <w:p w14:paraId="70D92177"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六、生态治理稳步提升</w:t>
      </w:r>
    </w:p>
    <w:p w14:paraId="54E5C94A"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五年来，和田市坚持贯彻绿色发展理念，坚决打好污染防治攻坚战，累计完成防沙治沙绿色生态工程4.47万亩，退耕还林0.8万亩，新增林地1.6万亩。城市空气质量优良天数较2015年在增加7.6个百分点。严格落实河（湖）长制，扎实推进玉龙喀什河1公里范围内环境治理和玉石采挖专项治理工作。完成河东、城西污水处理厂提标改造升级。垃圾焚烧发电项目成功并网发电，医疗垃圾处理厂、工业固废填埋场建成并投入使用。</w:t>
      </w:r>
    </w:p>
    <w:p w14:paraId="0E680DDA"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七、民族团结宗教和谐</w:t>
      </w:r>
    </w:p>
    <w:p w14:paraId="48E8223C" w14:textId="77777777" w:rsidR="00B5342F" w:rsidRDefault="00000000">
      <w:pPr>
        <w:pStyle w:val="a4"/>
        <w:numPr>
          <w:ilvl w:val="255"/>
          <w:numId w:val="0"/>
        </w:numPr>
        <w:wordWrap w:val="0"/>
        <w:topLinePunct/>
        <w:ind w:firstLineChars="200" w:firstLine="560"/>
        <w:rPr>
          <w:rFonts w:asciiTheme="minorEastAsia" w:eastAsiaTheme="minorEastAsia" w:hAnsiTheme="minorEastAsia" w:cstheme="minorEastAsia" w:hint="eastAsia"/>
          <w:szCs w:val="28"/>
        </w:rPr>
      </w:pPr>
      <w:r>
        <w:rPr>
          <w:rFonts w:asciiTheme="minorEastAsia" w:eastAsiaTheme="minorEastAsia" w:hAnsiTheme="minorEastAsia" w:cstheme="minorEastAsia" w:hint="eastAsia"/>
          <w:szCs w:val="28"/>
        </w:rPr>
        <w:t>五年来，和田市坚持铸牢中华民族共同体意识，深入开展民族团结进步创建、“民族团结一家亲”和民族团结联谊活动，各族群众“五个认同”“三个离不开”思想更加牢固。</w:t>
      </w:r>
    </w:p>
    <w:p w14:paraId="0C7640ED" w14:textId="77777777" w:rsidR="00B5342F" w:rsidRDefault="00B5342F">
      <w:pPr>
        <w:pStyle w:val="a4"/>
        <w:numPr>
          <w:ilvl w:val="255"/>
          <w:numId w:val="0"/>
        </w:numPr>
        <w:wordWrap w:val="0"/>
        <w:topLinePunct/>
        <w:ind w:firstLineChars="200" w:firstLine="560"/>
        <w:rPr>
          <w:rFonts w:asciiTheme="minorEastAsia" w:eastAsiaTheme="minorEastAsia" w:hAnsiTheme="minorEastAsia" w:cstheme="minorEastAsia" w:hint="eastAsia"/>
          <w:szCs w:val="28"/>
        </w:rPr>
      </w:pPr>
    </w:p>
    <w:p w14:paraId="2FA57181"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19" w:name="_Toc6708"/>
      <w:bookmarkStart w:id="20" w:name="_Toc2364"/>
      <w:bookmarkStart w:id="21" w:name="_Toc19421"/>
      <w:bookmarkStart w:id="22" w:name="_Toc12318"/>
      <w:bookmarkStart w:id="23" w:name="_Toc64715913"/>
      <w:bookmarkStart w:id="24" w:name="_Toc14576"/>
      <w:bookmarkStart w:id="25" w:name="_Toc9153"/>
      <w:bookmarkStart w:id="26" w:name="_Toc54868527"/>
      <w:r>
        <w:rPr>
          <w:rFonts w:ascii="黑体" w:eastAsia="黑体" w:hAnsi="黑体" w:cs="黑体" w:hint="eastAsia"/>
          <w:b w:val="0"/>
          <w:bCs w:val="0"/>
          <w:sz w:val="28"/>
          <w:szCs w:val="28"/>
        </w:rPr>
        <w:t>第二节  面临的机遇和挑战</w:t>
      </w:r>
      <w:bookmarkEnd w:id="19"/>
      <w:bookmarkEnd w:id="20"/>
      <w:bookmarkEnd w:id="21"/>
      <w:bookmarkEnd w:id="22"/>
      <w:bookmarkEnd w:id="23"/>
      <w:bookmarkEnd w:id="24"/>
      <w:bookmarkEnd w:id="25"/>
      <w:bookmarkEnd w:id="26"/>
    </w:p>
    <w:p w14:paraId="79003E8C"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十四五”时期，世界百年未有之大变局深度演化与我国社会主义现代化建设新征程开局起步相互交融，和田市发展的外部环境和内部条件发生了复杂而深刻的变化，经济社会发展总体上处于打基础、寻突破的阶段，机遇与挑战并存。</w:t>
      </w:r>
    </w:p>
    <w:p w14:paraId="196C7527"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一、牢牢把握机遇</w:t>
      </w:r>
    </w:p>
    <w:p w14:paraId="70D7090B"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新一轮科技和产业革命孕育发展新机遇。</w:t>
      </w:r>
      <w:r>
        <w:rPr>
          <w:rFonts w:asciiTheme="minorEastAsia" w:hAnsiTheme="minorEastAsia" w:cstheme="minorEastAsia" w:hint="eastAsia"/>
          <w:sz w:val="28"/>
          <w:szCs w:val="28"/>
        </w:rPr>
        <w:t>以互联网、大数据、云计算、人工智能等为代表的新一代信息技术发展日新月异，并加速向各领域广泛渗透，不断催生新产业新模式新业态，数字经济呈现蓬勃发展势头，展示出巨大发展潜能，国内沿海发达地区向中西部产业转移加速，为和田市积极参与国内国际双循环、承接产业转移、推动产业优化升级提供了新机遇。</w:t>
      </w:r>
    </w:p>
    <w:p w14:paraId="0482EDD3"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多个重大战略实施、稳定红利持续释放叠加带来新机遇。</w:t>
      </w:r>
      <w:r>
        <w:rPr>
          <w:rFonts w:asciiTheme="minorEastAsia" w:hAnsiTheme="minorEastAsia" w:cstheme="minorEastAsia" w:hint="eastAsia"/>
          <w:sz w:val="28"/>
          <w:szCs w:val="28"/>
        </w:rPr>
        <w:t>第三次中央新疆工作座谈会、西部大开发战略、对口援疆战略、乡村振兴战略及稳定红利持续释放，为和田市深化改革、扩大开放合作，有效改善基础设施条件，借势借力培育产业新增长点，加快构建现代产业体系，提高基本公共服务水平，实现高质量发展带来多重政策红利新机遇。</w:t>
      </w:r>
    </w:p>
    <w:p w14:paraId="2DEA70D3"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全面深化改革、扩大开放带来追赶超越新机遇。</w:t>
      </w:r>
      <w:r>
        <w:rPr>
          <w:rFonts w:asciiTheme="minorEastAsia" w:hAnsiTheme="minorEastAsia" w:cstheme="minorEastAsia" w:hint="eastAsia"/>
          <w:sz w:val="28"/>
          <w:szCs w:val="28"/>
        </w:rPr>
        <w:t>改革开放是防范</w:t>
      </w:r>
      <w:r>
        <w:rPr>
          <w:rFonts w:asciiTheme="minorEastAsia" w:hAnsiTheme="minorEastAsia" w:cstheme="minorEastAsia" w:hint="eastAsia"/>
          <w:sz w:val="28"/>
          <w:szCs w:val="28"/>
        </w:rPr>
        <w:lastRenderedPageBreak/>
        <w:t>风险的先手，也是战胜挑战的高招。发挥好改革的突破和先导作用，坚持目标引领和问题导向，作为和田丝绸之路经济带南通道交通枢纽，主动融入“双循环”格局，发展枢纽经济、门户经济，构建陆空互动、多式联运的综合交通体系，全面深化改革，全方位扩大开放，必将拓展出新空间、新机遇。</w:t>
      </w:r>
    </w:p>
    <w:p w14:paraId="15F718D6"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地区高质量发展先行区建设新机遇。</w:t>
      </w:r>
      <w:r>
        <w:rPr>
          <w:rFonts w:asciiTheme="minorEastAsia" w:hAnsiTheme="minorEastAsia" w:cstheme="minorEastAsia" w:hint="eastAsia"/>
          <w:sz w:val="28"/>
          <w:szCs w:val="28"/>
        </w:rPr>
        <w:t>和田地委统筹全地区发展大局，举旗定向、科学擘画，安排部署将和田市打造成为全地区高质量发展先行区，明确了和田市“十四五”时期发展方向和发展目标，为和田市加快构建现代产业体系，培育产业新增长点，做实做强做优实体经济，挖掘释放内需增长潜力，全面提升开发开放水平，实现高质量发展注入了强大动力。</w:t>
      </w:r>
    </w:p>
    <w:p w14:paraId="43807679"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二、积极应对挑战</w:t>
      </w:r>
    </w:p>
    <w:p w14:paraId="324DEAA8"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面临做大总量与转型升级的双重任务。</w:t>
      </w:r>
      <w:r>
        <w:rPr>
          <w:rFonts w:asciiTheme="minorEastAsia" w:hAnsiTheme="minorEastAsia" w:cstheme="minorEastAsia" w:hint="eastAsia"/>
          <w:sz w:val="28"/>
          <w:szCs w:val="28"/>
        </w:rPr>
        <w:t>经济总量偏小，人均水平偏低，农业产业化程度依然不高，规模以上工业企业数量少、产业链不完整，支撑性、带动性强的大企业和大项目还不多，商贸旅游业发展模式单一，文化旅游资源优势还没有真正转化为发展优势。在保持中高速继续做大总量的同时，推动产业向中高端迈进，成为亟待解决的首要问题。</w:t>
      </w:r>
    </w:p>
    <w:p w14:paraId="722FFBAE"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面临传统动力减弱和新动力发育不足的双重难题。</w:t>
      </w:r>
      <w:r>
        <w:rPr>
          <w:rFonts w:asciiTheme="minorEastAsia" w:hAnsiTheme="minorEastAsia" w:cstheme="minorEastAsia" w:hint="eastAsia"/>
          <w:sz w:val="28"/>
          <w:szCs w:val="28"/>
        </w:rPr>
        <w:t>经济下行压力持续加大，固定资产投资增速放缓，传统动力明显减弱。实体经济困难增多，特别是中小微企业和民营企业融资难、融资贵问题仍很突出。旅游文化、健康养老、数字经济、战略性新兴产业和现代服务业成为新的增长点，培育壮大尚需时日。作为欠发达的城市，要素驱动向创新驱动转变面临人才和技术不足等诸多瓶颈。</w:t>
      </w:r>
    </w:p>
    <w:p w14:paraId="35D73B72"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lastRenderedPageBreak/>
        <w:t>面临自然环境保护和社会发展的双重考验。</w:t>
      </w:r>
      <w:r>
        <w:rPr>
          <w:rFonts w:asciiTheme="minorEastAsia" w:hAnsiTheme="minorEastAsia" w:cstheme="minorEastAsia" w:hint="eastAsia"/>
          <w:sz w:val="28"/>
          <w:szCs w:val="28"/>
        </w:rPr>
        <w:t>资源、环境、人口之间的矛盾十分尖锐，发展不平衡、不协调、不充分、不可持续问题仍然突出，民生保障与支撑能力建设仍是经济社会发展中的弱项和短板。人民群众对改善生态环境质量的愿望更加强烈。</w:t>
      </w:r>
    </w:p>
    <w:p w14:paraId="1D105A5C" w14:textId="77777777" w:rsidR="00B5342F" w:rsidRDefault="00B5342F">
      <w:pPr>
        <w:pStyle w:val="2"/>
        <w:wordWrap w:val="0"/>
        <w:topLinePunct/>
        <w:ind w:firstLine="640"/>
      </w:pPr>
    </w:p>
    <w:p w14:paraId="17673C03"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27" w:name="_Toc1129"/>
      <w:bookmarkStart w:id="28" w:name="_Toc12863"/>
      <w:bookmarkStart w:id="29" w:name="_Toc4826"/>
      <w:bookmarkStart w:id="30" w:name="_Toc21251"/>
      <w:bookmarkStart w:id="31" w:name="_Toc54868528"/>
      <w:bookmarkStart w:id="32" w:name="_Toc64715914"/>
      <w:bookmarkStart w:id="33" w:name="_Toc25700"/>
      <w:bookmarkStart w:id="34" w:name="_Toc7636"/>
      <w:r>
        <w:rPr>
          <w:rFonts w:ascii="黑体" w:eastAsia="黑体" w:hAnsi="黑体" w:cs="黑体" w:hint="eastAsia"/>
          <w:b w:val="0"/>
          <w:bCs w:val="0"/>
          <w:sz w:val="28"/>
          <w:szCs w:val="28"/>
        </w:rPr>
        <w:t>第三节  指导思想和原则</w:t>
      </w:r>
      <w:bookmarkEnd w:id="27"/>
      <w:bookmarkEnd w:id="28"/>
      <w:bookmarkEnd w:id="29"/>
      <w:bookmarkEnd w:id="30"/>
      <w:bookmarkEnd w:id="31"/>
      <w:bookmarkEnd w:id="32"/>
      <w:bookmarkEnd w:id="33"/>
      <w:bookmarkEnd w:id="34"/>
    </w:p>
    <w:p w14:paraId="6E760898"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以习近平新时代中国特色社会主义思想为指导，深入贯彻党的十九大和十九届二中、三中、四中、五中全会精神，第三次中央新疆工作座谈会精神，增强“四个意识”，坚定“四个自信”，做到“两个维护”，完整准确贯彻新时代党的治疆方略，牢牢扭住社会稳定和长治久安总目标，坚持依法治疆、团结稳疆、文化润疆、富民兴疆、长期建疆，坚持稳中求进工作总基调，以推动高质量发展为主题，以深化供给侧结构改革为主线，以改革创新为根本动力，以满足人民日益增长的美好生活需要为根本目的，以推进治理体系和治理能力现代化为保障，统筹发展和安全，加快建设现代化经济体系，扎实推进重大项目、重大产业、重大改革、重点要素工作，全力打造全地区高质量发展先行区，努力建设团结和谐、繁荣富裕、文明进步、安居乐业、生态良好的新时代中国特色社会主义和田市。</w:t>
      </w:r>
    </w:p>
    <w:p w14:paraId="41349053" w14:textId="77777777" w:rsidR="00B5342F" w:rsidRDefault="00000000">
      <w:pPr>
        <w:wordWrap w:val="0"/>
        <w:topLinePunct/>
        <w:spacing w:line="560" w:lineRule="exact"/>
        <w:ind w:firstLineChars="200" w:firstLine="560"/>
        <w:rPr>
          <w:rFonts w:ascii="黑体" w:eastAsia="黑体" w:hAnsi="黑体" w:cs="黑体" w:hint="eastAsia"/>
          <w:sz w:val="28"/>
          <w:szCs w:val="28"/>
        </w:rPr>
      </w:pPr>
      <w:r>
        <w:rPr>
          <w:rFonts w:ascii="黑体" w:eastAsia="黑体" w:hAnsi="黑体" w:cs="黑体" w:hint="eastAsia"/>
          <w:sz w:val="28"/>
          <w:szCs w:val="28"/>
        </w:rPr>
        <w:t>一、坚持党的全面领导</w:t>
      </w:r>
    </w:p>
    <w:p w14:paraId="1891A994"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建立健全党对重大工作的领导体制机制，强化党组织在同级组织中的领导地位，更好发挥党组织的职能部门作用，不断提高立足新发展阶段、贯彻新发展理念、融入新发展格局的意识、能力和水平，把党的领导落实到各个领域、各个方面，为实现高质量发展提供根本保障。</w:t>
      </w:r>
    </w:p>
    <w:p w14:paraId="27235C0C"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二、坚持新时代党的治疆方略</w:t>
      </w:r>
    </w:p>
    <w:p w14:paraId="128F0491"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从战略上审视和谋划和田市工作，坚持把社会稳定和长治久安作为工作总目标，坚持以凝聚人心为根本，坚持铸牢中华民族共同体意识，坚持弘扬和培育社会主义核心价值观，坚持紧贴民生推动高质量发展，坚持加强党的领导，以“八个坚持”确保和田市各项工作始终保持正确政治方向。</w:t>
      </w:r>
    </w:p>
    <w:p w14:paraId="13AED7BD"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三、坚持以人民为中心的发展思想</w:t>
      </w:r>
    </w:p>
    <w:p w14:paraId="359735D1"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把以人民为中心的发展思想贯穿“十四五”全过程、各领域，推动经济发展、社会治理和民生改善良性互动、相互促进，进一步加快社会事业发展，努力促进更充分的就业创业，推动底线民生、基本民生向质量民生、品质民生转变，强化社会治理创新，做实做细群众工作，形成人人各担其责、各尽其力、团结奋进的良好局面。</w:t>
      </w:r>
    </w:p>
    <w:p w14:paraId="04F869B2"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四、坚持贯彻新发展理念</w:t>
      </w:r>
    </w:p>
    <w:p w14:paraId="48FB922D"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定不移贯彻新发展理念、构建新发展格局，坚持稳中求进工作总基调，统筹发展和安全，把保护生态环境摆在更加突出的位置，推动经济社会高质量发展、可持续发展，努力让创新成为动力源泉、协调成为内生特点、绿色成为鲜明底色、开放成为基本路径、共享成为价值导向，在建设和田地区高质量发展先行区中作出示范。</w:t>
      </w:r>
    </w:p>
    <w:p w14:paraId="7623B13F"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五、坚持深化改革开放</w:t>
      </w:r>
    </w:p>
    <w:p w14:paraId="5253A31D"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推进高质量发展中遇到的矛盾问题必须紧紧依靠改革来破解，构建“双循环”新发展格局必须更大力度扩大开放，坚定不移推动改革开放再出发，以一往无前的奋斗姿态、风雨无阻的精神状态在更高起点上推进改革开放，加强与对口援疆北京市及丝绸之路经济带沿线国内外地区的交流合作，扛起先行区的责任担当。</w:t>
      </w:r>
    </w:p>
    <w:p w14:paraId="6DA578A8"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六、坚持系统观念</w:t>
      </w:r>
    </w:p>
    <w:p w14:paraId="0012BF2B"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强前瞻性思考、全局性谋划、战略性布局、整体性推进，办好发展和安全两件大事，统筹地方、兵团、援疆省市各方优势，着力固根基、扬优势、补短板、强弱项，注重防范化解重大风险挑战，实现发展质量、结构、规模、速度、效益、安全相统一。</w:t>
      </w:r>
    </w:p>
    <w:p w14:paraId="6A3C8B17"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七、坚持从和田市实际出发</w:t>
      </w:r>
    </w:p>
    <w:p w14:paraId="2FB0F395"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立足和田地区对和田市的定位要求，立足新时代和田市所处的历史方位、经济社会发展的客观条件、优势机遇和阶段性特征，紧扣社会稳定和长治久安总目标，不片面追求经济增长速度，不提脱离实际的指标要求，不搞层层加码、盲目攀比，求真务实、注重实效，稳中求进、扎实推进。</w:t>
      </w:r>
    </w:p>
    <w:p w14:paraId="327D76C4" w14:textId="77777777" w:rsidR="00B5342F" w:rsidRDefault="00B5342F">
      <w:pPr>
        <w:pStyle w:val="2"/>
        <w:wordWrap w:val="0"/>
        <w:topLinePunct/>
        <w:ind w:firstLine="640"/>
      </w:pPr>
    </w:p>
    <w:p w14:paraId="12421CAA"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35" w:name="_Toc5168"/>
      <w:bookmarkStart w:id="36" w:name="_Toc5228"/>
      <w:bookmarkStart w:id="37" w:name="_Toc64715916"/>
      <w:bookmarkStart w:id="38" w:name="_Toc1916"/>
      <w:bookmarkStart w:id="39" w:name="_Toc23151"/>
      <w:bookmarkStart w:id="40" w:name="_Toc594"/>
      <w:bookmarkStart w:id="41" w:name="_Toc14373"/>
      <w:r>
        <w:rPr>
          <w:rFonts w:ascii="黑体" w:eastAsia="黑体" w:hAnsi="黑体" w:cs="黑体" w:hint="eastAsia"/>
          <w:b w:val="0"/>
          <w:bCs w:val="0"/>
          <w:sz w:val="28"/>
          <w:szCs w:val="28"/>
        </w:rPr>
        <w:t>第四节  发展思路</w:t>
      </w:r>
      <w:bookmarkEnd w:id="35"/>
      <w:bookmarkEnd w:id="36"/>
      <w:bookmarkEnd w:id="37"/>
      <w:bookmarkEnd w:id="38"/>
      <w:bookmarkEnd w:id="39"/>
      <w:bookmarkEnd w:id="40"/>
      <w:bookmarkEnd w:id="41"/>
    </w:p>
    <w:p w14:paraId="0D5268F9" w14:textId="67C5F7A8"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完整准确全面贯彻新时代党的治疆方略，牢牢扭住社会稳定和长治久安总目标，</w:t>
      </w:r>
      <w:r w:rsidR="00AF445A">
        <w:rPr>
          <w:rFonts w:asciiTheme="minorEastAsia" w:hAnsiTheme="minorEastAsia" w:cstheme="minorEastAsia" w:hint="eastAsia"/>
          <w:sz w:val="28"/>
          <w:szCs w:val="28"/>
        </w:rPr>
        <w:t>巩固拓展脱贫攻坚成果同乡村振兴有效衔接</w:t>
      </w:r>
      <w:r>
        <w:rPr>
          <w:rFonts w:asciiTheme="minorEastAsia" w:hAnsiTheme="minorEastAsia" w:cstheme="minorEastAsia" w:hint="eastAsia"/>
          <w:sz w:val="28"/>
          <w:szCs w:val="28"/>
        </w:rPr>
        <w:t>，坚持紧贴民生推动高质量发展，重点发展食品制造和农副产品加工、纺织服装、特色餐饮、商贸物流、文化旅游等特色产业，以中心城市建设和城市经济发展为着力点，全力打造区域性科创中心、区域性经济中心、区域性商贸物流中心、区域性文化旅游中心、区域性金融中心“五个中心”，统筹推进基础设施建设、新型城镇化、乡村振兴、生态文明建设，通过抓发展、惠民生，让各族群众有更多的获得感、幸福感、安全感，不断增强党在各族群众中的凝聚力，不断增添爱国正能量，在全面建设社会主义现代化国家的新征程上绘出共谋繁荣发展、共享美好生活的新图景。</w:t>
      </w:r>
    </w:p>
    <w:tbl>
      <w:tblPr>
        <w:tblStyle w:val="af5"/>
        <w:tblW w:w="8981" w:type="dxa"/>
        <w:jc w:val="center"/>
        <w:tblLayout w:type="fixed"/>
        <w:tblLook w:val="04A0" w:firstRow="1" w:lastRow="0" w:firstColumn="1" w:lastColumn="0" w:noHBand="0" w:noVBand="1"/>
      </w:tblPr>
      <w:tblGrid>
        <w:gridCol w:w="8981"/>
      </w:tblGrid>
      <w:tr w:rsidR="00B5342F" w14:paraId="4CE4C606" w14:textId="77777777">
        <w:trPr>
          <w:trHeight w:val="454"/>
          <w:jc w:val="center"/>
        </w:trPr>
        <w:tc>
          <w:tcPr>
            <w:tcW w:w="8981" w:type="dxa"/>
            <w:vAlign w:val="center"/>
          </w:tcPr>
          <w:p w14:paraId="2D91C950" w14:textId="77777777" w:rsidR="00B5342F" w:rsidRDefault="00000000">
            <w:pPr>
              <w:wordWrap w:val="0"/>
              <w:topLinePunct/>
              <w:jc w:val="left"/>
              <w:rPr>
                <w:rFonts w:asciiTheme="minorEastAsia" w:hAnsiTheme="minorEastAsia" w:cstheme="minorEastAsia" w:hint="eastAsia"/>
                <w:b/>
                <w:sz w:val="28"/>
                <w:szCs w:val="28"/>
              </w:rPr>
            </w:pPr>
            <w:r>
              <w:rPr>
                <w:rFonts w:asciiTheme="minorEastAsia" w:hAnsiTheme="minorEastAsia" w:cstheme="minorEastAsia" w:hint="eastAsia"/>
                <w:color w:val="000000"/>
                <w:kern w:val="0"/>
                <w:sz w:val="28"/>
                <w:szCs w:val="28"/>
              </w:rPr>
              <w:lastRenderedPageBreak/>
              <w:t>专栏1-2</w:t>
            </w:r>
            <w:r>
              <w:rPr>
                <w:rFonts w:asciiTheme="minorEastAsia" w:hAnsiTheme="minorEastAsia" w:cstheme="minorEastAsia" w:hint="eastAsia"/>
                <w:b/>
                <w:sz w:val="28"/>
                <w:szCs w:val="28"/>
              </w:rPr>
              <w:t xml:space="preserve">             打造“五个中心”的含义</w:t>
            </w:r>
          </w:p>
        </w:tc>
      </w:tr>
      <w:tr w:rsidR="00B5342F" w14:paraId="01C59EAC" w14:textId="77777777">
        <w:trPr>
          <w:jc w:val="center"/>
        </w:trPr>
        <w:tc>
          <w:tcPr>
            <w:tcW w:w="8981" w:type="dxa"/>
          </w:tcPr>
          <w:p w14:paraId="7F8DA459" w14:textId="77777777" w:rsidR="00B5342F" w:rsidRDefault="00000000">
            <w:pPr>
              <w:wordWrap w:val="0"/>
              <w:topLinePunct/>
              <w:spacing w:line="520" w:lineRule="exact"/>
              <w:ind w:firstLineChars="200" w:firstLine="482"/>
              <w:rPr>
                <w:rFonts w:asciiTheme="minorEastAsia" w:hAnsiTheme="minorEastAsia" w:cstheme="minorEastAsia" w:hint="eastAsia"/>
                <w:sz w:val="24"/>
                <w:szCs w:val="24"/>
              </w:rPr>
            </w:pPr>
            <w:r>
              <w:rPr>
                <w:rFonts w:asciiTheme="minorEastAsia" w:hAnsiTheme="minorEastAsia" w:cstheme="minorEastAsia" w:hint="eastAsia"/>
                <w:b/>
                <w:bCs/>
                <w:sz w:val="24"/>
                <w:szCs w:val="24"/>
              </w:rPr>
              <w:t>1.打造区域性科创中心：</w:t>
            </w:r>
            <w:r>
              <w:rPr>
                <w:rFonts w:asciiTheme="minorEastAsia" w:hAnsiTheme="minorEastAsia" w:cstheme="minorEastAsia" w:hint="eastAsia"/>
                <w:sz w:val="24"/>
                <w:szCs w:val="24"/>
              </w:rPr>
              <w:t>坚持创新驱动战略，推动科技与金融融合、科技与产业融合、高校与企业融合、和田与国际融合，加快建设玉石、丝绸地毯、维药保健优势领域科技创新策源地，以及全疆创新创业示范市、国家节水型城市、国家生态园林城市。加大信息化建设力度，重点建设大数据资源汇总、交换、共享平台，大力推广5G、IPv6、云计算等新一代互联网技术和人工智能的应用，把和田市建成疆南藏西首个智慧城市。</w:t>
            </w:r>
          </w:p>
          <w:p w14:paraId="77E6F82B" w14:textId="77777777" w:rsidR="00B5342F" w:rsidRDefault="00000000">
            <w:pPr>
              <w:wordWrap w:val="0"/>
              <w:topLinePunct/>
              <w:spacing w:line="520" w:lineRule="exact"/>
              <w:ind w:firstLineChars="200" w:firstLine="482"/>
              <w:rPr>
                <w:rFonts w:asciiTheme="minorEastAsia" w:hAnsiTheme="minorEastAsia" w:cstheme="minorEastAsia" w:hint="eastAsia"/>
                <w:sz w:val="24"/>
                <w:szCs w:val="24"/>
              </w:rPr>
            </w:pPr>
            <w:r>
              <w:rPr>
                <w:rFonts w:asciiTheme="minorEastAsia" w:hAnsiTheme="minorEastAsia" w:cstheme="minorEastAsia" w:hint="eastAsia"/>
                <w:b/>
                <w:bCs/>
                <w:sz w:val="24"/>
                <w:szCs w:val="24"/>
              </w:rPr>
              <w:t>2.打造区域性经济中心：</w:t>
            </w:r>
            <w:r>
              <w:rPr>
                <w:rFonts w:asciiTheme="minorEastAsia" w:hAnsiTheme="minorEastAsia" w:cstheme="minorEastAsia" w:hint="eastAsia"/>
                <w:sz w:val="24"/>
                <w:szCs w:val="24"/>
              </w:rPr>
              <w:t>将制造业、民营经济作为主攻方向，以园区为载体，推动产业向园区集聚、企业向园区集中，强化拉斯奎、玉龙喀什镇等多点支撑，下大力气做大总量、调优结构，加快纺织服装、食品和农副产品精深加工等主导产业和新材料、生物医药等战略性新兴产业及商贸物流、电子信息、康养旅游等现代服务业发展，不断提升城市人口和产业集聚能力。</w:t>
            </w:r>
          </w:p>
          <w:p w14:paraId="72CB83FA" w14:textId="77777777" w:rsidR="00B5342F" w:rsidRDefault="00000000">
            <w:pPr>
              <w:wordWrap w:val="0"/>
              <w:topLinePunct/>
              <w:spacing w:line="520" w:lineRule="exact"/>
              <w:ind w:firstLineChars="200" w:firstLine="482"/>
              <w:rPr>
                <w:rFonts w:asciiTheme="minorEastAsia" w:hAnsiTheme="minorEastAsia" w:cstheme="minorEastAsia" w:hint="eastAsia"/>
                <w:sz w:val="24"/>
                <w:szCs w:val="24"/>
              </w:rPr>
            </w:pPr>
            <w:r>
              <w:rPr>
                <w:rFonts w:asciiTheme="minorEastAsia" w:hAnsiTheme="minorEastAsia" w:cstheme="minorEastAsia" w:hint="eastAsia"/>
                <w:b/>
                <w:bCs/>
                <w:sz w:val="24"/>
                <w:szCs w:val="24"/>
              </w:rPr>
              <w:t>3.打造区域性商贸物流中心：</w:t>
            </w:r>
            <w:r>
              <w:rPr>
                <w:rFonts w:asciiTheme="minorEastAsia" w:hAnsiTheme="minorEastAsia" w:cstheme="minorEastAsia" w:hint="eastAsia"/>
                <w:sz w:val="24"/>
                <w:szCs w:val="24"/>
              </w:rPr>
              <w:t>充分发挥和田市疆南藏西综合交通枢纽作用，实施内贸流通转型升级工程、外贸外资提质增效工程、商务便民惠民三大工程，改善商贸流通基础设施条件，培育新型业态，拓展新型消费，壮大商贸流通企业，大力促进现代化流通，加快发展开放型经济，构建与区域性中心城市地位相匹配、开放高效生态智慧的现代商贸物流体系。</w:t>
            </w:r>
          </w:p>
          <w:p w14:paraId="0492FF7E" w14:textId="77777777" w:rsidR="00B5342F" w:rsidRDefault="00000000">
            <w:pPr>
              <w:wordWrap w:val="0"/>
              <w:topLinePunct/>
              <w:spacing w:line="520" w:lineRule="exact"/>
              <w:ind w:firstLineChars="200" w:firstLine="482"/>
              <w:rPr>
                <w:rFonts w:asciiTheme="minorEastAsia" w:hAnsiTheme="minorEastAsia" w:cstheme="minorEastAsia" w:hint="eastAsia"/>
                <w:sz w:val="24"/>
                <w:szCs w:val="24"/>
              </w:rPr>
            </w:pPr>
            <w:r>
              <w:rPr>
                <w:rFonts w:asciiTheme="minorEastAsia" w:hAnsiTheme="minorEastAsia" w:cstheme="minorEastAsia" w:hint="eastAsia"/>
                <w:b/>
                <w:bCs/>
                <w:sz w:val="24"/>
                <w:szCs w:val="24"/>
              </w:rPr>
              <w:t>4.打造区域性文化旅游中心：</w:t>
            </w:r>
            <w:r>
              <w:rPr>
                <w:rFonts w:asciiTheme="minorEastAsia" w:hAnsiTheme="minorEastAsia" w:cstheme="minorEastAsia" w:hint="eastAsia"/>
                <w:sz w:val="24"/>
                <w:szCs w:val="24"/>
              </w:rPr>
              <w:t>保持和延续和田历史文脉特色，积极探索、推行“文化+旅游”有机融合发展模式，着力打造玉石文化、丝绸文化、歌舞文化、美食文化四张文化旅游特色牌，以文化提升旅游，以旅游促进文化，推动旅游业成为国民经济优先发展的重要产业，尽快把和田市建设成为新疆重要旅游目的地和南疆旅游集散中心城市。</w:t>
            </w:r>
          </w:p>
          <w:p w14:paraId="16602705" w14:textId="77777777" w:rsidR="00B5342F" w:rsidRDefault="00000000">
            <w:pPr>
              <w:wordWrap w:val="0"/>
              <w:topLinePunct/>
              <w:spacing w:line="520" w:lineRule="exact"/>
              <w:ind w:firstLineChars="200" w:firstLine="482"/>
              <w:rPr>
                <w:rFonts w:asciiTheme="minorEastAsia" w:hAnsiTheme="minorEastAsia" w:cstheme="minorEastAsia" w:hint="eastAsia"/>
                <w:sz w:val="28"/>
                <w:szCs w:val="28"/>
              </w:rPr>
            </w:pPr>
            <w:r>
              <w:rPr>
                <w:rFonts w:asciiTheme="minorEastAsia" w:hAnsiTheme="minorEastAsia" w:cstheme="minorEastAsia" w:hint="eastAsia"/>
                <w:b/>
                <w:bCs/>
                <w:sz w:val="24"/>
                <w:szCs w:val="24"/>
              </w:rPr>
              <w:t>5.打造区域性金融中心：</w:t>
            </w:r>
            <w:r>
              <w:rPr>
                <w:rFonts w:asciiTheme="minorEastAsia" w:hAnsiTheme="minorEastAsia" w:cstheme="minorEastAsia" w:hint="eastAsia"/>
                <w:sz w:val="24"/>
                <w:szCs w:val="24"/>
              </w:rPr>
              <w:t>支持全国性、区域性金融机构在和田市设立区域总部、分支机构和功能性服务中心，支持符合条件的民间资本发起或参与设立地方金融机构，积极推动南疆民营银行筹建，推动农村信用社改组成立农村商业银行，围绕外向型产业发展，提升国际投融资、国际结算等服务功能，提升金融服务水平。</w:t>
            </w:r>
          </w:p>
        </w:tc>
      </w:tr>
    </w:tbl>
    <w:p w14:paraId="1564D446" w14:textId="77777777" w:rsidR="00B5342F" w:rsidRDefault="00000000">
      <w:pPr>
        <w:pStyle w:val="20"/>
        <w:keepNext w:val="0"/>
        <w:keepLines w:val="0"/>
        <w:wordWrap w:val="0"/>
        <w:topLinePunct/>
        <w:spacing w:before="0" w:after="0" w:line="600" w:lineRule="exact"/>
        <w:jc w:val="center"/>
        <w:rPr>
          <w:rFonts w:ascii="黑体" w:eastAsia="黑体" w:hAnsi="黑体" w:cs="黑体" w:hint="eastAsia"/>
          <w:b w:val="0"/>
          <w:bCs w:val="0"/>
          <w:sz w:val="28"/>
          <w:szCs w:val="28"/>
        </w:rPr>
      </w:pPr>
      <w:bookmarkStart w:id="42" w:name="_Toc10844"/>
      <w:bookmarkStart w:id="43" w:name="_Toc16417"/>
      <w:bookmarkStart w:id="44" w:name="_Toc18668"/>
      <w:bookmarkStart w:id="45" w:name="_Toc29649"/>
      <w:bookmarkStart w:id="46" w:name="_Toc15951"/>
      <w:bookmarkStart w:id="47" w:name="_Toc64715917"/>
      <w:bookmarkStart w:id="48" w:name="_Toc54868530"/>
      <w:bookmarkStart w:id="49" w:name="_Toc22764"/>
      <w:r>
        <w:rPr>
          <w:rFonts w:ascii="黑体" w:eastAsia="黑体" w:hAnsi="黑体" w:cs="黑体" w:hint="eastAsia"/>
          <w:b w:val="0"/>
          <w:bCs w:val="0"/>
          <w:sz w:val="28"/>
          <w:szCs w:val="28"/>
        </w:rPr>
        <w:lastRenderedPageBreak/>
        <w:t>第五节  发展目标</w:t>
      </w:r>
      <w:bookmarkEnd w:id="42"/>
      <w:bookmarkEnd w:id="43"/>
      <w:bookmarkEnd w:id="44"/>
      <w:bookmarkEnd w:id="45"/>
      <w:bookmarkEnd w:id="46"/>
      <w:bookmarkEnd w:id="47"/>
      <w:bookmarkEnd w:id="48"/>
      <w:bookmarkEnd w:id="49"/>
    </w:p>
    <w:p w14:paraId="58304637"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基于当前良好发展态势，随着产业基础、区位交通、营商环境、发展潜力、干部素质等方面的优势地位逐步确立，未来一段时期和田市经济总量将实现较大提升，只要坚持不懈固根基、扬优势、补短板、强弱项，聚焦“首的引领，质的带动，效的变化，革的力度，抓的狠劲，变的成效”，锁定目标、下定决心，用5年时间，综合实力加快迈入全疆城市前列。</w:t>
      </w:r>
    </w:p>
    <w:p w14:paraId="4F029315"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——经济发展取得新成效。</w:t>
      </w:r>
      <w:r>
        <w:rPr>
          <w:rFonts w:asciiTheme="minorEastAsia" w:hAnsiTheme="minorEastAsia" w:cstheme="minorEastAsia" w:hint="eastAsia"/>
          <w:sz w:val="28"/>
          <w:szCs w:val="28"/>
        </w:rPr>
        <w:t>三次产业发展质量明显提升，农业提质增效、工业巩固增强、服务业提档升级，创新驱动战略深入实施，数字经济发展取得突破；基础设施支撑更加坚实，交通枢纽地位初步确立；和田市中心城市能级明显增强。</w:t>
      </w:r>
    </w:p>
    <w:p w14:paraId="30D16412"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——改革开放迈出新步伐。</w:t>
      </w:r>
      <w:r>
        <w:rPr>
          <w:rFonts w:asciiTheme="minorEastAsia" w:hAnsiTheme="minorEastAsia" w:cstheme="minorEastAsia" w:hint="eastAsia"/>
          <w:sz w:val="28"/>
          <w:szCs w:val="28"/>
        </w:rPr>
        <w:t>社会主义市场经济体制不断完善，市场主体更加充满活力，重大改革成效持续发力，丝绸之路经济带南通道重要支点建设取得积极进展，开放型经济体制加快构建，对内对外开放力度持续加大。</w:t>
      </w:r>
    </w:p>
    <w:p w14:paraId="6BF8DF67"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——民族团结实现新加强。</w:t>
      </w:r>
      <w:r>
        <w:rPr>
          <w:rFonts w:asciiTheme="minorEastAsia" w:hAnsiTheme="minorEastAsia" w:cstheme="minorEastAsia" w:hint="eastAsia"/>
          <w:sz w:val="28"/>
          <w:szCs w:val="28"/>
        </w:rPr>
        <w:t>中华民族共同体意识切实增强，平等团结互助和谐的社会主义民族关系巩固发展，各族群众的国家和中华民族认同情感纽带更加牢固，民族团结的思想基石更加坚实，创建全国民族团结进步示范市。</w:t>
      </w:r>
    </w:p>
    <w:p w14:paraId="459F5C97"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——社会文明程度得到新提高。</w:t>
      </w:r>
      <w:r>
        <w:rPr>
          <w:rFonts w:asciiTheme="minorEastAsia" w:hAnsiTheme="minorEastAsia" w:cstheme="minorEastAsia" w:hint="eastAsia"/>
          <w:sz w:val="28"/>
          <w:szCs w:val="28"/>
        </w:rPr>
        <w:t>文化润疆扎实推进，社会主义核心价值观深入人心，正确的国家观、历史观、民族观、文化观、宗教观牢固树立，公共文化服务体系和文化产业体系更加健全，群众精神文化生活更加丰富，中华文化主体地位切实巩固，各族群众思想道德</w:t>
      </w:r>
      <w:r>
        <w:rPr>
          <w:rFonts w:asciiTheme="minorEastAsia" w:hAnsiTheme="minorEastAsia" w:cstheme="minorEastAsia" w:hint="eastAsia"/>
          <w:sz w:val="28"/>
          <w:szCs w:val="28"/>
        </w:rPr>
        <w:lastRenderedPageBreak/>
        <w:t>素质、科学文化素质和身心健康素质明显提高。</w:t>
      </w:r>
    </w:p>
    <w:p w14:paraId="0DAFF589"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——生态文明建设实现新进步。</w:t>
      </w:r>
      <w:r>
        <w:rPr>
          <w:rFonts w:asciiTheme="minorEastAsia" w:hAnsiTheme="minorEastAsia" w:cstheme="minorEastAsia" w:hint="eastAsia"/>
          <w:sz w:val="28"/>
          <w:szCs w:val="28"/>
        </w:rPr>
        <w:t>国土空间开发保护格局得到优化，生产生活方式绿色转型成效显著，能源资源开发利用效率大幅提升，能耗、水耗、建设用地、碳排放总量得到有效控制，主要污染物减排完成地区下达任务，沙尘天气治理取得成效。生态保护修复机制基本形成，生态环境质量稳步提升，生态安全屏障更加牢固，城乡人居环境明显改善，美丽和田建设深入推进。</w:t>
      </w:r>
    </w:p>
    <w:p w14:paraId="326B32BB"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——民生福祉达到新水平。</w:t>
      </w:r>
      <w:r>
        <w:rPr>
          <w:rFonts w:asciiTheme="minorEastAsia" w:hAnsiTheme="minorEastAsia" w:cstheme="minorEastAsia" w:hint="eastAsia"/>
          <w:sz w:val="28"/>
          <w:szCs w:val="28"/>
        </w:rPr>
        <w:t>社会就业更加充分、更加稳定、更有质量，城镇登记失业率控制在4.5%以内；城乡居民收入年均增长与经济增长保持同步；全民受教育程度不断提升，卫生健康体系更加完善，多层次社会保障体系更加健全，脱贫攻坚成果巩固拓展，乡村振兴战略全面推进，人民生活更加美好。</w:t>
      </w:r>
    </w:p>
    <w:p w14:paraId="5585FEFB"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——社会稳定开创新局面。</w:t>
      </w:r>
      <w:r>
        <w:rPr>
          <w:rFonts w:asciiTheme="minorEastAsia" w:hAnsiTheme="minorEastAsia" w:cstheme="minorEastAsia" w:hint="eastAsia"/>
          <w:sz w:val="28"/>
          <w:szCs w:val="28"/>
        </w:rPr>
        <w:t>社会稳定成果持续巩固深化，反恐维稳实现常态化长效化法治化，“三股势力”滋生蔓延土壤得到有效治理，社会大局保持持续稳定长期稳定，实现更有利于长治久安的根本性变化。</w:t>
      </w:r>
    </w:p>
    <w:p w14:paraId="1093D53A"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楷体" w:eastAsia="楷体" w:hAnsi="楷体" w:cs="楷体" w:hint="eastAsia"/>
          <w:sz w:val="28"/>
          <w:szCs w:val="28"/>
        </w:rPr>
        <w:t>——社会治理效能得到新提升。</w:t>
      </w:r>
      <w:r>
        <w:rPr>
          <w:rFonts w:asciiTheme="minorEastAsia" w:hAnsiTheme="minorEastAsia" w:cstheme="minorEastAsia" w:hint="eastAsia"/>
          <w:sz w:val="28"/>
          <w:szCs w:val="28"/>
        </w:rPr>
        <w:t>社会主义民主法治更加健全，法治政府和法治社会建设取得积极进展，社会公平正义进一步彰显，政府作用更好发挥，行政效率和公信力显著提升，社会治理法治化、现代化水平显著提升，防范化解重大风险体制机制不断健全，突发公共事件应急能力显著增强，自然灾害抵御水平明显提升，发展安全保障更加有力。</w:t>
      </w:r>
    </w:p>
    <w:p w14:paraId="1267D715" w14:textId="77777777" w:rsidR="00B5342F" w:rsidRDefault="00B5342F">
      <w:pPr>
        <w:pStyle w:val="2"/>
        <w:wordWrap w:val="0"/>
        <w:topLinePunct/>
        <w:ind w:firstLine="640"/>
      </w:pPr>
    </w:p>
    <w:tbl>
      <w:tblPr>
        <w:tblStyle w:val="af5"/>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843"/>
        <w:gridCol w:w="1327"/>
        <w:gridCol w:w="950"/>
        <w:gridCol w:w="2002"/>
        <w:gridCol w:w="1130"/>
      </w:tblGrid>
      <w:tr w:rsidR="00B5342F" w14:paraId="51F7CE36" w14:textId="77777777">
        <w:trPr>
          <w:trHeight w:hRule="exact" w:val="456"/>
          <w:jc w:val="center"/>
        </w:trPr>
        <w:tc>
          <w:tcPr>
            <w:tcW w:w="9040" w:type="dxa"/>
            <w:gridSpan w:val="6"/>
            <w:vAlign w:val="center"/>
          </w:tcPr>
          <w:p w14:paraId="34B2FF45" w14:textId="77777777" w:rsidR="00B5342F" w:rsidRDefault="00000000">
            <w:pPr>
              <w:wordWrap w:val="0"/>
              <w:topLinePunct/>
              <w:rPr>
                <w:rFonts w:ascii="Times New Roman" w:cs="Times New Roman"/>
                <w:b/>
                <w:bCs/>
                <w:sz w:val="20"/>
                <w:szCs w:val="20"/>
              </w:rPr>
            </w:pPr>
            <w:r>
              <w:rPr>
                <w:rFonts w:ascii="黑体" w:eastAsia="黑体" w:hAnsi="黑体" w:cs="黑体" w:hint="eastAsia"/>
                <w:color w:val="000000"/>
                <w:kern w:val="0"/>
                <w:sz w:val="24"/>
                <w:szCs w:val="24"/>
              </w:rPr>
              <w:lastRenderedPageBreak/>
              <w:t>专栏</w:t>
            </w:r>
            <w:r>
              <w:rPr>
                <w:rFonts w:ascii="Times New Roman" w:eastAsia="黑体" w:hAnsi="Times New Roman" w:cs="Times New Roman"/>
                <w:color w:val="000000"/>
                <w:kern w:val="0"/>
                <w:sz w:val="24"/>
                <w:szCs w:val="24"/>
              </w:rPr>
              <w:t>1-3</w:t>
            </w:r>
            <w:r>
              <w:rPr>
                <w:rFonts w:ascii="黑体" w:eastAsia="黑体" w:hAnsi="黑体" w:cs="黑体" w:hint="eastAsia"/>
                <w:sz w:val="24"/>
                <w:szCs w:val="24"/>
              </w:rPr>
              <w:t xml:space="preserve">            “十四五”期间经济社会发展的主要指标表</w:t>
            </w:r>
          </w:p>
        </w:tc>
      </w:tr>
      <w:tr w:rsidR="00B5342F" w14:paraId="6C4838F8" w14:textId="77777777">
        <w:trPr>
          <w:trHeight w:hRule="exact" w:val="693"/>
          <w:jc w:val="center"/>
        </w:trPr>
        <w:tc>
          <w:tcPr>
            <w:tcW w:w="788" w:type="dxa"/>
            <w:vAlign w:val="center"/>
          </w:tcPr>
          <w:p w14:paraId="2AAEC6C9" w14:textId="77777777" w:rsidR="00B5342F" w:rsidRDefault="00000000">
            <w:pPr>
              <w:wordWrap w:val="0"/>
              <w:topLinePunct/>
              <w:jc w:val="center"/>
              <w:rPr>
                <w:rFonts w:ascii="黑体" w:eastAsia="黑体" w:hAnsi="黑体" w:cs="黑体" w:hint="eastAsia"/>
                <w:szCs w:val="21"/>
              </w:rPr>
            </w:pPr>
            <w:r>
              <w:rPr>
                <w:rFonts w:ascii="黑体" w:eastAsia="黑体" w:hAnsi="黑体" w:cs="黑体" w:hint="eastAsia"/>
                <w:szCs w:val="21"/>
              </w:rPr>
              <w:t>类别</w:t>
            </w:r>
          </w:p>
        </w:tc>
        <w:tc>
          <w:tcPr>
            <w:tcW w:w="2843" w:type="dxa"/>
            <w:vAlign w:val="center"/>
          </w:tcPr>
          <w:p w14:paraId="0E0CC658" w14:textId="77777777" w:rsidR="00B5342F" w:rsidRDefault="00000000">
            <w:pPr>
              <w:wordWrap w:val="0"/>
              <w:topLinePunct/>
              <w:jc w:val="center"/>
              <w:rPr>
                <w:rFonts w:ascii="黑体" w:eastAsia="黑体" w:hAnsi="黑体" w:cs="黑体" w:hint="eastAsia"/>
                <w:szCs w:val="21"/>
              </w:rPr>
            </w:pPr>
            <w:r>
              <w:rPr>
                <w:rFonts w:ascii="黑体" w:eastAsia="黑体" w:hAnsi="黑体" w:cs="黑体" w:hint="eastAsia"/>
                <w:szCs w:val="21"/>
              </w:rPr>
              <w:t>指标</w:t>
            </w:r>
          </w:p>
        </w:tc>
        <w:tc>
          <w:tcPr>
            <w:tcW w:w="1327" w:type="dxa"/>
            <w:vAlign w:val="center"/>
          </w:tcPr>
          <w:p w14:paraId="1B21CFB9" w14:textId="77777777" w:rsidR="00B5342F" w:rsidRDefault="00000000">
            <w:pPr>
              <w:wordWrap w:val="0"/>
              <w:topLinePunct/>
              <w:jc w:val="center"/>
              <w:rPr>
                <w:rFonts w:ascii="黑体" w:eastAsia="黑体" w:hAnsi="黑体" w:cs="黑体" w:hint="eastAsia"/>
                <w:szCs w:val="21"/>
              </w:rPr>
            </w:pPr>
            <w:r>
              <w:rPr>
                <w:rFonts w:ascii="黑体" w:eastAsia="黑体" w:hAnsi="黑体" w:cs="黑体" w:hint="eastAsia"/>
                <w:szCs w:val="21"/>
              </w:rPr>
              <w:t>2020年</w:t>
            </w:r>
          </w:p>
          <w:p w14:paraId="7B2AB70F" w14:textId="77777777" w:rsidR="00B5342F" w:rsidRDefault="00000000">
            <w:pPr>
              <w:wordWrap w:val="0"/>
              <w:topLinePunct/>
              <w:jc w:val="center"/>
              <w:rPr>
                <w:rFonts w:ascii="黑体" w:eastAsia="黑体" w:hAnsi="黑体" w:cs="黑体" w:hint="eastAsia"/>
                <w:szCs w:val="21"/>
              </w:rPr>
            </w:pPr>
            <w:r>
              <w:rPr>
                <w:rFonts w:ascii="黑体" w:eastAsia="黑体" w:hAnsi="黑体" w:cs="黑体" w:hint="eastAsia"/>
                <w:szCs w:val="21"/>
              </w:rPr>
              <w:t>预计</w:t>
            </w:r>
          </w:p>
        </w:tc>
        <w:tc>
          <w:tcPr>
            <w:tcW w:w="950" w:type="dxa"/>
            <w:vAlign w:val="center"/>
          </w:tcPr>
          <w:p w14:paraId="30BDA5E6" w14:textId="77777777" w:rsidR="00B5342F" w:rsidRDefault="00000000">
            <w:pPr>
              <w:wordWrap w:val="0"/>
              <w:topLinePunct/>
              <w:jc w:val="center"/>
              <w:rPr>
                <w:rFonts w:ascii="黑体" w:eastAsia="黑体" w:hAnsi="黑体" w:cs="黑体" w:hint="eastAsia"/>
                <w:szCs w:val="21"/>
              </w:rPr>
            </w:pPr>
            <w:r>
              <w:rPr>
                <w:rFonts w:ascii="黑体" w:eastAsia="黑体" w:hAnsi="黑体" w:cs="黑体" w:hint="eastAsia"/>
                <w:szCs w:val="21"/>
              </w:rPr>
              <w:t>2025年</w:t>
            </w:r>
          </w:p>
        </w:tc>
        <w:tc>
          <w:tcPr>
            <w:tcW w:w="2002" w:type="dxa"/>
            <w:vAlign w:val="center"/>
          </w:tcPr>
          <w:p w14:paraId="76922E4F" w14:textId="77777777" w:rsidR="00B5342F" w:rsidRDefault="00000000">
            <w:pPr>
              <w:wordWrap w:val="0"/>
              <w:topLinePunct/>
              <w:jc w:val="center"/>
              <w:rPr>
                <w:rFonts w:ascii="黑体" w:eastAsia="黑体" w:hAnsi="黑体" w:cs="黑体" w:hint="eastAsia"/>
                <w:szCs w:val="21"/>
              </w:rPr>
            </w:pPr>
            <w:r>
              <w:rPr>
                <w:rFonts w:ascii="黑体" w:eastAsia="黑体" w:hAnsi="黑体" w:cs="黑体" w:hint="eastAsia"/>
                <w:szCs w:val="21"/>
              </w:rPr>
              <w:t>年均增长（%）</w:t>
            </w:r>
          </w:p>
          <w:p w14:paraId="61079105" w14:textId="77777777" w:rsidR="00B5342F" w:rsidRDefault="00000000">
            <w:pPr>
              <w:wordWrap w:val="0"/>
              <w:topLinePunct/>
              <w:jc w:val="center"/>
              <w:rPr>
                <w:rFonts w:ascii="黑体" w:eastAsia="黑体" w:hAnsi="黑体" w:cs="黑体" w:hint="eastAsia"/>
                <w:szCs w:val="21"/>
              </w:rPr>
            </w:pPr>
            <w:r>
              <w:rPr>
                <w:rFonts w:ascii="黑体" w:eastAsia="黑体" w:hAnsi="黑体" w:cs="黑体" w:hint="eastAsia"/>
                <w:szCs w:val="21"/>
              </w:rPr>
              <w:t>[累计]</w:t>
            </w:r>
          </w:p>
        </w:tc>
        <w:tc>
          <w:tcPr>
            <w:tcW w:w="1130" w:type="dxa"/>
            <w:vAlign w:val="center"/>
          </w:tcPr>
          <w:p w14:paraId="7A5364A0" w14:textId="77777777" w:rsidR="00B5342F" w:rsidRDefault="00000000">
            <w:pPr>
              <w:wordWrap w:val="0"/>
              <w:topLinePunct/>
              <w:jc w:val="center"/>
              <w:rPr>
                <w:rFonts w:ascii="黑体" w:eastAsia="黑体" w:hAnsi="黑体" w:cs="黑体" w:hint="eastAsia"/>
                <w:szCs w:val="21"/>
              </w:rPr>
            </w:pPr>
            <w:r>
              <w:rPr>
                <w:rFonts w:ascii="黑体" w:eastAsia="黑体" w:hAnsi="黑体" w:cs="黑体" w:hint="eastAsia"/>
                <w:szCs w:val="21"/>
              </w:rPr>
              <w:t>属性</w:t>
            </w:r>
          </w:p>
        </w:tc>
      </w:tr>
      <w:tr w:rsidR="00B5342F" w14:paraId="62972CDF" w14:textId="77777777">
        <w:trPr>
          <w:trHeight w:hRule="exact" w:val="639"/>
          <w:jc w:val="center"/>
        </w:trPr>
        <w:tc>
          <w:tcPr>
            <w:tcW w:w="788" w:type="dxa"/>
            <w:vMerge w:val="restart"/>
            <w:vAlign w:val="center"/>
          </w:tcPr>
          <w:p w14:paraId="29BE8332"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经济</w:t>
            </w:r>
          </w:p>
          <w:p w14:paraId="0CBBEDCF"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发展</w:t>
            </w:r>
          </w:p>
        </w:tc>
        <w:tc>
          <w:tcPr>
            <w:tcW w:w="2843" w:type="dxa"/>
            <w:vAlign w:val="center"/>
          </w:tcPr>
          <w:p w14:paraId="209ECD1B" w14:textId="77777777" w:rsidR="00B5342F" w:rsidRDefault="00000000">
            <w:pPr>
              <w:wordWrap w:val="0"/>
              <w:topLinePunct/>
              <w:rPr>
                <w:rFonts w:ascii="Times New Roman" w:hAnsi="Times New Roman" w:cs="Times New Roman"/>
                <w:szCs w:val="21"/>
              </w:rPr>
            </w:pPr>
            <w:r>
              <w:rPr>
                <w:rFonts w:ascii="Times New Roman" w:hAnsi="Times New Roman" w:cs="Times New Roman"/>
                <w:szCs w:val="21"/>
              </w:rPr>
              <w:t>1.</w:t>
            </w:r>
            <w:r>
              <w:rPr>
                <w:rFonts w:ascii="Times New Roman" w:cs="Times New Roman"/>
                <w:szCs w:val="21"/>
              </w:rPr>
              <w:t>地区生产总值（亿元）</w:t>
            </w:r>
          </w:p>
        </w:tc>
        <w:tc>
          <w:tcPr>
            <w:tcW w:w="1327" w:type="dxa"/>
            <w:vAlign w:val="center"/>
          </w:tcPr>
          <w:p w14:paraId="072F536A" w14:textId="77777777" w:rsidR="00B5342F" w:rsidRDefault="00000000">
            <w:pPr>
              <w:wordWrap w:val="0"/>
              <w:topLinePunct/>
              <w:jc w:val="center"/>
              <w:rPr>
                <w:rFonts w:ascii="Times New Roman" w:hAnsi="Times New Roman" w:cs="Times New Roman"/>
                <w:color w:val="FF0000"/>
                <w:szCs w:val="21"/>
              </w:rPr>
            </w:pPr>
            <w:r>
              <w:rPr>
                <w:rFonts w:ascii="Times New Roman" w:hAnsi="Times New Roman" w:cs="Times New Roman" w:hint="eastAsia"/>
                <w:szCs w:val="21"/>
              </w:rPr>
              <w:t>114.28</w:t>
            </w:r>
          </w:p>
        </w:tc>
        <w:tc>
          <w:tcPr>
            <w:tcW w:w="950" w:type="dxa"/>
            <w:vAlign w:val="center"/>
          </w:tcPr>
          <w:p w14:paraId="3D9FAB60"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2002" w:type="dxa"/>
            <w:vAlign w:val="center"/>
          </w:tcPr>
          <w:p w14:paraId="317E5F9D"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保持在合理区间、各年度视情提出</w:t>
            </w:r>
          </w:p>
        </w:tc>
        <w:tc>
          <w:tcPr>
            <w:tcW w:w="1130" w:type="dxa"/>
            <w:vAlign w:val="center"/>
          </w:tcPr>
          <w:p w14:paraId="5826C66D"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0F4EB7A6" w14:textId="77777777">
        <w:trPr>
          <w:trHeight w:hRule="exact" w:val="456"/>
          <w:jc w:val="center"/>
        </w:trPr>
        <w:tc>
          <w:tcPr>
            <w:tcW w:w="788" w:type="dxa"/>
            <w:vMerge/>
          </w:tcPr>
          <w:p w14:paraId="5CA148B7"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326F8F4A" w14:textId="77777777" w:rsidR="00B5342F" w:rsidRDefault="00000000">
            <w:pPr>
              <w:wordWrap w:val="0"/>
              <w:topLinePunct/>
              <w:rPr>
                <w:rFonts w:ascii="Times New Roman" w:hAnsi="Times New Roman" w:cs="Times New Roman"/>
                <w:szCs w:val="21"/>
              </w:rPr>
            </w:pPr>
            <w:r>
              <w:rPr>
                <w:rFonts w:ascii="Times New Roman" w:hAnsi="Times New Roman" w:cs="Times New Roman"/>
                <w:szCs w:val="21"/>
              </w:rPr>
              <w:t>2.</w:t>
            </w:r>
            <w:r>
              <w:rPr>
                <w:rFonts w:ascii="Times New Roman" w:cs="Times New Roman"/>
                <w:szCs w:val="21"/>
              </w:rPr>
              <w:t>全员劳动生产率（万元</w:t>
            </w:r>
            <w:r>
              <w:rPr>
                <w:rFonts w:ascii="Times New Roman" w:hAnsi="Times New Roman" w:cs="Times New Roman"/>
                <w:szCs w:val="21"/>
              </w:rPr>
              <w:t>/</w:t>
            </w:r>
            <w:r>
              <w:rPr>
                <w:rFonts w:ascii="Times New Roman" w:cs="Times New Roman"/>
                <w:szCs w:val="21"/>
              </w:rPr>
              <w:t>人）</w:t>
            </w:r>
          </w:p>
        </w:tc>
        <w:tc>
          <w:tcPr>
            <w:tcW w:w="1327" w:type="dxa"/>
            <w:vAlign w:val="center"/>
          </w:tcPr>
          <w:p w14:paraId="7CD8D88E"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950" w:type="dxa"/>
            <w:vAlign w:val="center"/>
          </w:tcPr>
          <w:p w14:paraId="25F8B526"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2002" w:type="dxa"/>
            <w:vAlign w:val="center"/>
          </w:tcPr>
          <w:p w14:paraId="514A4C7E" w14:textId="77777777" w:rsidR="00B5342F" w:rsidRDefault="00000000">
            <w:pPr>
              <w:wordWrap w:val="0"/>
              <w:topLinePunct/>
              <w:jc w:val="center"/>
              <w:rPr>
                <w:rFonts w:ascii="Times New Roman" w:hAnsi="Times New Roman" w:cs="Times New Roman"/>
                <w:szCs w:val="21"/>
              </w:rPr>
            </w:pPr>
            <w:r>
              <w:rPr>
                <w:rFonts w:asciiTheme="minorEastAsia" w:hAnsiTheme="minorEastAsia" w:cs="Times New Roman" w:hint="eastAsia"/>
                <w:szCs w:val="21"/>
              </w:rPr>
              <w:t>高于</w:t>
            </w:r>
            <w:r>
              <w:rPr>
                <w:rFonts w:ascii="Times New Roman" w:hAnsi="Times New Roman" w:cs="Times New Roman"/>
                <w:szCs w:val="21"/>
              </w:rPr>
              <w:t>GDP</w:t>
            </w:r>
            <w:r>
              <w:rPr>
                <w:rFonts w:asciiTheme="minorEastAsia" w:hAnsiTheme="minorEastAsia" w:cs="Times New Roman" w:hint="eastAsia"/>
                <w:szCs w:val="21"/>
              </w:rPr>
              <w:t>增长</w:t>
            </w:r>
          </w:p>
        </w:tc>
        <w:tc>
          <w:tcPr>
            <w:tcW w:w="1130" w:type="dxa"/>
            <w:vAlign w:val="center"/>
          </w:tcPr>
          <w:p w14:paraId="2A6567E0"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3907204B" w14:textId="77777777">
        <w:trPr>
          <w:trHeight w:hRule="exact" w:val="456"/>
          <w:jc w:val="center"/>
        </w:trPr>
        <w:tc>
          <w:tcPr>
            <w:tcW w:w="788" w:type="dxa"/>
            <w:vMerge/>
          </w:tcPr>
          <w:p w14:paraId="59E8026A"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34B195AB"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szCs w:val="21"/>
              </w:rPr>
              <w:t>.</w:t>
            </w:r>
            <w:r>
              <w:rPr>
                <w:rFonts w:ascii="Times New Roman" w:cs="Times New Roman"/>
                <w:szCs w:val="21"/>
              </w:rPr>
              <w:t>常住人口城镇化率（</w:t>
            </w:r>
            <w:r>
              <w:rPr>
                <w:rFonts w:ascii="Times New Roman" w:hAnsi="Times New Roman" w:cs="Times New Roman"/>
                <w:szCs w:val="21"/>
              </w:rPr>
              <w:t>%</w:t>
            </w:r>
            <w:r>
              <w:rPr>
                <w:rFonts w:ascii="Times New Roman" w:cs="Times New Roman"/>
                <w:szCs w:val="21"/>
              </w:rPr>
              <w:t>）</w:t>
            </w:r>
          </w:p>
        </w:tc>
        <w:tc>
          <w:tcPr>
            <w:tcW w:w="1327" w:type="dxa"/>
            <w:vAlign w:val="center"/>
          </w:tcPr>
          <w:p w14:paraId="1BC78FF3" w14:textId="77777777" w:rsidR="00B5342F" w:rsidRDefault="00000000">
            <w:pPr>
              <w:wordWrap w:val="0"/>
              <w:topLinePunct/>
              <w:jc w:val="center"/>
              <w:rPr>
                <w:rFonts w:ascii="Times New Roman" w:hAnsi="Times New Roman" w:cs="Times New Roman"/>
                <w:szCs w:val="21"/>
                <w:highlight w:val="yellow"/>
              </w:rPr>
            </w:pPr>
            <w:r>
              <w:rPr>
                <w:rFonts w:ascii="Times New Roman" w:hAnsi="Times New Roman" w:cs="Times New Roman"/>
                <w:szCs w:val="21"/>
              </w:rPr>
              <w:t>48</w:t>
            </w:r>
          </w:p>
        </w:tc>
        <w:tc>
          <w:tcPr>
            <w:tcW w:w="950" w:type="dxa"/>
            <w:vAlign w:val="center"/>
          </w:tcPr>
          <w:p w14:paraId="51EA140D"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&gt;60</w:t>
            </w:r>
          </w:p>
        </w:tc>
        <w:tc>
          <w:tcPr>
            <w:tcW w:w="2002" w:type="dxa"/>
            <w:vAlign w:val="center"/>
          </w:tcPr>
          <w:p w14:paraId="1C100819" w14:textId="77777777" w:rsidR="00B5342F" w:rsidRDefault="00000000">
            <w:pPr>
              <w:wordWrap w:val="0"/>
              <w:topLinePunct/>
              <w:jc w:val="center"/>
              <w:rPr>
                <w:rFonts w:ascii="Times New Roman" w:hAnsi="Times New Roman" w:cs="Times New Roman"/>
                <w:szCs w:val="21"/>
              </w:rPr>
            </w:pPr>
            <w:r>
              <w:rPr>
                <w:rFonts w:asciiTheme="minorEastAsia" w:hAnsiTheme="minorEastAsia" w:cs="Times New Roman"/>
                <w:szCs w:val="21"/>
              </w:rPr>
              <w:t>[</w:t>
            </w:r>
            <w:r>
              <w:rPr>
                <w:rFonts w:ascii="Times New Roman" w:hAnsi="Times New Roman" w:cs="Times New Roman"/>
                <w:szCs w:val="21"/>
              </w:rPr>
              <w:t>25</w:t>
            </w:r>
            <w:r>
              <w:rPr>
                <w:rFonts w:asciiTheme="minorEastAsia" w:hAnsiTheme="minorEastAsia" w:cs="Times New Roman"/>
                <w:szCs w:val="21"/>
              </w:rPr>
              <w:t>]</w:t>
            </w:r>
          </w:p>
        </w:tc>
        <w:tc>
          <w:tcPr>
            <w:tcW w:w="1130" w:type="dxa"/>
            <w:vAlign w:val="center"/>
          </w:tcPr>
          <w:p w14:paraId="2E136499"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73C506BC" w14:textId="77777777">
        <w:trPr>
          <w:trHeight w:hRule="exact" w:val="661"/>
          <w:jc w:val="center"/>
        </w:trPr>
        <w:tc>
          <w:tcPr>
            <w:tcW w:w="788" w:type="dxa"/>
            <w:vMerge w:val="restart"/>
            <w:vAlign w:val="center"/>
          </w:tcPr>
          <w:p w14:paraId="616EA780"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创新</w:t>
            </w:r>
          </w:p>
          <w:p w14:paraId="6D1CB390"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驱动</w:t>
            </w:r>
          </w:p>
        </w:tc>
        <w:tc>
          <w:tcPr>
            <w:tcW w:w="2843" w:type="dxa"/>
            <w:vAlign w:val="center"/>
          </w:tcPr>
          <w:p w14:paraId="012181E5"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4</w:t>
            </w:r>
            <w:r>
              <w:rPr>
                <w:rFonts w:ascii="Times New Roman" w:hAnsi="Times New Roman" w:cs="Times New Roman"/>
                <w:szCs w:val="21"/>
              </w:rPr>
              <w:t>.</w:t>
            </w:r>
            <w:r>
              <w:rPr>
                <w:rFonts w:ascii="Times New Roman" w:hAnsi="Times New Roman" w:cs="Times New Roman" w:hint="eastAsia"/>
                <w:szCs w:val="21"/>
              </w:rPr>
              <w:t>全社会</w:t>
            </w:r>
            <w:r>
              <w:rPr>
                <w:rFonts w:ascii="Times New Roman" w:cs="Times New Roman"/>
                <w:szCs w:val="21"/>
              </w:rPr>
              <w:t>研发经费投入</w:t>
            </w:r>
            <w:r>
              <w:rPr>
                <w:rFonts w:ascii="Times New Roman" w:cs="Times New Roman" w:hint="eastAsia"/>
                <w:szCs w:val="21"/>
              </w:rPr>
              <w:t>增长</w:t>
            </w:r>
            <w:r>
              <w:rPr>
                <w:rFonts w:ascii="Times New Roman" w:cs="Times New Roman"/>
                <w:szCs w:val="21"/>
              </w:rPr>
              <w:t>（</w:t>
            </w:r>
            <w:r>
              <w:rPr>
                <w:rFonts w:ascii="Times New Roman" w:hAnsi="Times New Roman" w:cs="Times New Roman"/>
                <w:szCs w:val="21"/>
              </w:rPr>
              <w:t>%</w:t>
            </w:r>
            <w:r>
              <w:rPr>
                <w:rFonts w:ascii="Times New Roman" w:cs="Times New Roman"/>
                <w:szCs w:val="21"/>
              </w:rPr>
              <w:t>）</w:t>
            </w:r>
          </w:p>
        </w:tc>
        <w:tc>
          <w:tcPr>
            <w:tcW w:w="1327" w:type="dxa"/>
            <w:vAlign w:val="center"/>
          </w:tcPr>
          <w:p w14:paraId="7D80D4ED"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950" w:type="dxa"/>
            <w:vAlign w:val="center"/>
          </w:tcPr>
          <w:p w14:paraId="527584C7"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2002" w:type="dxa"/>
            <w:vAlign w:val="center"/>
          </w:tcPr>
          <w:p w14:paraId="0173B544"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力争投入强度高于“十三五”时期实际</w:t>
            </w:r>
          </w:p>
        </w:tc>
        <w:tc>
          <w:tcPr>
            <w:tcW w:w="1130" w:type="dxa"/>
            <w:vAlign w:val="center"/>
          </w:tcPr>
          <w:p w14:paraId="4EFDA58E"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6F8A0DE1" w14:textId="77777777">
        <w:trPr>
          <w:trHeight w:hRule="exact" w:val="714"/>
          <w:jc w:val="center"/>
        </w:trPr>
        <w:tc>
          <w:tcPr>
            <w:tcW w:w="788" w:type="dxa"/>
            <w:vMerge/>
          </w:tcPr>
          <w:p w14:paraId="68A050E8" w14:textId="77777777" w:rsidR="00B5342F" w:rsidRDefault="00B5342F">
            <w:pPr>
              <w:wordWrap w:val="0"/>
              <w:topLinePunct/>
              <w:jc w:val="center"/>
              <w:rPr>
                <w:rFonts w:ascii="Times New Roman" w:cs="Times New Roman"/>
                <w:szCs w:val="21"/>
              </w:rPr>
            </w:pPr>
          </w:p>
        </w:tc>
        <w:tc>
          <w:tcPr>
            <w:tcW w:w="2843" w:type="dxa"/>
            <w:vAlign w:val="center"/>
          </w:tcPr>
          <w:p w14:paraId="694CC2CC"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5.</w:t>
            </w:r>
            <w:r>
              <w:rPr>
                <w:rFonts w:ascii="Times New Roman" w:hAnsi="Times New Roman" w:cs="Times New Roman" w:hint="eastAsia"/>
                <w:szCs w:val="21"/>
              </w:rPr>
              <w:t>每万人口高价值发明专利拥有量（件）</w:t>
            </w:r>
          </w:p>
        </w:tc>
        <w:tc>
          <w:tcPr>
            <w:tcW w:w="1327" w:type="dxa"/>
            <w:vAlign w:val="center"/>
          </w:tcPr>
          <w:p w14:paraId="40DA093D"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0.12</w:t>
            </w:r>
          </w:p>
        </w:tc>
        <w:tc>
          <w:tcPr>
            <w:tcW w:w="950" w:type="dxa"/>
            <w:vAlign w:val="center"/>
          </w:tcPr>
          <w:p w14:paraId="07A1500A"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0.16</w:t>
            </w:r>
          </w:p>
        </w:tc>
        <w:tc>
          <w:tcPr>
            <w:tcW w:w="2002" w:type="dxa"/>
            <w:vAlign w:val="center"/>
          </w:tcPr>
          <w:p w14:paraId="5288522B"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1130" w:type="dxa"/>
            <w:vAlign w:val="center"/>
          </w:tcPr>
          <w:p w14:paraId="52C520D9" w14:textId="77777777" w:rsidR="00B5342F" w:rsidRDefault="00000000">
            <w:pPr>
              <w:wordWrap w:val="0"/>
              <w:topLinePunct/>
              <w:jc w:val="center"/>
              <w:rPr>
                <w:rFonts w:ascii="Times New Roman" w:cs="Times New Roman"/>
                <w:szCs w:val="21"/>
              </w:rPr>
            </w:pPr>
            <w:r>
              <w:rPr>
                <w:rFonts w:ascii="Times New Roman" w:cs="Times New Roman"/>
                <w:szCs w:val="21"/>
              </w:rPr>
              <w:t>预期性</w:t>
            </w:r>
          </w:p>
        </w:tc>
      </w:tr>
      <w:tr w:rsidR="00B5342F" w14:paraId="2D4007B6" w14:textId="77777777">
        <w:trPr>
          <w:trHeight w:hRule="exact" w:val="693"/>
          <w:jc w:val="center"/>
        </w:trPr>
        <w:tc>
          <w:tcPr>
            <w:tcW w:w="788" w:type="dxa"/>
            <w:vMerge w:val="restart"/>
            <w:vAlign w:val="center"/>
          </w:tcPr>
          <w:p w14:paraId="1E4363E8"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民生</w:t>
            </w:r>
          </w:p>
          <w:p w14:paraId="1A5C75CE"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福祉</w:t>
            </w:r>
          </w:p>
        </w:tc>
        <w:tc>
          <w:tcPr>
            <w:tcW w:w="2843" w:type="dxa"/>
            <w:vAlign w:val="center"/>
          </w:tcPr>
          <w:p w14:paraId="68200DFD" w14:textId="77777777" w:rsidR="00B5342F" w:rsidRDefault="00000000">
            <w:pPr>
              <w:wordWrap w:val="0"/>
              <w:topLinePunct/>
              <w:rPr>
                <w:rFonts w:ascii="Times New Roman" w:hAnsi="Times New Roman" w:cs="Times New Roman"/>
                <w:szCs w:val="21"/>
              </w:rPr>
            </w:pPr>
            <w:r>
              <w:rPr>
                <w:rFonts w:ascii="Times New Roman" w:cs="Times New Roman" w:hint="eastAsia"/>
                <w:szCs w:val="21"/>
              </w:rPr>
              <w:t>6.</w:t>
            </w:r>
            <w:r>
              <w:rPr>
                <w:rFonts w:ascii="Times New Roman" w:cs="Times New Roman"/>
                <w:szCs w:val="21"/>
              </w:rPr>
              <w:t>城镇</w:t>
            </w:r>
            <w:r>
              <w:rPr>
                <w:rFonts w:ascii="Times New Roman" w:cs="Times New Roman" w:hint="eastAsia"/>
                <w:szCs w:val="21"/>
              </w:rPr>
              <w:t>居民</w:t>
            </w:r>
            <w:r>
              <w:rPr>
                <w:rFonts w:ascii="Times New Roman" w:cs="Times New Roman"/>
                <w:szCs w:val="21"/>
              </w:rPr>
              <w:t>人均可支配收入（</w:t>
            </w:r>
            <w:r>
              <w:rPr>
                <w:rFonts w:ascii="Times New Roman" w:hAnsi="Times New Roman" w:cs="Times New Roman" w:hint="eastAsia"/>
                <w:szCs w:val="21"/>
              </w:rPr>
              <w:t>元</w:t>
            </w:r>
            <w:r>
              <w:rPr>
                <w:rFonts w:ascii="Times New Roman" w:cs="Times New Roman"/>
                <w:szCs w:val="21"/>
              </w:rPr>
              <w:t>）</w:t>
            </w:r>
          </w:p>
        </w:tc>
        <w:tc>
          <w:tcPr>
            <w:tcW w:w="1327" w:type="dxa"/>
            <w:vAlign w:val="center"/>
          </w:tcPr>
          <w:p w14:paraId="30C59EEB"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31062</w:t>
            </w:r>
          </w:p>
        </w:tc>
        <w:tc>
          <w:tcPr>
            <w:tcW w:w="950" w:type="dxa"/>
            <w:vAlign w:val="center"/>
          </w:tcPr>
          <w:p w14:paraId="286E6873"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45640</w:t>
            </w:r>
          </w:p>
        </w:tc>
        <w:tc>
          <w:tcPr>
            <w:tcW w:w="2002" w:type="dxa"/>
            <w:vAlign w:val="center"/>
          </w:tcPr>
          <w:p w14:paraId="2EA9DDC5"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8</w:t>
            </w:r>
          </w:p>
        </w:tc>
        <w:tc>
          <w:tcPr>
            <w:tcW w:w="1130" w:type="dxa"/>
            <w:vAlign w:val="center"/>
          </w:tcPr>
          <w:p w14:paraId="45AD87D0"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04A6F3C7" w14:textId="77777777">
        <w:trPr>
          <w:trHeight w:hRule="exact" w:val="607"/>
          <w:jc w:val="center"/>
        </w:trPr>
        <w:tc>
          <w:tcPr>
            <w:tcW w:w="788" w:type="dxa"/>
            <w:vMerge/>
          </w:tcPr>
          <w:p w14:paraId="0C74A018"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712E7D6D" w14:textId="77777777" w:rsidR="00B5342F" w:rsidRDefault="00000000">
            <w:pPr>
              <w:wordWrap w:val="0"/>
              <w:topLinePunct/>
              <w:rPr>
                <w:rFonts w:ascii="Times New Roman" w:hAnsi="Times New Roman" w:cs="Times New Roman"/>
                <w:szCs w:val="21"/>
              </w:rPr>
            </w:pPr>
            <w:r>
              <w:rPr>
                <w:rFonts w:ascii="Times New Roman" w:cs="Times New Roman" w:hint="eastAsia"/>
                <w:szCs w:val="21"/>
              </w:rPr>
              <w:t>7.</w:t>
            </w:r>
            <w:r>
              <w:rPr>
                <w:rFonts w:ascii="Times New Roman" w:cs="Times New Roman"/>
                <w:szCs w:val="21"/>
              </w:rPr>
              <w:t>农村</w:t>
            </w:r>
            <w:r>
              <w:rPr>
                <w:rFonts w:ascii="Times New Roman" w:cs="Times New Roman" w:hint="eastAsia"/>
                <w:szCs w:val="21"/>
              </w:rPr>
              <w:t>居民</w:t>
            </w:r>
            <w:r>
              <w:rPr>
                <w:rFonts w:ascii="Times New Roman" w:cs="Times New Roman"/>
                <w:szCs w:val="21"/>
              </w:rPr>
              <w:t>人均可支配收入（</w:t>
            </w:r>
            <w:r>
              <w:rPr>
                <w:rFonts w:ascii="Times New Roman" w:hAnsi="Times New Roman" w:cs="Times New Roman" w:hint="eastAsia"/>
                <w:szCs w:val="21"/>
              </w:rPr>
              <w:t>元</w:t>
            </w:r>
            <w:r>
              <w:rPr>
                <w:rFonts w:ascii="Times New Roman" w:cs="Times New Roman"/>
                <w:szCs w:val="21"/>
              </w:rPr>
              <w:t>）</w:t>
            </w:r>
          </w:p>
        </w:tc>
        <w:tc>
          <w:tcPr>
            <w:tcW w:w="1327" w:type="dxa"/>
            <w:vAlign w:val="center"/>
          </w:tcPr>
          <w:p w14:paraId="1F8EAE18" w14:textId="77777777" w:rsidR="00B5342F" w:rsidRDefault="00000000">
            <w:pPr>
              <w:wordWrap w:val="0"/>
              <w:topLinePunct/>
              <w:jc w:val="center"/>
              <w:rPr>
                <w:rFonts w:ascii="Times New Roman" w:hAnsi="Times New Roman" w:cs="Times New Roman"/>
                <w:color w:val="FF0000"/>
                <w:szCs w:val="21"/>
              </w:rPr>
            </w:pPr>
            <w:r>
              <w:rPr>
                <w:rFonts w:ascii="Times New Roman" w:hAnsi="Times New Roman" w:cs="Times New Roman" w:hint="eastAsia"/>
                <w:szCs w:val="21"/>
              </w:rPr>
              <w:t>11381</w:t>
            </w:r>
          </w:p>
        </w:tc>
        <w:tc>
          <w:tcPr>
            <w:tcW w:w="950" w:type="dxa"/>
            <w:vAlign w:val="center"/>
          </w:tcPr>
          <w:p w14:paraId="3FB98CFC"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17841</w:t>
            </w:r>
          </w:p>
        </w:tc>
        <w:tc>
          <w:tcPr>
            <w:tcW w:w="2002" w:type="dxa"/>
            <w:vAlign w:val="center"/>
          </w:tcPr>
          <w:p w14:paraId="4C627736"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11</w:t>
            </w:r>
          </w:p>
        </w:tc>
        <w:tc>
          <w:tcPr>
            <w:tcW w:w="1130" w:type="dxa"/>
            <w:vAlign w:val="center"/>
          </w:tcPr>
          <w:p w14:paraId="78844062"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16F68181" w14:textId="77777777">
        <w:trPr>
          <w:trHeight w:hRule="exact" w:val="456"/>
          <w:jc w:val="center"/>
        </w:trPr>
        <w:tc>
          <w:tcPr>
            <w:tcW w:w="788" w:type="dxa"/>
            <w:vMerge/>
          </w:tcPr>
          <w:p w14:paraId="13E2DCA8"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0137D7D3" w14:textId="77777777" w:rsidR="00B5342F" w:rsidRDefault="00000000">
            <w:pPr>
              <w:wordWrap w:val="0"/>
              <w:topLinePunct/>
              <w:rPr>
                <w:rFonts w:ascii="Times New Roman" w:hAnsi="Times New Roman" w:cs="Times New Roman"/>
                <w:szCs w:val="21"/>
              </w:rPr>
            </w:pPr>
            <w:r>
              <w:rPr>
                <w:rFonts w:ascii="Times New Roman" w:cs="Times New Roman" w:hint="eastAsia"/>
                <w:szCs w:val="21"/>
              </w:rPr>
              <w:t>8.</w:t>
            </w:r>
            <w:r>
              <w:rPr>
                <w:rFonts w:ascii="Times New Roman" w:cs="Times New Roman"/>
                <w:szCs w:val="21"/>
              </w:rPr>
              <w:t>城镇</w:t>
            </w:r>
            <w:r>
              <w:rPr>
                <w:rFonts w:ascii="Times New Roman" w:cs="Times New Roman" w:hint="eastAsia"/>
                <w:szCs w:val="21"/>
              </w:rPr>
              <w:t>登记</w:t>
            </w:r>
            <w:r>
              <w:rPr>
                <w:rFonts w:ascii="Times New Roman" w:cs="Times New Roman"/>
                <w:szCs w:val="21"/>
              </w:rPr>
              <w:t>失业率（</w:t>
            </w:r>
            <w:r>
              <w:rPr>
                <w:rFonts w:ascii="Times New Roman" w:hAnsi="Times New Roman" w:cs="Times New Roman"/>
                <w:szCs w:val="21"/>
              </w:rPr>
              <w:t>%</w:t>
            </w:r>
            <w:r>
              <w:rPr>
                <w:rFonts w:ascii="Times New Roman" w:cs="Times New Roman"/>
                <w:szCs w:val="21"/>
              </w:rPr>
              <w:t>）</w:t>
            </w:r>
          </w:p>
        </w:tc>
        <w:tc>
          <w:tcPr>
            <w:tcW w:w="1327" w:type="dxa"/>
            <w:vAlign w:val="center"/>
          </w:tcPr>
          <w:p w14:paraId="565F755F"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≤4.5</w:t>
            </w:r>
          </w:p>
        </w:tc>
        <w:tc>
          <w:tcPr>
            <w:tcW w:w="950" w:type="dxa"/>
            <w:vAlign w:val="center"/>
          </w:tcPr>
          <w:p w14:paraId="27268E70"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≤4.5</w:t>
            </w:r>
          </w:p>
        </w:tc>
        <w:tc>
          <w:tcPr>
            <w:tcW w:w="2002" w:type="dxa"/>
            <w:vAlign w:val="center"/>
          </w:tcPr>
          <w:p w14:paraId="0D332439"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1130" w:type="dxa"/>
            <w:vAlign w:val="center"/>
          </w:tcPr>
          <w:p w14:paraId="7E0167C2"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6F867244" w14:textId="77777777">
        <w:trPr>
          <w:trHeight w:hRule="exact" w:val="607"/>
          <w:jc w:val="center"/>
        </w:trPr>
        <w:tc>
          <w:tcPr>
            <w:tcW w:w="788" w:type="dxa"/>
            <w:vMerge/>
          </w:tcPr>
          <w:p w14:paraId="09D2E771"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7B0588A7"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9</w:t>
            </w:r>
            <w:r>
              <w:rPr>
                <w:rFonts w:ascii="Times New Roman" w:hAnsi="Times New Roman" w:cs="Times New Roman"/>
                <w:szCs w:val="21"/>
              </w:rPr>
              <w:t>.</w:t>
            </w:r>
            <w:r>
              <w:rPr>
                <w:rFonts w:ascii="Times New Roman" w:cs="Times New Roman"/>
                <w:szCs w:val="21"/>
              </w:rPr>
              <w:t>劳动年龄人口平均受教育年限</w:t>
            </w:r>
            <w:r>
              <w:rPr>
                <w:rFonts w:ascii="Times New Roman" w:cs="Times New Roman" w:hint="eastAsia"/>
                <w:szCs w:val="21"/>
              </w:rPr>
              <w:t>（年）</w:t>
            </w:r>
          </w:p>
        </w:tc>
        <w:tc>
          <w:tcPr>
            <w:tcW w:w="1327" w:type="dxa"/>
            <w:vAlign w:val="center"/>
          </w:tcPr>
          <w:p w14:paraId="1E586E20"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7.98</w:t>
            </w:r>
          </w:p>
        </w:tc>
        <w:tc>
          <w:tcPr>
            <w:tcW w:w="950" w:type="dxa"/>
            <w:vAlign w:val="center"/>
          </w:tcPr>
          <w:p w14:paraId="4185740D"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9.13</w:t>
            </w:r>
          </w:p>
        </w:tc>
        <w:tc>
          <w:tcPr>
            <w:tcW w:w="2002" w:type="dxa"/>
            <w:vAlign w:val="center"/>
          </w:tcPr>
          <w:p w14:paraId="37C1F9EE"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1130" w:type="dxa"/>
            <w:vAlign w:val="center"/>
          </w:tcPr>
          <w:p w14:paraId="279DE5D2"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约束性</w:t>
            </w:r>
          </w:p>
        </w:tc>
      </w:tr>
      <w:tr w:rsidR="00B5342F" w14:paraId="2B952510" w14:textId="77777777">
        <w:trPr>
          <w:trHeight w:hRule="exact" w:val="661"/>
          <w:jc w:val="center"/>
        </w:trPr>
        <w:tc>
          <w:tcPr>
            <w:tcW w:w="788" w:type="dxa"/>
            <w:vMerge/>
          </w:tcPr>
          <w:p w14:paraId="13DA97C3"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43FCCD76"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10.</w:t>
            </w:r>
            <w:r>
              <w:rPr>
                <w:rFonts w:ascii="Times New Roman" w:hAnsi="Times New Roman" w:cs="Times New Roman"/>
                <w:szCs w:val="21"/>
              </w:rPr>
              <w:t>.</w:t>
            </w:r>
            <w:r>
              <w:rPr>
                <w:rFonts w:ascii="Times New Roman" w:cs="Times New Roman"/>
                <w:szCs w:val="21"/>
              </w:rPr>
              <w:t>每千人口拥有</w:t>
            </w:r>
            <w:r>
              <w:rPr>
                <w:rFonts w:ascii="Times New Roman" w:cs="Times New Roman" w:hint="eastAsia"/>
                <w:szCs w:val="21"/>
              </w:rPr>
              <w:t>3</w:t>
            </w:r>
            <w:r>
              <w:rPr>
                <w:rFonts w:ascii="Times New Roman" w:cs="Times New Roman" w:hint="eastAsia"/>
                <w:szCs w:val="21"/>
              </w:rPr>
              <w:t>岁以下婴幼儿托位</w:t>
            </w:r>
            <w:r>
              <w:rPr>
                <w:rFonts w:ascii="Times New Roman" w:cs="Times New Roman"/>
                <w:szCs w:val="21"/>
              </w:rPr>
              <w:t>数</w:t>
            </w:r>
            <w:r>
              <w:rPr>
                <w:rFonts w:ascii="Times New Roman" w:cs="Times New Roman" w:hint="eastAsia"/>
                <w:szCs w:val="21"/>
              </w:rPr>
              <w:t>（个）</w:t>
            </w:r>
          </w:p>
        </w:tc>
        <w:tc>
          <w:tcPr>
            <w:tcW w:w="1327" w:type="dxa"/>
            <w:vAlign w:val="center"/>
          </w:tcPr>
          <w:p w14:paraId="5462F57E"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0.59</w:t>
            </w:r>
          </w:p>
        </w:tc>
        <w:tc>
          <w:tcPr>
            <w:tcW w:w="950" w:type="dxa"/>
            <w:vAlign w:val="center"/>
          </w:tcPr>
          <w:p w14:paraId="7370C381"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2.01</w:t>
            </w:r>
          </w:p>
        </w:tc>
        <w:tc>
          <w:tcPr>
            <w:tcW w:w="2002" w:type="dxa"/>
            <w:vAlign w:val="center"/>
          </w:tcPr>
          <w:p w14:paraId="480918CF" w14:textId="77777777" w:rsidR="00B5342F" w:rsidRDefault="00000000">
            <w:pPr>
              <w:wordWrap w:val="0"/>
              <w:topLinePunct/>
              <w:jc w:val="center"/>
              <w:rPr>
                <w:rFonts w:asciiTheme="minorEastAsia" w:hAnsiTheme="minorEastAsia" w:cs="Times New Roman" w:hint="eastAsia"/>
                <w:bCs/>
                <w:szCs w:val="21"/>
              </w:rPr>
            </w:pPr>
            <w:r>
              <w:rPr>
                <w:rFonts w:ascii="Times New Roman" w:hAnsi="Times New Roman" w:cs="Times New Roman"/>
                <w:szCs w:val="21"/>
              </w:rPr>
              <w:t>－</w:t>
            </w:r>
          </w:p>
        </w:tc>
        <w:tc>
          <w:tcPr>
            <w:tcW w:w="1130" w:type="dxa"/>
            <w:vAlign w:val="center"/>
          </w:tcPr>
          <w:p w14:paraId="20099B3D" w14:textId="77777777" w:rsidR="00B5342F" w:rsidRDefault="00000000">
            <w:pPr>
              <w:wordWrap w:val="0"/>
              <w:topLinePunct/>
              <w:jc w:val="center"/>
              <w:rPr>
                <w:rFonts w:ascii="Times New Roman" w:cs="Times New Roman"/>
                <w:szCs w:val="21"/>
              </w:rPr>
            </w:pPr>
            <w:r>
              <w:rPr>
                <w:rFonts w:ascii="Times New Roman" w:cs="Times New Roman"/>
                <w:szCs w:val="21"/>
              </w:rPr>
              <w:t>预期性</w:t>
            </w:r>
          </w:p>
        </w:tc>
      </w:tr>
      <w:tr w:rsidR="00B5342F" w14:paraId="14DC4A53" w14:textId="77777777">
        <w:trPr>
          <w:trHeight w:hRule="exact" w:val="628"/>
          <w:jc w:val="center"/>
        </w:trPr>
        <w:tc>
          <w:tcPr>
            <w:tcW w:w="788" w:type="dxa"/>
            <w:vMerge/>
          </w:tcPr>
          <w:p w14:paraId="13BBAF9B"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224C8A27" w14:textId="77777777" w:rsidR="00B5342F" w:rsidRDefault="00000000">
            <w:pPr>
              <w:wordWrap w:val="0"/>
              <w:topLinePun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hint="eastAsia"/>
                <w:szCs w:val="21"/>
              </w:rPr>
              <w:t>1</w:t>
            </w:r>
            <w:r>
              <w:rPr>
                <w:rFonts w:ascii="Times New Roman" w:hAnsi="Times New Roman" w:cs="Times New Roman"/>
                <w:szCs w:val="21"/>
              </w:rPr>
              <w:t>.</w:t>
            </w:r>
            <w:r>
              <w:rPr>
                <w:rFonts w:ascii="Times New Roman" w:cs="Times New Roman"/>
                <w:szCs w:val="21"/>
              </w:rPr>
              <w:t>每千人口拥有执业（助理）医师数</w:t>
            </w:r>
            <w:r>
              <w:rPr>
                <w:rFonts w:ascii="Times New Roman" w:cs="Times New Roman" w:hint="eastAsia"/>
                <w:szCs w:val="21"/>
              </w:rPr>
              <w:t>（人）</w:t>
            </w:r>
          </w:p>
        </w:tc>
        <w:tc>
          <w:tcPr>
            <w:tcW w:w="1327" w:type="dxa"/>
            <w:vAlign w:val="center"/>
          </w:tcPr>
          <w:p w14:paraId="6D5CC086"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2.46</w:t>
            </w:r>
          </w:p>
        </w:tc>
        <w:tc>
          <w:tcPr>
            <w:tcW w:w="950" w:type="dxa"/>
            <w:vAlign w:val="center"/>
          </w:tcPr>
          <w:p w14:paraId="1A52C407"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2.75</w:t>
            </w:r>
          </w:p>
        </w:tc>
        <w:tc>
          <w:tcPr>
            <w:tcW w:w="2002" w:type="dxa"/>
            <w:vAlign w:val="center"/>
          </w:tcPr>
          <w:p w14:paraId="7436F105"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1130" w:type="dxa"/>
            <w:vAlign w:val="center"/>
          </w:tcPr>
          <w:p w14:paraId="7AC93AA8"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24F5EA4E" w14:textId="77777777">
        <w:trPr>
          <w:trHeight w:hRule="exact" w:val="456"/>
          <w:jc w:val="center"/>
        </w:trPr>
        <w:tc>
          <w:tcPr>
            <w:tcW w:w="788" w:type="dxa"/>
            <w:vMerge/>
          </w:tcPr>
          <w:p w14:paraId="621C1F67"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6BED96AB"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12</w:t>
            </w:r>
            <w:r>
              <w:rPr>
                <w:rFonts w:ascii="Times New Roman" w:hAnsi="Times New Roman" w:cs="Times New Roman"/>
                <w:szCs w:val="21"/>
              </w:rPr>
              <w:t>.</w:t>
            </w:r>
            <w:r>
              <w:rPr>
                <w:rFonts w:ascii="Times New Roman" w:cs="Times New Roman" w:hint="eastAsia"/>
                <w:szCs w:val="21"/>
              </w:rPr>
              <w:t>基本养老保险参保</w:t>
            </w:r>
            <w:r>
              <w:rPr>
                <w:rFonts w:ascii="Times New Roman" w:cs="Times New Roman"/>
                <w:szCs w:val="21"/>
              </w:rPr>
              <w:t>率（</w:t>
            </w:r>
            <w:r>
              <w:rPr>
                <w:rFonts w:ascii="Times New Roman" w:hAnsi="Times New Roman" w:cs="Times New Roman"/>
                <w:szCs w:val="21"/>
              </w:rPr>
              <w:t>%</w:t>
            </w:r>
            <w:r>
              <w:rPr>
                <w:rFonts w:ascii="Times New Roman" w:cs="Times New Roman"/>
                <w:szCs w:val="21"/>
              </w:rPr>
              <w:t>）</w:t>
            </w:r>
          </w:p>
        </w:tc>
        <w:tc>
          <w:tcPr>
            <w:tcW w:w="1327" w:type="dxa"/>
            <w:vAlign w:val="center"/>
          </w:tcPr>
          <w:p w14:paraId="14BA1FAD"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95</w:t>
            </w:r>
          </w:p>
        </w:tc>
        <w:tc>
          <w:tcPr>
            <w:tcW w:w="950" w:type="dxa"/>
            <w:vAlign w:val="center"/>
          </w:tcPr>
          <w:p w14:paraId="435DE592"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95</w:t>
            </w:r>
          </w:p>
        </w:tc>
        <w:tc>
          <w:tcPr>
            <w:tcW w:w="2002" w:type="dxa"/>
            <w:vAlign w:val="center"/>
          </w:tcPr>
          <w:p w14:paraId="043CF4F3" w14:textId="77777777" w:rsidR="00B5342F" w:rsidRDefault="00000000">
            <w:pPr>
              <w:wordWrap w:val="0"/>
              <w:topLinePunct/>
              <w:jc w:val="center"/>
              <w:rPr>
                <w:rFonts w:ascii="Times New Roman" w:hAnsi="Times New Roman" w:cs="Times New Roman"/>
                <w:bCs/>
                <w:szCs w:val="21"/>
              </w:rPr>
            </w:pPr>
            <w:r>
              <w:rPr>
                <w:rFonts w:ascii="Times New Roman" w:hAnsi="Times New Roman" w:cs="Times New Roman"/>
                <w:szCs w:val="21"/>
              </w:rPr>
              <w:t>－</w:t>
            </w:r>
          </w:p>
        </w:tc>
        <w:tc>
          <w:tcPr>
            <w:tcW w:w="1130" w:type="dxa"/>
            <w:vAlign w:val="center"/>
          </w:tcPr>
          <w:p w14:paraId="318DB8C3"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0339BF11" w14:textId="77777777">
        <w:trPr>
          <w:trHeight w:hRule="exact" w:val="456"/>
          <w:jc w:val="center"/>
        </w:trPr>
        <w:tc>
          <w:tcPr>
            <w:tcW w:w="788" w:type="dxa"/>
            <w:vMerge/>
          </w:tcPr>
          <w:p w14:paraId="092A8788"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3F9E340A"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13.</w:t>
            </w:r>
            <w:r>
              <w:rPr>
                <w:rFonts w:ascii="Times New Roman" w:hAnsi="Times New Roman" w:cs="Times New Roman" w:hint="eastAsia"/>
                <w:szCs w:val="21"/>
              </w:rPr>
              <w:t>人均预期寿命（岁）</w:t>
            </w:r>
          </w:p>
        </w:tc>
        <w:tc>
          <w:tcPr>
            <w:tcW w:w="1327" w:type="dxa"/>
            <w:vAlign w:val="center"/>
          </w:tcPr>
          <w:p w14:paraId="333F2FFC"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74.35</w:t>
            </w:r>
          </w:p>
        </w:tc>
        <w:tc>
          <w:tcPr>
            <w:tcW w:w="950" w:type="dxa"/>
            <w:vAlign w:val="center"/>
          </w:tcPr>
          <w:p w14:paraId="1A20B3E9"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75.85</w:t>
            </w:r>
          </w:p>
        </w:tc>
        <w:tc>
          <w:tcPr>
            <w:tcW w:w="2002" w:type="dxa"/>
            <w:vAlign w:val="center"/>
          </w:tcPr>
          <w:p w14:paraId="73A2B18E" w14:textId="77777777" w:rsidR="00B5342F" w:rsidRDefault="00000000">
            <w:pPr>
              <w:wordWrap w:val="0"/>
              <w:topLinePunct/>
              <w:jc w:val="center"/>
              <w:rPr>
                <w:rFonts w:ascii="Times New Roman" w:hAnsi="Times New Roman" w:cs="Times New Roman"/>
                <w:bCs/>
                <w:szCs w:val="21"/>
              </w:rPr>
            </w:pPr>
            <w:r>
              <w:rPr>
                <w:rFonts w:asciiTheme="minorEastAsia" w:hAnsiTheme="minorEastAsia" w:cs="Times New Roman"/>
                <w:bCs/>
                <w:szCs w:val="21"/>
              </w:rPr>
              <w:t>[</w:t>
            </w:r>
            <w:r>
              <w:rPr>
                <w:rFonts w:asciiTheme="minorEastAsia" w:hAnsiTheme="minorEastAsia" w:cs="Times New Roman" w:hint="eastAsia"/>
                <w:bCs/>
                <w:szCs w:val="21"/>
              </w:rPr>
              <w:t>1</w:t>
            </w:r>
            <w:r>
              <w:rPr>
                <w:rFonts w:ascii="Times New Roman" w:hAnsi="Times New Roman" w:cs="Times New Roman"/>
                <w:bCs/>
                <w:szCs w:val="21"/>
              </w:rPr>
              <w:t>.</w:t>
            </w:r>
            <w:r>
              <w:rPr>
                <w:rFonts w:ascii="Times New Roman" w:hAnsi="Times New Roman" w:cs="Times New Roman" w:hint="eastAsia"/>
                <w:bCs/>
                <w:szCs w:val="21"/>
              </w:rPr>
              <w:t>5</w:t>
            </w:r>
            <w:r>
              <w:rPr>
                <w:rFonts w:asciiTheme="minorEastAsia" w:hAnsiTheme="minorEastAsia" w:cs="Times New Roman"/>
                <w:bCs/>
                <w:szCs w:val="21"/>
              </w:rPr>
              <w:t>]</w:t>
            </w:r>
          </w:p>
        </w:tc>
        <w:tc>
          <w:tcPr>
            <w:tcW w:w="1130" w:type="dxa"/>
            <w:vAlign w:val="center"/>
          </w:tcPr>
          <w:p w14:paraId="43829277"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预期性</w:t>
            </w:r>
          </w:p>
        </w:tc>
      </w:tr>
      <w:tr w:rsidR="00B5342F" w14:paraId="409419F5" w14:textId="77777777">
        <w:trPr>
          <w:trHeight w:hRule="exact" w:val="682"/>
          <w:jc w:val="center"/>
        </w:trPr>
        <w:tc>
          <w:tcPr>
            <w:tcW w:w="788" w:type="dxa"/>
            <w:vMerge w:val="restart"/>
            <w:vAlign w:val="center"/>
          </w:tcPr>
          <w:p w14:paraId="5963AEDD" w14:textId="77777777" w:rsidR="00B5342F" w:rsidRDefault="00000000">
            <w:pPr>
              <w:wordWrap w:val="0"/>
              <w:topLinePunct/>
              <w:jc w:val="center"/>
              <w:rPr>
                <w:rFonts w:ascii="Times New Roman" w:cs="Times New Roman"/>
                <w:szCs w:val="21"/>
              </w:rPr>
            </w:pPr>
            <w:r>
              <w:rPr>
                <w:rFonts w:ascii="Times New Roman" w:cs="Times New Roman" w:hint="eastAsia"/>
                <w:szCs w:val="21"/>
              </w:rPr>
              <w:t>绿色</w:t>
            </w:r>
          </w:p>
          <w:p w14:paraId="60383D43" w14:textId="77777777" w:rsidR="00B5342F" w:rsidRDefault="00000000">
            <w:pPr>
              <w:wordWrap w:val="0"/>
              <w:topLinePunct/>
              <w:jc w:val="center"/>
              <w:rPr>
                <w:rFonts w:ascii="Times New Roman" w:hAnsi="Times New Roman" w:cs="Times New Roman"/>
                <w:szCs w:val="21"/>
              </w:rPr>
            </w:pPr>
            <w:r>
              <w:rPr>
                <w:rFonts w:ascii="Times New Roman" w:cs="Times New Roman" w:hint="eastAsia"/>
                <w:szCs w:val="21"/>
              </w:rPr>
              <w:t>生态</w:t>
            </w:r>
          </w:p>
        </w:tc>
        <w:tc>
          <w:tcPr>
            <w:tcW w:w="2843" w:type="dxa"/>
            <w:vAlign w:val="center"/>
          </w:tcPr>
          <w:p w14:paraId="6893102D"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14</w:t>
            </w:r>
            <w:r>
              <w:rPr>
                <w:rFonts w:ascii="Times New Roman" w:hAnsi="Times New Roman" w:cs="Times New Roman"/>
                <w:szCs w:val="21"/>
              </w:rPr>
              <w:t>.</w:t>
            </w:r>
            <w:r>
              <w:rPr>
                <w:rFonts w:ascii="Times New Roman" w:cs="Times New Roman"/>
                <w:szCs w:val="21"/>
              </w:rPr>
              <w:t>单位</w:t>
            </w:r>
            <w:r>
              <w:rPr>
                <w:rFonts w:ascii="Times New Roman" w:hAnsi="Times New Roman" w:cs="Times New Roman" w:hint="eastAsia"/>
                <w:szCs w:val="21"/>
              </w:rPr>
              <w:t>地区生产总值</w:t>
            </w:r>
            <w:r>
              <w:rPr>
                <w:rFonts w:ascii="Times New Roman" w:cs="Times New Roman"/>
                <w:szCs w:val="21"/>
              </w:rPr>
              <w:t>能源消耗降幅（</w:t>
            </w:r>
            <w:r>
              <w:rPr>
                <w:rFonts w:ascii="Times New Roman" w:hAnsi="Times New Roman" w:cs="Times New Roman"/>
                <w:szCs w:val="21"/>
              </w:rPr>
              <w:t>%</w:t>
            </w:r>
            <w:r>
              <w:rPr>
                <w:rFonts w:ascii="Times New Roman" w:cs="Times New Roman"/>
                <w:szCs w:val="21"/>
              </w:rPr>
              <w:t>）</w:t>
            </w:r>
          </w:p>
        </w:tc>
        <w:tc>
          <w:tcPr>
            <w:tcW w:w="1327" w:type="dxa"/>
            <w:vAlign w:val="center"/>
          </w:tcPr>
          <w:p w14:paraId="6CE06A35"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控制在地区下达指标内</w:t>
            </w:r>
          </w:p>
        </w:tc>
        <w:tc>
          <w:tcPr>
            <w:tcW w:w="2952" w:type="dxa"/>
            <w:gridSpan w:val="2"/>
            <w:vAlign w:val="center"/>
          </w:tcPr>
          <w:p w14:paraId="7857679D" w14:textId="77777777" w:rsidR="00B5342F" w:rsidRDefault="00000000">
            <w:pPr>
              <w:wordWrap w:val="0"/>
              <w:topLinePunct/>
              <w:jc w:val="center"/>
              <w:rPr>
                <w:rFonts w:ascii="Times New Roman" w:cs="Times New Roman"/>
                <w:szCs w:val="21"/>
              </w:rPr>
            </w:pPr>
            <w:r>
              <w:rPr>
                <w:rFonts w:ascii="Times New Roman" w:cs="Times New Roman"/>
                <w:szCs w:val="21"/>
              </w:rPr>
              <w:t>控制在地区下达指标内</w:t>
            </w:r>
          </w:p>
        </w:tc>
        <w:tc>
          <w:tcPr>
            <w:tcW w:w="1130" w:type="dxa"/>
            <w:vAlign w:val="center"/>
          </w:tcPr>
          <w:p w14:paraId="4C2EF5AF"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约束性</w:t>
            </w:r>
          </w:p>
        </w:tc>
      </w:tr>
      <w:tr w:rsidR="00B5342F" w14:paraId="71F0B206" w14:textId="77777777">
        <w:trPr>
          <w:trHeight w:hRule="exact" w:val="628"/>
          <w:jc w:val="center"/>
        </w:trPr>
        <w:tc>
          <w:tcPr>
            <w:tcW w:w="788" w:type="dxa"/>
            <w:vMerge/>
            <w:vAlign w:val="center"/>
          </w:tcPr>
          <w:p w14:paraId="0CB4AE9D" w14:textId="77777777" w:rsidR="00B5342F" w:rsidRDefault="00B5342F">
            <w:pPr>
              <w:wordWrap w:val="0"/>
              <w:topLinePunct/>
              <w:ind w:firstLine="360"/>
              <w:jc w:val="center"/>
              <w:rPr>
                <w:rFonts w:ascii="Times New Roman" w:hAnsi="Times New Roman" w:cs="Times New Roman"/>
                <w:szCs w:val="21"/>
              </w:rPr>
            </w:pPr>
          </w:p>
        </w:tc>
        <w:tc>
          <w:tcPr>
            <w:tcW w:w="2843" w:type="dxa"/>
            <w:vAlign w:val="center"/>
          </w:tcPr>
          <w:p w14:paraId="0A9B7203"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15</w:t>
            </w:r>
            <w:r>
              <w:rPr>
                <w:rFonts w:ascii="Times New Roman" w:hAnsi="Times New Roman" w:cs="Times New Roman"/>
                <w:szCs w:val="21"/>
              </w:rPr>
              <w:t>.</w:t>
            </w:r>
            <w:r>
              <w:rPr>
                <w:rFonts w:ascii="Times New Roman" w:cs="Times New Roman"/>
                <w:szCs w:val="21"/>
              </w:rPr>
              <w:t>单位</w:t>
            </w:r>
            <w:r>
              <w:rPr>
                <w:rFonts w:ascii="Times New Roman" w:hAnsi="Times New Roman" w:cs="Times New Roman"/>
                <w:szCs w:val="21"/>
              </w:rPr>
              <w:t>GDP</w:t>
            </w:r>
            <w:r>
              <w:rPr>
                <w:rFonts w:ascii="Times New Roman" w:cs="Times New Roman"/>
                <w:szCs w:val="21"/>
              </w:rPr>
              <w:t>二氧化碳排放降幅（</w:t>
            </w:r>
            <w:r>
              <w:rPr>
                <w:rFonts w:ascii="Times New Roman" w:hAnsi="Times New Roman" w:cs="Times New Roman"/>
                <w:szCs w:val="21"/>
              </w:rPr>
              <w:t>%</w:t>
            </w:r>
            <w:r>
              <w:rPr>
                <w:rFonts w:ascii="Times New Roman" w:cs="Times New Roman"/>
                <w:szCs w:val="21"/>
              </w:rPr>
              <w:t>）</w:t>
            </w:r>
          </w:p>
        </w:tc>
        <w:tc>
          <w:tcPr>
            <w:tcW w:w="1327" w:type="dxa"/>
            <w:vAlign w:val="center"/>
          </w:tcPr>
          <w:p w14:paraId="0871A0AE"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控制在地区下达指标内</w:t>
            </w:r>
          </w:p>
        </w:tc>
        <w:tc>
          <w:tcPr>
            <w:tcW w:w="2952" w:type="dxa"/>
            <w:gridSpan w:val="2"/>
            <w:vAlign w:val="center"/>
          </w:tcPr>
          <w:p w14:paraId="0A2DE08C" w14:textId="77777777" w:rsidR="00B5342F" w:rsidRDefault="00000000">
            <w:pPr>
              <w:wordWrap w:val="0"/>
              <w:topLinePunct/>
              <w:jc w:val="center"/>
              <w:rPr>
                <w:rFonts w:ascii="Times New Roman" w:cs="Times New Roman"/>
                <w:szCs w:val="21"/>
              </w:rPr>
            </w:pPr>
            <w:r>
              <w:rPr>
                <w:rFonts w:ascii="Times New Roman" w:cs="Times New Roman"/>
                <w:szCs w:val="21"/>
              </w:rPr>
              <w:t>控制在地区下达指标内</w:t>
            </w:r>
          </w:p>
        </w:tc>
        <w:tc>
          <w:tcPr>
            <w:tcW w:w="1130" w:type="dxa"/>
            <w:vAlign w:val="center"/>
          </w:tcPr>
          <w:p w14:paraId="1D0C0A37"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约束性</w:t>
            </w:r>
          </w:p>
        </w:tc>
      </w:tr>
      <w:tr w:rsidR="00B5342F" w14:paraId="2013DF97" w14:textId="77777777">
        <w:trPr>
          <w:trHeight w:hRule="exact" w:val="639"/>
          <w:jc w:val="center"/>
        </w:trPr>
        <w:tc>
          <w:tcPr>
            <w:tcW w:w="788" w:type="dxa"/>
            <w:vMerge/>
            <w:vAlign w:val="center"/>
          </w:tcPr>
          <w:p w14:paraId="39EA8C69"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76197846"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16</w:t>
            </w:r>
            <w:r>
              <w:rPr>
                <w:rFonts w:ascii="Times New Roman" w:hAnsi="Times New Roman" w:cs="Times New Roman"/>
                <w:szCs w:val="21"/>
              </w:rPr>
              <w:t>.</w:t>
            </w:r>
            <w:r>
              <w:rPr>
                <w:rFonts w:ascii="Times New Roman" w:cs="Times New Roman"/>
                <w:szCs w:val="21"/>
              </w:rPr>
              <w:t>城市</w:t>
            </w:r>
            <w:r>
              <w:rPr>
                <w:rFonts w:ascii="Times New Roman" w:hAnsi="Times New Roman" w:cs="Times New Roman" w:hint="eastAsia"/>
                <w:szCs w:val="21"/>
              </w:rPr>
              <w:t>空气质量优良天数比率</w:t>
            </w:r>
            <w:r>
              <w:rPr>
                <w:rFonts w:ascii="Times New Roman" w:cs="Times New Roman"/>
                <w:szCs w:val="21"/>
              </w:rPr>
              <w:t>（</w:t>
            </w:r>
            <w:r>
              <w:rPr>
                <w:rFonts w:ascii="Times New Roman" w:hAnsi="Times New Roman" w:cs="Times New Roman"/>
                <w:szCs w:val="21"/>
              </w:rPr>
              <w:t>%</w:t>
            </w:r>
            <w:r>
              <w:rPr>
                <w:rFonts w:ascii="Times New Roman" w:cs="Times New Roman"/>
                <w:szCs w:val="21"/>
              </w:rPr>
              <w:t>）</w:t>
            </w:r>
          </w:p>
        </w:tc>
        <w:tc>
          <w:tcPr>
            <w:tcW w:w="1327" w:type="dxa"/>
            <w:vAlign w:val="center"/>
          </w:tcPr>
          <w:p w14:paraId="4A28175B"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950" w:type="dxa"/>
            <w:vAlign w:val="center"/>
          </w:tcPr>
          <w:p w14:paraId="7F14D6B2"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36</w:t>
            </w:r>
          </w:p>
        </w:tc>
        <w:tc>
          <w:tcPr>
            <w:tcW w:w="2002" w:type="dxa"/>
            <w:vAlign w:val="center"/>
          </w:tcPr>
          <w:p w14:paraId="5D7D664B"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控制在地区下达指标内</w:t>
            </w:r>
          </w:p>
        </w:tc>
        <w:tc>
          <w:tcPr>
            <w:tcW w:w="1130" w:type="dxa"/>
            <w:vAlign w:val="center"/>
          </w:tcPr>
          <w:p w14:paraId="2ECA405C"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约束性</w:t>
            </w:r>
          </w:p>
        </w:tc>
      </w:tr>
      <w:tr w:rsidR="00B5342F" w14:paraId="207FB5E0" w14:textId="77777777">
        <w:trPr>
          <w:trHeight w:hRule="exact" w:val="682"/>
          <w:jc w:val="center"/>
        </w:trPr>
        <w:tc>
          <w:tcPr>
            <w:tcW w:w="788" w:type="dxa"/>
            <w:vMerge/>
            <w:vAlign w:val="center"/>
          </w:tcPr>
          <w:p w14:paraId="3575795A"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76BD2ED5"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17</w:t>
            </w:r>
            <w:r>
              <w:rPr>
                <w:rFonts w:ascii="Times New Roman" w:hAnsi="Times New Roman" w:cs="Times New Roman"/>
                <w:szCs w:val="21"/>
              </w:rPr>
              <w:t>.</w:t>
            </w:r>
            <w:r>
              <w:rPr>
                <w:rFonts w:ascii="Times New Roman" w:cs="Times New Roman"/>
                <w:szCs w:val="21"/>
              </w:rPr>
              <w:t>达到或好于</w:t>
            </w:r>
            <w:r>
              <w:rPr>
                <w:rFonts w:ascii="宋体" w:eastAsia="宋体" w:hAnsi="宋体" w:cs="宋体" w:hint="eastAsia"/>
                <w:szCs w:val="21"/>
              </w:rPr>
              <w:t>Ⅲ</w:t>
            </w:r>
            <w:r>
              <w:rPr>
                <w:rFonts w:ascii="Times New Roman" w:cs="Times New Roman"/>
                <w:szCs w:val="21"/>
              </w:rPr>
              <w:t>类水体占地表水比例（</w:t>
            </w:r>
            <w:r>
              <w:rPr>
                <w:rFonts w:ascii="Times New Roman" w:hAnsi="Times New Roman" w:cs="Times New Roman"/>
                <w:szCs w:val="21"/>
              </w:rPr>
              <w:t>%</w:t>
            </w:r>
            <w:r>
              <w:rPr>
                <w:rFonts w:ascii="Times New Roman" w:cs="Times New Roman"/>
                <w:szCs w:val="21"/>
              </w:rPr>
              <w:t>）</w:t>
            </w:r>
          </w:p>
        </w:tc>
        <w:tc>
          <w:tcPr>
            <w:tcW w:w="1327" w:type="dxa"/>
            <w:vAlign w:val="center"/>
          </w:tcPr>
          <w:p w14:paraId="52BAA9F9"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100</w:t>
            </w:r>
          </w:p>
        </w:tc>
        <w:tc>
          <w:tcPr>
            <w:tcW w:w="950" w:type="dxa"/>
            <w:vAlign w:val="center"/>
          </w:tcPr>
          <w:p w14:paraId="5E179464"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bCs/>
                <w:szCs w:val="21"/>
              </w:rPr>
              <w:t>100</w:t>
            </w:r>
          </w:p>
        </w:tc>
        <w:tc>
          <w:tcPr>
            <w:tcW w:w="2002" w:type="dxa"/>
            <w:vAlign w:val="center"/>
          </w:tcPr>
          <w:p w14:paraId="49A49F7D"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w:t>
            </w:r>
          </w:p>
        </w:tc>
        <w:tc>
          <w:tcPr>
            <w:tcW w:w="1130" w:type="dxa"/>
            <w:vAlign w:val="center"/>
          </w:tcPr>
          <w:p w14:paraId="4B874C1C"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约束性</w:t>
            </w:r>
          </w:p>
        </w:tc>
      </w:tr>
      <w:tr w:rsidR="00B5342F" w14:paraId="2415D994" w14:textId="77777777">
        <w:trPr>
          <w:trHeight w:hRule="exact" w:val="456"/>
          <w:jc w:val="center"/>
        </w:trPr>
        <w:tc>
          <w:tcPr>
            <w:tcW w:w="788" w:type="dxa"/>
            <w:vMerge/>
            <w:vAlign w:val="center"/>
          </w:tcPr>
          <w:p w14:paraId="5E7114D6"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33393401"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18</w:t>
            </w:r>
            <w:r>
              <w:rPr>
                <w:rFonts w:ascii="Times New Roman" w:hAnsi="Times New Roman" w:cs="Times New Roman"/>
                <w:szCs w:val="21"/>
              </w:rPr>
              <w:t>.</w:t>
            </w:r>
            <w:r>
              <w:rPr>
                <w:rFonts w:ascii="Times New Roman" w:cs="Times New Roman"/>
                <w:szCs w:val="21"/>
              </w:rPr>
              <w:t>森林覆盖率（</w:t>
            </w:r>
            <w:r>
              <w:rPr>
                <w:rFonts w:ascii="Times New Roman" w:hAnsi="Times New Roman" w:cs="Times New Roman"/>
                <w:szCs w:val="21"/>
              </w:rPr>
              <w:t>%</w:t>
            </w:r>
            <w:r>
              <w:rPr>
                <w:rFonts w:ascii="Times New Roman" w:cs="Times New Roman"/>
                <w:szCs w:val="21"/>
              </w:rPr>
              <w:t>）</w:t>
            </w:r>
          </w:p>
        </w:tc>
        <w:tc>
          <w:tcPr>
            <w:tcW w:w="1327" w:type="dxa"/>
            <w:vAlign w:val="center"/>
          </w:tcPr>
          <w:p w14:paraId="348CD12C"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29.1</w:t>
            </w:r>
          </w:p>
        </w:tc>
        <w:tc>
          <w:tcPr>
            <w:tcW w:w="950" w:type="dxa"/>
            <w:vAlign w:val="center"/>
          </w:tcPr>
          <w:p w14:paraId="1941516A"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hint="eastAsia"/>
                <w:szCs w:val="21"/>
              </w:rPr>
              <w:t>30</w:t>
            </w:r>
          </w:p>
        </w:tc>
        <w:tc>
          <w:tcPr>
            <w:tcW w:w="2002" w:type="dxa"/>
            <w:vAlign w:val="center"/>
          </w:tcPr>
          <w:p w14:paraId="79DD0D78" w14:textId="77777777" w:rsidR="00B5342F" w:rsidRDefault="00000000">
            <w:pPr>
              <w:wordWrap w:val="0"/>
              <w:topLinePunct/>
              <w:jc w:val="center"/>
              <w:rPr>
                <w:rFonts w:ascii="Times New Roman" w:hAnsi="Times New Roman" w:cs="Times New Roman"/>
                <w:szCs w:val="21"/>
              </w:rPr>
            </w:pPr>
            <w:r>
              <w:rPr>
                <w:rFonts w:asciiTheme="minorEastAsia" w:hAnsiTheme="minorEastAsia" w:cs="Times New Roman"/>
                <w:bCs/>
                <w:szCs w:val="21"/>
              </w:rPr>
              <w:t>[</w:t>
            </w:r>
            <w:r>
              <w:rPr>
                <w:rFonts w:ascii="Times New Roman" w:hAnsi="Times New Roman" w:cs="Times New Roman"/>
                <w:bCs/>
                <w:szCs w:val="21"/>
              </w:rPr>
              <w:t>0.0</w:t>
            </w:r>
            <w:r>
              <w:rPr>
                <w:rFonts w:ascii="Times New Roman" w:hAnsi="Times New Roman" w:cs="Times New Roman" w:hint="eastAsia"/>
                <w:bCs/>
                <w:szCs w:val="21"/>
              </w:rPr>
              <w:t>5</w:t>
            </w:r>
            <w:r>
              <w:rPr>
                <w:rFonts w:asciiTheme="minorEastAsia" w:hAnsiTheme="minorEastAsia" w:cs="Times New Roman"/>
                <w:bCs/>
                <w:szCs w:val="21"/>
              </w:rPr>
              <w:t>]</w:t>
            </w:r>
          </w:p>
        </w:tc>
        <w:tc>
          <w:tcPr>
            <w:tcW w:w="1130" w:type="dxa"/>
            <w:vAlign w:val="center"/>
          </w:tcPr>
          <w:p w14:paraId="305ABD1D"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约束性</w:t>
            </w:r>
          </w:p>
        </w:tc>
      </w:tr>
      <w:tr w:rsidR="00B5342F" w14:paraId="74F9334C" w14:textId="77777777">
        <w:trPr>
          <w:trHeight w:hRule="exact" w:val="456"/>
          <w:jc w:val="center"/>
        </w:trPr>
        <w:tc>
          <w:tcPr>
            <w:tcW w:w="788" w:type="dxa"/>
            <w:vMerge w:val="restart"/>
            <w:vAlign w:val="center"/>
          </w:tcPr>
          <w:p w14:paraId="7548C6A6"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安全</w:t>
            </w:r>
          </w:p>
          <w:p w14:paraId="03F9BDE0"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保障</w:t>
            </w:r>
          </w:p>
        </w:tc>
        <w:tc>
          <w:tcPr>
            <w:tcW w:w="2843" w:type="dxa"/>
            <w:vAlign w:val="center"/>
          </w:tcPr>
          <w:p w14:paraId="1EF5FFB0"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19</w:t>
            </w:r>
            <w:r>
              <w:rPr>
                <w:rFonts w:ascii="Times New Roman" w:hAnsi="Times New Roman" w:cs="Times New Roman"/>
                <w:szCs w:val="21"/>
              </w:rPr>
              <w:t>.</w:t>
            </w:r>
            <w:r>
              <w:rPr>
                <w:rFonts w:ascii="Times New Roman" w:cs="Times New Roman"/>
                <w:szCs w:val="21"/>
              </w:rPr>
              <w:t>粮食综合生产能力（万吨）</w:t>
            </w:r>
          </w:p>
        </w:tc>
        <w:tc>
          <w:tcPr>
            <w:tcW w:w="1327" w:type="dxa"/>
            <w:vAlign w:val="center"/>
          </w:tcPr>
          <w:p w14:paraId="5E5EB716" w14:textId="77777777" w:rsidR="00B5342F" w:rsidRDefault="00B5342F">
            <w:pPr>
              <w:wordWrap w:val="0"/>
              <w:topLinePunct/>
              <w:jc w:val="center"/>
              <w:rPr>
                <w:rFonts w:ascii="Times New Roman" w:hAnsi="Times New Roman" w:cs="Times New Roman"/>
                <w:szCs w:val="21"/>
              </w:rPr>
            </w:pPr>
          </w:p>
        </w:tc>
        <w:tc>
          <w:tcPr>
            <w:tcW w:w="950" w:type="dxa"/>
            <w:vAlign w:val="center"/>
          </w:tcPr>
          <w:p w14:paraId="72A2B103" w14:textId="77777777" w:rsidR="00B5342F" w:rsidRDefault="00B5342F">
            <w:pPr>
              <w:wordWrap w:val="0"/>
              <w:topLinePunct/>
              <w:jc w:val="center"/>
              <w:rPr>
                <w:rFonts w:ascii="Times New Roman" w:hAnsi="Times New Roman" w:cs="Times New Roman"/>
                <w:szCs w:val="21"/>
              </w:rPr>
            </w:pPr>
          </w:p>
        </w:tc>
        <w:tc>
          <w:tcPr>
            <w:tcW w:w="2002" w:type="dxa"/>
            <w:vAlign w:val="center"/>
          </w:tcPr>
          <w:p w14:paraId="666DC11D" w14:textId="77777777" w:rsidR="00B5342F" w:rsidRDefault="00B5342F">
            <w:pPr>
              <w:wordWrap w:val="0"/>
              <w:topLinePunct/>
              <w:jc w:val="center"/>
              <w:rPr>
                <w:rFonts w:ascii="Times New Roman" w:hAnsi="Times New Roman" w:cs="Times New Roman"/>
                <w:szCs w:val="21"/>
              </w:rPr>
            </w:pPr>
          </w:p>
        </w:tc>
        <w:tc>
          <w:tcPr>
            <w:tcW w:w="1130" w:type="dxa"/>
            <w:vAlign w:val="center"/>
          </w:tcPr>
          <w:p w14:paraId="1B966DA6"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约束性</w:t>
            </w:r>
          </w:p>
        </w:tc>
      </w:tr>
      <w:tr w:rsidR="00B5342F" w14:paraId="0DEC991B" w14:textId="77777777">
        <w:trPr>
          <w:trHeight w:hRule="exact" w:val="664"/>
          <w:jc w:val="center"/>
        </w:trPr>
        <w:tc>
          <w:tcPr>
            <w:tcW w:w="788" w:type="dxa"/>
            <w:vMerge/>
          </w:tcPr>
          <w:p w14:paraId="1731DB14" w14:textId="77777777" w:rsidR="00B5342F" w:rsidRDefault="00B5342F">
            <w:pPr>
              <w:wordWrap w:val="0"/>
              <w:topLinePunct/>
              <w:jc w:val="center"/>
              <w:rPr>
                <w:rFonts w:ascii="Times New Roman" w:hAnsi="Times New Roman" w:cs="Times New Roman"/>
                <w:szCs w:val="21"/>
              </w:rPr>
            </w:pPr>
          </w:p>
        </w:tc>
        <w:tc>
          <w:tcPr>
            <w:tcW w:w="2843" w:type="dxa"/>
            <w:vAlign w:val="center"/>
          </w:tcPr>
          <w:p w14:paraId="6EAE5A77" w14:textId="77777777" w:rsidR="00B5342F" w:rsidRDefault="00000000">
            <w:pPr>
              <w:wordWrap w:val="0"/>
              <w:topLinePunct/>
              <w:rPr>
                <w:rFonts w:ascii="Times New Roman" w:hAnsi="Times New Roman" w:cs="Times New Roman"/>
                <w:szCs w:val="21"/>
              </w:rPr>
            </w:pPr>
            <w:r>
              <w:rPr>
                <w:rFonts w:ascii="Times New Roman" w:hAnsi="Times New Roman" w:cs="Times New Roman" w:hint="eastAsia"/>
                <w:szCs w:val="21"/>
              </w:rPr>
              <w:t>20</w:t>
            </w:r>
            <w:r>
              <w:rPr>
                <w:rFonts w:ascii="Times New Roman" w:hAnsi="Times New Roman" w:cs="Times New Roman"/>
                <w:szCs w:val="21"/>
              </w:rPr>
              <w:t>.</w:t>
            </w:r>
            <w:r>
              <w:rPr>
                <w:rFonts w:ascii="Times New Roman" w:cs="Times New Roman" w:hint="eastAsia"/>
                <w:szCs w:val="21"/>
              </w:rPr>
              <w:t>能源综合生产能力（亿吨标煤）</w:t>
            </w:r>
          </w:p>
        </w:tc>
        <w:tc>
          <w:tcPr>
            <w:tcW w:w="1327" w:type="dxa"/>
            <w:vAlign w:val="center"/>
          </w:tcPr>
          <w:p w14:paraId="31D17D05" w14:textId="77777777" w:rsidR="00B5342F" w:rsidRDefault="00B5342F">
            <w:pPr>
              <w:wordWrap w:val="0"/>
              <w:topLinePunct/>
              <w:jc w:val="center"/>
              <w:rPr>
                <w:rFonts w:ascii="Times New Roman" w:hAnsi="Times New Roman" w:cs="Times New Roman"/>
                <w:szCs w:val="21"/>
              </w:rPr>
            </w:pPr>
          </w:p>
        </w:tc>
        <w:tc>
          <w:tcPr>
            <w:tcW w:w="950" w:type="dxa"/>
            <w:vAlign w:val="center"/>
          </w:tcPr>
          <w:p w14:paraId="4CB5F0F9" w14:textId="77777777" w:rsidR="00B5342F" w:rsidRDefault="00000000">
            <w:pPr>
              <w:wordWrap w:val="0"/>
              <w:topLinePunct/>
              <w:jc w:val="center"/>
              <w:rPr>
                <w:rFonts w:ascii="Times New Roman" w:hAnsi="Times New Roman" w:cs="Times New Roman"/>
                <w:szCs w:val="21"/>
              </w:rPr>
            </w:pPr>
            <w:r>
              <w:rPr>
                <w:rFonts w:ascii="Times New Roman" w:hAnsi="Times New Roman" w:cs="Times New Roman"/>
                <w:szCs w:val="21"/>
              </w:rPr>
              <w:t>0.0005</w:t>
            </w:r>
          </w:p>
        </w:tc>
        <w:tc>
          <w:tcPr>
            <w:tcW w:w="2002" w:type="dxa"/>
            <w:vAlign w:val="center"/>
          </w:tcPr>
          <w:p w14:paraId="7AEA5739" w14:textId="77777777" w:rsidR="00B5342F" w:rsidRDefault="00B5342F">
            <w:pPr>
              <w:wordWrap w:val="0"/>
              <w:topLinePunct/>
              <w:jc w:val="center"/>
              <w:rPr>
                <w:rFonts w:ascii="Times New Roman" w:hAnsi="Times New Roman" w:cs="Times New Roman"/>
                <w:szCs w:val="21"/>
              </w:rPr>
            </w:pPr>
          </w:p>
        </w:tc>
        <w:tc>
          <w:tcPr>
            <w:tcW w:w="1130" w:type="dxa"/>
            <w:vAlign w:val="center"/>
          </w:tcPr>
          <w:p w14:paraId="0B210C96" w14:textId="77777777" w:rsidR="00B5342F" w:rsidRDefault="00000000">
            <w:pPr>
              <w:wordWrap w:val="0"/>
              <w:topLinePunct/>
              <w:jc w:val="center"/>
              <w:rPr>
                <w:rFonts w:ascii="Times New Roman" w:hAnsi="Times New Roman" w:cs="Times New Roman"/>
                <w:szCs w:val="21"/>
              </w:rPr>
            </w:pPr>
            <w:r>
              <w:rPr>
                <w:rFonts w:ascii="Times New Roman" w:cs="Times New Roman"/>
                <w:szCs w:val="21"/>
              </w:rPr>
              <w:t>约束性</w:t>
            </w:r>
          </w:p>
        </w:tc>
      </w:tr>
      <w:tr w:rsidR="00B5342F" w14:paraId="32008682" w14:textId="77777777">
        <w:trPr>
          <w:trHeight w:hRule="exact" w:val="657"/>
          <w:jc w:val="center"/>
        </w:trPr>
        <w:tc>
          <w:tcPr>
            <w:tcW w:w="9040" w:type="dxa"/>
            <w:gridSpan w:val="6"/>
          </w:tcPr>
          <w:p w14:paraId="48BA66A4" w14:textId="77777777" w:rsidR="00B5342F" w:rsidRDefault="00000000">
            <w:pPr>
              <w:wordWrap w:val="0"/>
              <w:topLinePunct/>
              <w:jc w:val="left"/>
              <w:rPr>
                <w:rFonts w:ascii="Times New Roman" w:cs="Times New Roman"/>
                <w:szCs w:val="21"/>
              </w:rPr>
            </w:pPr>
            <w:r>
              <w:rPr>
                <w:rFonts w:ascii="Times New Roman" w:cs="Times New Roman"/>
                <w:szCs w:val="21"/>
              </w:rPr>
              <w:t>注：</w:t>
            </w:r>
            <w:r>
              <w:rPr>
                <w:rFonts w:ascii="Times New Roman" w:cs="Times New Roman"/>
                <w:szCs w:val="21"/>
              </w:rPr>
              <w:t>1</w:t>
            </w:r>
            <w:r>
              <w:rPr>
                <w:rFonts w:ascii="Times New Roman" w:cs="Times New Roman"/>
                <w:szCs w:val="21"/>
              </w:rPr>
              <w:t>、带</w:t>
            </w:r>
            <w:r>
              <w:rPr>
                <w:rFonts w:asciiTheme="minorEastAsia" w:hAnsiTheme="minorEastAsia" w:cstheme="minorEastAsia" w:hint="eastAsia"/>
                <w:szCs w:val="21"/>
              </w:rPr>
              <w:t>[]</w:t>
            </w:r>
            <w:r>
              <w:rPr>
                <w:rFonts w:ascii="Times New Roman" w:cs="Times New Roman"/>
                <w:szCs w:val="21"/>
              </w:rPr>
              <w:t>为五年累计数。</w:t>
            </w:r>
            <w:r>
              <w:rPr>
                <w:rFonts w:ascii="Times New Roman" w:cs="Times New Roman"/>
                <w:szCs w:val="21"/>
              </w:rPr>
              <w:t>2</w:t>
            </w:r>
            <w:r>
              <w:rPr>
                <w:rFonts w:ascii="Times New Roman" w:cs="Times New Roman"/>
                <w:szCs w:val="21"/>
              </w:rPr>
              <w:t>、</w:t>
            </w:r>
            <w:r>
              <w:rPr>
                <w:rFonts w:ascii="Times New Roman" w:cs="Times New Roman" w:hint="eastAsia"/>
                <w:szCs w:val="21"/>
              </w:rPr>
              <w:t>能源综合生产能力指煤炭、石油、天然气、非化石能源生产能力之和</w:t>
            </w:r>
            <w:r>
              <w:rPr>
                <w:rFonts w:ascii="Times New Roman" w:cs="Times New Roman"/>
                <w:szCs w:val="21"/>
              </w:rPr>
              <w:t>。</w:t>
            </w:r>
          </w:p>
        </w:tc>
      </w:tr>
    </w:tbl>
    <w:p w14:paraId="5934F667"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50" w:name="_Toc12013"/>
      <w:bookmarkStart w:id="51" w:name="_Toc25103"/>
      <w:bookmarkStart w:id="52" w:name="_Toc64715918"/>
      <w:bookmarkStart w:id="53" w:name="_Toc19693"/>
      <w:bookmarkStart w:id="54" w:name="_Toc13670"/>
      <w:bookmarkStart w:id="55" w:name="_Toc31692"/>
      <w:bookmarkStart w:id="56" w:name="_Toc15977"/>
      <w:bookmarkStart w:id="57" w:name="_Toc54868531"/>
      <w:r>
        <w:rPr>
          <w:rFonts w:ascii="黑体" w:eastAsia="黑体" w:hAnsi="黑体" w:cs="黑体" w:hint="eastAsia"/>
          <w:b w:val="0"/>
          <w:bCs w:val="0"/>
          <w:sz w:val="28"/>
          <w:szCs w:val="28"/>
        </w:rPr>
        <w:lastRenderedPageBreak/>
        <w:t>第六节  2035年远景目标</w:t>
      </w:r>
      <w:bookmarkEnd w:id="50"/>
      <w:bookmarkEnd w:id="51"/>
      <w:bookmarkEnd w:id="52"/>
      <w:bookmarkEnd w:id="53"/>
      <w:bookmarkEnd w:id="54"/>
      <w:bookmarkEnd w:id="55"/>
      <w:bookmarkEnd w:id="56"/>
    </w:p>
    <w:p w14:paraId="5FDDAAB4"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到2035年基本实现社会主义现代化，努力建设好宜居宜业宜商宜游的名城。全市经济实力、科技实力大幅跃升，经济总量和居民人均收入迈上新台阶；现代化建设全面推进，基本实现新型工业化、信息化、城镇化、农业现代化，建成现代化经济体系；社会稳定和长治久安基础更加牢固，各方面制度更加完善，基本实现治理体系和治理能力现代化；生态环境建设取得重大成效，广泛形成绿色生产生活方式，建成天蓝地绿水清的美丽和田市；改革和发展深度融合、高效联动，丝绸之路经济带南通道重要支点作用显著增强，全方位开放发展格局全面构建；社会事业全面进步，公民素质和社会文明程度达到新高度，人民生活更加美好，人的全面发展、全体人民共同富裕迈向新境界。</w:t>
      </w:r>
    </w:p>
    <w:p w14:paraId="55EA9AB3" w14:textId="77777777" w:rsidR="00B5342F" w:rsidRDefault="00B5342F">
      <w:pPr>
        <w:pStyle w:val="2"/>
        <w:wordWrap w:val="0"/>
        <w:topLinePunct/>
        <w:ind w:firstLine="640"/>
      </w:pPr>
    </w:p>
    <w:p w14:paraId="243DA0AB" w14:textId="77777777" w:rsidR="00B5342F" w:rsidRDefault="00000000">
      <w:pPr>
        <w:pStyle w:val="20"/>
        <w:keepNext w:val="0"/>
        <w:keepLines w:val="0"/>
        <w:wordWrap w:val="0"/>
        <w:topLinePunct/>
        <w:spacing w:before="0" w:after="0" w:line="240" w:lineRule="auto"/>
        <w:jc w:val="center"/>
        <w:rPr>
          <w:rFonts w:ascii="方正小标宋简体" w:eastAsia="方正小标宋简体" w:hAnsi="方正小标宋简体" w:cs="方正小标宋简体" w:hint="eastAsia"/>
          <w:b w:val="0"/>
          <w:bCs w:val="0"/>
        </w:rPr>
      </w:pPr>
      <w:bookmarkStart w:id="58" w:name="_Toc8614"/>
      <w:bookmarkStart w:id="59" w:name="_Toc5183"/>
      <w:bookmarkStart w:id="60" w:name="_Toc2762"/>
      <w:bookmarkStart w:id="61" w:name="_Toc6296"/>
      <w:bookmarkStart w:id="62" w:name="_Toc64715919"/>
      <w:bookmarkStart w:id="63" w:name="_Toc10352"/>
      <w:bookmarkStart w:id="64" w:name="_Toc19806"/>
      <w:r>
        <w:rPr>
          <w:rFonts w:ascii="方正小标宋简体" w:eastAsia="方正小标宋简体" w:hAnsi="方正小标宋简体" w:cs="方正小标宋简体" w:hint="eastAsia"/>
          <w:b w:val="0"/>
          <w:bCs w:val="0"/>
        </w:rPr>
        <w:t>第二章  发挥比较优势  构建特色现代产业体系</w:t>
      </w:r>
      <w:bookmarkEnd w:id="58"/>
      <w:bookmarkEnd w:id="59"/>
      <w:bookmarkEnd w:id="60"/>
      <w:bookmarkEnd w:id="61"/>
      <w:bookmarkEnd w:id="62"/>
      <w:bookmarkEnd w:id="63"/>
      <w:bookmarkEnd w:id="64"/>
    </w:p>
    <w:p w14:paraId="6B497937"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把经济发展着力点放在实体经济上，按照“一产上水平、二产抓重点、三产大发展”的思路，发挥比较优势，抢抓新一轮科技革命和产业变革的机遇，坚持抓重点、促转型、补短板、强动力，促进一二三产业深度融合。</w:t>
      </w:r>
    </w:p>
    <w:p w14:paraId="7CBC1C8D" w14:textId="77777777" w:rsidR="00B5342F" w:rsidRDefault="00B5342F">
      <w:pPr>
        <w:pStyle w:val="2"/>
        <w:wordWrap w:val="0"/>
        <w:topLinePunct/>
        <w:ind w:firstLine="640"/>
      </w:pPr>
    </w:p>
    <w:p w14:paraId="57A04AE0"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65" w:name="_Toc3452"/>
      <w:bookmarkStart w:id="66" w:name="_Toc8581"/>
      <w:bookmarkStart w:id="67" w:name="_Toc30612"/>
      <w:bookmarkStart w:id="68" w:name="_Toc64715920"/>
      <w:bookmarkStart w:id="69" w:name="_Toc29332"/>
      <w:bookmarkStart w:id="70" w:name="_Toc3455"/>
      <w:bookmarkStart w:id="71" w:name="_Toc13341"/>
      <w:r>
        <w:rPr>
          <w:rFonts w:ascii="黑体" w:eastAsia="黑体" w:hAnsi="黑体" w:cs="黑体" w:hint="eastAsia"/>
          <w:b w:val="0"/>
          <w:bCs w:val="0"/>
          <w:sz w:val="28"/>
          <w:szCs w:val="28"/>
        </w:rPr>
        <w:t>第一节  推动工业经济提速增效</w:t>
      </w:r>
      <w:bookmarkEnd w:id="65"/>
      <w:bookmarkEnd w:id="66"/>
      <w:bookmarkEnd w:id="67"/>
      <w:bookmarkEnd w:id="68"/>
      <w:bookmarkEnd w:id="69"/>
      <w:bookmarkEnd w:id="70"/>
      <w:bookmarkEnd w:id="71"/>
    </w:p>
    <w:p w14:paraId="3B6564BE"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毫不动摇推进新型工业化，把握制造业智能化、服务化和绿色化发展方向，抓创新、稳存量、拓增量，加快纺织服装、食品制造、农副产品精深加工等传统产业转型升级，着力发展生物医药、电子信息等产业，确保“十四五”期间工业经济实现量的合理增长和质的稳步</w:t>
      </w:r>
      <w:r>
        <w:rPr>
          <w:rFonts w:asciiTheme="minorEastAsia" w:hAnsiTheme="minorEastAsia" w:cstheme="minorEastAsia" w:hint="eastAsia"/>
          <w:sz w:val="28"/>
          <w:szCs w:val="28"/>
        </w:rPr>
        <w:lastRenderedPageBreak/>
        <w:t>提升。力争2025年全口径工业产值达到28.5亿元，工业增加值达到7亿元；规模以上企业达到30家以上，工业增加值达到4.5亿元以上。</w:t>
      </w:r>
    </w:p>
    <w:p w14:paraId="3BD6A00B"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t>一、围绕“一园三区”建设，提升北京和田工业园区</w:t>
      </w:r>
    </w:p>
    <w:p w14:paraId="33C6A9BA"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大力推动“一园三区”建设，产业、居住、配套服务功能合理分区，低碳引导，发展循环经济，提升竞争实力，构筑生态屏障，建设融“生产、生活、生态”于一体的现代化园区，推动工业园区向产业新城转变。深入开展园区提质增效行动，做好腾笼换鸟，做大招商引资，做实基础配套，做优就业服务，不断优化园区布局、提升基础设施设施，努力打造企业成本集约最大化共享服务平台。围绕“126”主导产业，开展延链、补链、强链招商，强化产业内部联系，加强产业协作配套，推动形成龙头企业与配套中小企业合作共赢的产业生态链和企业集群。力争“十四五”期间北京和田工业园区升格为国家级产业园区，园区工业总产值占工业总产值比重达到80%以上。</w:t>
      </w:r>
    </w:p>
    <w:tbl>
      <w:tblPr>
        <w:tblStyle w:val="af5"/>
        <w:tblpPr w:leftFromText="180" w:rightFromText="180" w:vertAnchor="text" w:horzAnchor="page" w:tblpXSpec="center" w:tblpY="175"/>
        <w:tblOverlap w:val="never"/>
        <w:tblW w:w="8485" w:type="dxa"/>
        <w:jc w:val="center"/>
        <w:tblLayout w:type="fixed"/>
        <w:tblLook w:val="04A0" w:firstRow="1" w:lastRow="0" w:firstColumn="1" w:lastColumn="0" w:noHBand="0" w:noVBand="1"/>
      </w:tblPr>
      <w:tblGrid>
        <w:gridCol w:w="8485"/>
      </w:tblGrid>
      <w:tr w:rsidR="00B5342F" w14:paraId="6BC1A376" w14:textId="77777777">
        <w:trPr>
          <w:trHeight w:val="477"/>
          <w:jc w:val="center"/>
        </w:trPr>
        <w:tc>
          <w:tcPr>
            <w:tcW w:w="8485" w:type="dxa"/>
            <w:vAlign w:val="center"/>
          </w:tcPr>
          <w:p w14:paraId="676A1557" w14:textId="77777777" w:rsidR="00B5342F" w:rsidRDefault="00000000">
            <w:pPr>
              <w:wordWrap w:val="0"/>
              <w:topLinePunct/>
              <w:rPr>
                <w:rFonts w:asciiTheme="minorEastAsia" w:hAnsiTheme="minorEastAsia" w:cstheme="minorEastAsia" w:hint="eastAsia"/>
                <w:sz w:val="24"/>
                <w:szCs w:val="24"/>
              </w:rPr>
            </w:pPr>
            <w:r>
              <w:rPr>
                <w:rFonts w:asciiTheme="minorEastAsia" w:hAnsiTheme="minorEastAsia" w:cstheme="minorEastAsia" w:hint="eastAsia"/>
                <w:bCs/>
                <w:sz w:val="24"/>
                <w:szCs w:val="24"/>
              </w:rPr>
              <w:t>专栏2-1            北京工业园区“126”产业及工程项目</w:t>
            </w:r>
          </w:p>
        </w:tc>
      </w:tr>
      <w:tr w:rsidR="00B5342F" w14:paraId="37E9E7DA" w14:textId="77777777">
        <w:trPr>
          <w:trHeight w:val="492"/>
          <w:jc w:val="center"/>
        </w:trPr>
        <w:tc>
          <w:tcPr>
            <w:tcW w:w="8485" w:type="dxa"/>
          </w:tcPr>
          <w:p w14:paraId="7EA8E58B" w14:textId="77777777" w:rsidR="00B5342F" w:rsidRDefault="00000000">
            <w:pPr>
              <w:wordWrap w:val="0"/>
              <w:topLinePunct/>
              <w:spacing w:line="440" w:lineRule="exact"/>
              <w:ind w:firstLineChars="200" w:firstLine="482"/>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“126”内涵：</w:t>
            </w:r>
          </w:p>
          <w:p w14:paraId="307AF31E"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1个主导产业：纺织服装产业；</w:t>
            </w:r>
          </w:p>
          <w:p w14:paraId="77CD95D8"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2个重点产业：新型建筑材料+生物医药产业（中药维药及康养）；</w:t>
            </w:r>
          </w:p>
          <w:p w14:paraId="24FA7868" w14:textId="77777777" w:rsidR="00B5342F" w:rsidRDefault="00000000">
            <w:pPr>
              <w:wordWrap w:val="0"/>
              <w:topLinePunct/>
              <w:spacing w:line="440" w:lineRule="exact"/>
              <w:ind w:firstLineChars="200" w:firstLine="480"/>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6个支柱产业：节能环保产业、食品农产品深加工产业、轻工业、生产性服务产业、新材料产业、信息产业。</w:t>
            </w:r>
          </w:p>
        </w:tc>
      </w:tr>
      <w:tr w:rsidR="00B5342F" w14:paraId="1C121D25" w14:textId="77777777">
        <w:trPr>
          <w:trHeight w:val="3347"/>
          <w:jc w:val="center"/>
        </w:trPr>
        <w:tc>
          <w:tcPr>
            <w:tcW w:w="8485" w:type="dxa"/>
          </w:tcPr>
          <w:p w14:paraId="23706745" w14:textId="77777777" w:rsidR="00B5342F" w:rsidRDefault="00000000">
            <w:pPr>
              <w:wordWrap w:val="0"/>
              <w:topLinePunct/>
              <w:spacing w:line="440" w:lineRule="exact"/>
              <w:ind w:firstLineChars="200" w:firstLine="482"/>
              <w:rPr>
                <w:rFonts w:asciiTheme="minorEastAsia" w:hAnsiTheme="minorEastAsia" w:cstheme="minorEastAsia" w:hint="eastAsia"/>
                <w:b/>
                <w:bCs/>
                <w:sz w:val="24"/>
                <w:szCs w:val="24"/>
              </w:rPr>
            </w:pPr>
            <w:r>
              <w:rPr>
                <w:rFonts w:asciiTheme="minorEastAsia" w:hAnsiTheme="minorEastAsia" w:cstheme="minorEastAsia" w:hint="eastAsia"/>
                <w:b/>
                <w:bCs/>
                <w:sz w:val="24"/>
                <w:szCs w:val="24"/>
              </w:rPr>
              <w:t>工程项目：</w:t>
            </w:r>
          </w:p>
          <w:p w14:paraId="2A368A13"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1.数据经济产业园（标注产业基地）建设项目；</w:t>
            </w:r>
          </w:p>
          <w:p w14:paraId="095BC3BC" w14:textId="77777777" w:rsidR="00B5342F" w:rsidRDefault="00000000">
            <w:pPr>
              <w:wordWrap w:val="0"/>
              <w:topLinePunct/>
              <w:spacing w:line="440" w:lineRule="exact"/>
              <w:ind w:left="480"/>
              <w:rPr>
                <w:rFonts w:asciiTheme="minorEastAsia" w:hAnsiTheme="minorEastAsia" w:cstheme="minorEastAsia" w:hint="eastAsia"/>
                <w:sz w:val="24"/>
                <w:szCs w:val="24"/>
              </w:rPr>
            </w:pPr>
            <w:r>
              <w:rPr>
                <w:rFonts w:asciiTheme="minorEastAsia" w:hAnsiTheme="minorEastAsia" w:cstheme="minorEastAsia" w:hint="eastAsia"/>
                <w:sz w:val="24"/>
                <w:szCs w:val="24"/>
              </w:rPr>
              <w:t>2.产业融合示范区建设项目；</w:t>
            </w:r>
          </w:p>
          <w:p w14:paraId="2070CC0E"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3.园区基础设施建设项目；</w:t>
            </w:r>
          </w:p>
          <w:p w14:paraId="2250F6E0"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4.纺织服装产业园综合能源中心建设项目；</w:t>
            </w:r>
          </w:p>
          <w:p w14:paraId="171BB549"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5.农牧产品精深加工产业园（一期、二期）；</w:t>
            </w:r>
          </w:p>
          <w:p w14:paraId="1D06770E"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6.“5G+互联网”示范园区建设。</w:t>
            </w:r>
          </w:p>
        </w:tc>
      </w:tr>
    </w:tbl>
    <w:p w14:paraId="7DF4CBBC"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二、围绕产业融合示范区建设，大力发展农副产品精深加工</w:t>
      </w:r>
    </w:p>
    <w:p w14:paraId="3338ED73"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依托全地区绿色生态农业基础，以食品生产、功能性产品开发为重点，增加产品附加值，打造食品、林果、畜禽产品、饲草加工四条产业链，延伸产业链推动产业做大做强。力争到2025年，全市农产品加工增值率达到240%，带动就业1.5万人。</w:t>
      </w:r>
      <w:r>
        <w:rPr>
          <w:rFonts w:asciiTheme="minorEastAsia" w:hAnsiTheme="minorEastAsia" w:cstheme="minorEastAsia" w:hint="eastAsia"/>
          <w:b/>
          <w:sz w:val="28"/>
          <w:szCs w:val="28"/>
        </w:rPr>
        <w:t>食品：</w:t>
      </w:r>
      <w:r>
        <w:rPr>
          <w:rFonts w:asciiTheme="minorEastAsia" w:hAnsiTheme="minorEastAsia" w:cstheme="minorEastAsia" w:hint="eastAsia"/>
          <w:sz w:val="28"/>
          <w:szCs w:val="28"/>
        </w:rPr>
        <w:t>发挥和田特色，扶持培育一批具有自主加工能力的粮油、民族特色饮料等龙头企业。</w:t>
      </w:r>
      <w:r>
        <w:rPr>
          <w:rFonts w:asciiTheme="minorEastAsia" w:hAnsiTheme="minorEastAsia" w:cstheme="minorEastAsia" w:hint="eastAsia"/>
          <w:b/>
          <w:sz w:val="28"/>
          <w:szCs w:val="28"/>
        </w:rPr>
        <w:t>林果加工：</w:t>
      </w:r>
      <w:r>
        <w:rPr>
          <w:rFonts w:asciiTheme="minorEastAsia" w:hAnsiTheme="minorEastAsia" w:cstheme="minorEastAsia" w:hint="eastAsia"/>
          <w:sz w:val="28"/>
          <w:szCs w:val="28"/>
        </w:rPr>
        <w:t>引进和培育一批农业产业化国家和自治区重点龙头企业，推动精深加工及收购、销售一体化，加快实现一二三产业融合发展。</w:t>
      </w:r>
      <w:r>
        <w:rPr>
          <w:rFonts w:asciiTheme="minorEastAsia" w:hAnsiTheme="minorEastAsia" w:cstheme="minorEastAsia" w:hint="eastAsia"/>
          <w:b/>
          <w:sz w:val="28"/>
          <w:szCs w:val="28"/>
        </w:rPr>
        <w:t>禽畜产品加工：</w:t>
      </w:r>
      <w:r>
        <w:rPr>
          <w:rFonts w:asciiTheme="minorEastAsia" w:hAnsiTheme="minorEastAsia" w:cstheme="minorEastAsia" w:hint="eastAsia"/>
          <w:sz w:val="28"/>
          <w:szCs w:val="28"/>
        </w:rPr>
        <w:t>紧紧围绕“十百千万亿”级产业发展规划，以园区集聚为载体，高标准建设现代农业产业示范园，实施畜产品加工提升项目，培育一批种养加一体的畜禽产品龙头企业，以集中屠宰、品牌经营、冷链流通、冷鲜上市为主攻方向，开发绿色、有机高端冷鲜肉、分割肉以及熟食产品。</w:t>
      </w:r>
      <w:r>
        <w:rPr>
          <w:rFonts w:asciiTheme="minorEastAsia" w:hAnsiTheme="minorEastAsia" w:cstheme="minorEastAsia" w:hint="eastAsia"/>
          <w:b/>
          <w:sz w:val="28"/>
          <w:szCs w:val="28"/>
        </w:rPr>
        <w:t>饲草加工：</w:t>
      </w:r>
      <w:r>
        <w:rPr>
          <w:rFonts w:asciiTheme="minorEastAsia" w:hAnsiTheme="minorEastAsia" w:cstheme="minorEastAsia" w:hint="eastAsia"/>
          <w:sz w:val="28"/>
          <w:szCs w:val="28"/>
        </w:rPr>
        <w:t>打造种植加工仓储物流为一体的饲草料加工基地。到2025年，饲料原粮自给率稳定在30%，饲草料本地加工率达到80%，饲草自给率大幅度提高。</w:t>
      </w:r>
    </w:p>
    <w:tbl>
      <w:tblPr>
        <w:tblStyle w:val="af5"/>
        <w:tblW w:w="8811" w:type="dxa"/>
        <w:jc w:val="center"/>
        <w:tblLayout w:type="fixed"/>
        <w:tblLook w:val="04A0" w:firstRow="1" w:lastRow="0" w:firstColumn="1" w:lastColumn="0" w:noHBand="0" w:noVBand="1"/>
      </w:tblPr>
      <w:tblGrid>
        <w:gridCol w:w="8811"/>
      </w:tblGrid>
      <w:tr w:rsidR="00B5342F" w14:paraId="7B0C9566" w14:textId="77777777">
        <w:trPr>
          <w:trHeight w:val="454"/>
          <w:jc w:val="center"/>
        </w:trPr>
        <w:tc>
          <w:tcPr>
            <w:tcW w:w="8811" w:type="dxa"/>
            <w:vAlign w:val="center"/>
          </w:tcPr>
          <w:p w14:paraId="29FA1BE3" w14:textId="77777777" w:rsidR="00B5342F" w:rsidRDefault="00000000">
            <w:pPr>
              <w:wordWrap w:val="0"/>
              <w:topLinePunct/>
              <w:rPr>
                <w:rFonts w:asciiTheme="minorEastAsia" w:hAnsiTheme="minorEastAsia" w:cstheme="minorEastAsia" w:hint="eastAsia"/>
                <w:sz w:val="24"/>
                <w:szCs w:val="24"/>
              </w:rPr>
            </w:pPr>
            <w:r>
              <w:rPr>
                <w:rFonts w:asciiTheme="minorEastAsia" w:hAnsiTheme="minorEastAsia" w:cstheme="minorEastAsia" w:hint="eastAsia"/>
                <w:bCs/>
                <w:sz w:val="24"/>
                <w:szCs w:val="24"/>
              </w:rPr>
              <w:t>专栏2-2               特色优势农产品体系建设工程</w:t>
            </w:r>
          </w:p>
        </w:tc>
      </w:tr>
      <w:tr w:rsidR="00B5342F" w14:paraId="7C409F43" w14:textId="77777777">
        <w:trPr>
          <w:jc w:val="center"/>
        </w:trPr>
        <w:tc>
          <w:tcPr>
            <w:tcW w:w="8811" w:type="dxa"/>
          </w:tcPr>
          <w:p w14:paraId="2CCC6444"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1.特色优势农产品加工冷链物流体系建设项目；</w:t>
            </w:r>
          </w:p>
          <w:p w14:paraId="382F4212"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2.肉制品深加工车间建设项目；</w:t>
            </w:r>
          </w:p>
          <w:p w14:paraId="08067D51"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3.现代农业产业园区中央厨房；</w:t>
            </w:r>
          </w:p>
          <w:p w14:paraId="7C02388E"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4.饲草料储备库建设项目。</w:t>
            </w:r>
          </w:p>
        </w:tc>
      </w:tr>
    </w:tbl>
    <w:p w14:paraId="562ABAF5"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t>三、围绕纺织园区提档，加快纺织服装产业转型升级</w:t>
      </w:r>
    </w:p>
    <w:p w14:paraId="40533F51"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支持现有重点纺织企业，转型升级，做大做强，引导企业在技术、质量、品牌上全面升级，壮大优势产业和骨干企业，强化大项目带动。围绕完善产业链条，进一步加大招商引资力度，主动对接全国知名纺织服装基地，承接产业转移，积极引进带动辐射性较强的大企业入驻，加快推进衣着附件及包装物配套生产及市场建设，不断提升配套能</w:t>
      </w:r>
      <w:r>
        <w:rPr>
          <w:rFonts w:asciiTheme="minorEastAsia" w:hAnsiTheme="minorEastAsia" w:cstheme="minorEastAsia" w:hint="eastAsia"/>
          <w:sz w:val="28"/>
          <w:szCs w:val="28"/>
        </w:rPr>
        <w:lastRenderedPageBreak/>
        <w:t>力。以童装、女装、职业装、运动装等为重点，积极发展针织服装、羽绒服装、西式服装，探索发展登山服、高温作业服等功能性产品。扶持发展一批自主品牌服装，逐步实现由代工贴牌向自主品牌过渡。以吉亚乡为核心区域，深入挖掘艾德莱斯绸文化内涵和文化价值，加快促进传统工艺和现代时尚的融合发展，打造新疆艾德莱斯绸织造产业基地。力争到2025年，全市棉纱锭规模达到30万锭，服装产能达到7000万件纺织服装产业带动就业1万人，打造纺织服装品牌2-3个。</w:t>
      </w:r>
    </w:p>
    <w:p w14:paraId="54B0D8FF"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t>四、围绕引进整合生物制药产业，推进维药开发</w:t>
      </w:r>
    </w:p>
    <w:p w14:paraId="1F818EEC"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快培育引进中药民族药产业龙头企业，丰富新型制剂、饮片、药用活性提取物等产品线，推进维药“国药准字号”研究申报，形成以维吾尔医药种植、生产、研发、销售为一体、上下游联动的完整产业链，打造全国维吾尔医药生产中心、创新中心、原料药供应基地。不断加大维吾尔医医药研发力度，依托有实力的维药企业，建立产学研联合研发平台。推进维吾尔医药产业园建设，引导企业集聚发展。重点发展玫瑰花香料、系列保健品化妆品和大芸保健品，不断推进生物制品深度开发。</w:t>
      </w:r>
    </w:p>
    <w:p w14:paraId="4854B6DF"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t>五、围绕数字经济产业园建设，加速发展数据标注产业</w:t>
      </w:r>
    </w:p>
    <w:p w14:paraId="74F85942"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以人工智能产业为驱动，以数据资源为核心，以标注产业为主、标注产业以图形标注为主、企业招商以头部企业为主“三个为主”推进思路，聚焦专业领域数据标准化和数据资源价值延伸，通过实施“载体建设、人力资源、产业招商、园区运营”四大发展支撑，培育构建数据采集、数据清洗、数据标注、数据审查为一体的基础数据服务体系。力争“十四五”头两年，建成3万人就业的数据标注产业基地。</w:t>
      </w:r>
    </w:p>
    <w:p w14:paraId="7685276B"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72" w:name="_Toc16122"/>
      <w:bookmarkStart w:id="73" w:name="_Toc2946"/>
      <w:bookmarkStart w:id="74" w:name="_Toc30679"/>
      <w:bookmarkStart w:id="75" w:name="_Toc9981"/>
      <w:bookmarkStart w:id="76" w:name="_Toc6659"/>
      <w:bookmarkStart w:id="77" w:name="_Toc11607"/>
      <w:bookmarkStart w:id="78" w:name="_Toc64715921"/>
      <w:r>
        <w:rPr>
          <w:rFonts w:ascii="黑体" w:eastAsia="黑体" w:hAnsi="黑体" w:cs="黑体" w:hint="eastAsia"/>
          <w:b w:val="0"/>
          <w:bCs w:val="0"/>
          <w:sz w:val="28"/>
          <w:szCs w:val="28"/>
        </w:rPr>
        <w:lastRenderedPageBreak/>
        <w:t>第二节  推动现代服务业发展壮大</w:t>
      </w:r>
      <w:bookmarkEnd w:id="72"/>
      <w:bookmarkEnd w:id="73"/>
      <w:bookmarkEnd w:id="74"/>
      <w:bookmarkEnd w:id="75"/>
      <w:bookmarkEnd w:id="76"/>
      <w:bookmarkEnd w:id="77"/>
      <w:bookmarkEnd w:id="78"/>
    </w:p>
    <w:p w14:paraId="6D462A2E"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以旅游业为龙头，推动生活性服务业提升质量，以商贸物流业为重点，推动生产性服务业补齐短板，着力培育发展主业突出、特色鲜明、配套完善、带动性强的现代服务业，不断满足经济转型升级需求和人民美好生活需要。</w:t>
      </w:r>
    </w:p>
    <w:p w14:paraId="37CD1FB9"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一、积极发展全域旅游</w:t>
      </w:r>
    </w:p>
    <w:p w14:paraId="5346BD2B"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围绕“丝绸之路文化和民俗风情旅游重要目的地”目标定位，提档升级“吃、住、行、游、购、娱”六大要素，引导培育“商、养、学、闲、情、奇”等新兴要素，把旅游业培育成为支柱产业，创建国家全域旅游示范区。到2025年，实现旅游接待人数750万人次以上，旅游收入达到46亿元。</w:t>
      </w:r>
      <w:r>
        <w:rPr>
          <w:rFonts w:asciiTheme="minorEastAsia" w:hAnsiTheme="minorEastAsia" w:cstheme="minorEastAsia" w:hint="eastAsia"/>
          <w:b/>
          <w:sz w:val="28"/>
          <w:szCs w:val="28"/>
        </w:rPr>
        <w:t>完善旅游集散中心功能：</w:t>
      </w:r>
      <w:r>
        <w:rPr>
          <w:rFonts w:asciiTheme="minorEastAsia" w:hAnsiTheme="minorEastAsia" w:cstheme="minorEastAsia" w:hint="eastAsia"/>
          <w:sz w:val="28"/>
          <w:szCs w:val="28"/>
        </w:rPr>
        <w:t>加强高端酒店、主题酒店、旅游服务中心、娱乐活动中心、商业综合体和自驾车营地、自助游驿站等建设，升级改造一批印象客栈、特色民宿和田园农家乐，鼓励和引导民族餐饮、美食街区等开发，不断完善旅游要素功能。</w:t>
      </w:r>
      <w:r>
        <w:rPr>
          <w:rFonts w:asciiTheme="minorEastAsia" w:hAnsiTheme="minorEastAsia" w:cstheme="minorEastAsia" w:hint="eastAsia"/>
          <w:b/>
          <w:sz w:val="28"/>
          <w:szCs w:val="28"/>
        </w:rPr>
        <w:t>加强旅游项目建设：</w:t>
      </w:r>
      <w:r>
        <w:rPr>
          <w:rFonts w:asciiTheme="minorEastAsia" w:hAnsiTheme="minorEastAsia" w:cstheme="minorEastAsia" w:hint="eastAsia"/>
          <w:sz w:val="28"/>
          <w:szCs w:val="28"/>
        </w:rPr>
        <w:t>加快和田夜市、团城、玉都城、欣明•南国城、大漠胡杨景区等旅游景区景点提档升级，不断丰富历史文化、民俗风情、生态观光、康体疗养、探险体验等旅游产品，组织安排大漠丝路悟佛之旅、万山之祖雪域牧场之旅、玉龙河谷缘玉之旅、维吾尔文化风情之旅等旅游线路，让游客全方位的感受、体验和田“美玉文化、丝路文化、民俗文化、沙漠文化、地毯文化和昆仑文化”的魅力。到2025年，力争新创建国家5A级景区（团城）1个、4A级景区2个、3A级景区2个。</w:t>
      </w:r>
      <w:r>
        <w:rPr>
          <w:rFonts w:asciiTheme="minorEastAsia" w:hAnsiTheme="minorEastAsia" w:cstheme="minorEastAsia" w:hint="eastAsia"/>
          <w:b/>
          <w:sz w:val="28"/>
          <w:szCs w:val="28"/>
        </w:rPr>
        <w:t>加大旅游宣传推介力度：</w:t>
      </w:r>
      <w:r>
        <w:rPr>
          <w:rFonts w:asciiTheme="minorEastAsia" w:hAnsiTheme="minorEastAsia" w:cstheme="minorEastAsia" w:hint="eastAsia"/>
          <w:sz w:val="28"/>
          <w:szCs w:val="28"/>
        </w:rPr>
        <w:t>深化与传统主流媒体的营销联盟，策划、制作和完善旅游VIS、宣传片、宣传手册、旅游丛书、旅</w:t>
      </w:r>
      <w:r>
        <w:rPr>
          <w:rFonts w:asciiTheme="minorEastAsia" w:hAnsiTheme="minorEastAsia" w:cstheme="minorEastAsia" w:hint="eastAsia"/>
          <w:sz w:val="28"/>
          <w:szCs w:val="28"/>
        </w:rPr>
        <w:lastRenderedPageBreak/>
        <w:t>游电影、旅游指南等营销载体，大力推广“乐游和田”APP平台，加强微信、微博、手机终端等自媒体宣传，积极构建线上线下相融合、形象和产品相配套的营销体系。</w:t>
      </w:r>
      <w:r>
        <w:rPr>
          <w:rFonts w:asciiTheme="minorEastAsia" w:hAnsiTheme="minorEastAsia" w:cstheme="minorEastAsia" w:hint="eastAsia"/>
          <w:b/>
          <w:sz w:val="28"/>
          <w:szCs w:val="28"/>
        </w:rPr>
        <w:t>推动全域旅游和产业融合发展：</w:t>
      </w:r>
      <w:r>
        <w:rPr>
          <w:rFonts w:asciiTheme="minorEastAsia" w:hAnsiTheme="minorEastAsia" w:cstheme="minorEastAsia" w:hint="eastAsia"/>
          <w:sz w:val="28"/>
          <w:szCs w:val="28"/>
        </w:rPr>
        <w:t>以发展全域旅游为载体，全面促进旅游业与农业、文化、体育、健康等相关产业深度融合，相互衔接、联动发展，丰富延伸旅游产业链，催生新业态，打造新平台，推动旅游产业转型升级。</w:t>
      </w:r>
    </w:p>
    <w:tbl>
      <w:tblPr>
        <w:tblStyle w:val="af5"/>
        <w:tblW w:w="8860" w:type="dxa"/>
        <w:jc w:val="center"/>
        <w:tblLayout w:type="fixed"/>
        <w:tblLook w:val="04A0" w:firstRow="1" w:lastRow="0" w:firstColumn="1" w:lastColumn="0" w:noHBand="0" w:noVBand="1"/>
      </w:tblPr>
      <w:tblGrid>
        <w:gridCol w:w="8860"/>
      </w:tblGrid>
      <w:tr w:rsidR="00B5342F" w14:paraId="701C2498" w14:textId="77777777">
        <w:trPr>
          <w:trHeight w:val="631"/>
          <w:jc w:val="center"/>
        </w:trPr>
        <w:tc>
          <w:tcPr>
            <w:tcW w:w="8860" w:type="dxa"/>
            <w:vAlign w:val="center"/>
          </w:tcPr>
          <w:p w14:paraId="5BD406F7" w14:textId="77777777" w:rsidR="00B5342F" w:rsidRDefault="00000000">
            <w:pPr>
              <w:wordWrap w:val="0"/>
              <w:topLinePunct/>
              <w:jc w:val="lef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专栏2-3                   旅游产业发展项目</w:t>
            </w:r>
          </w:p>
        </w:tc>
      </w:tr>
      <w:tr w:rsidR="00B5342F" w14:paraId="451354A7" w14:textId="77777777">
        <w:trPr>
          <w:trHeight w:val="2990"/>
          <w:jc w:val="center"/>
        </w:trPr>
        <w:tc>
          <w:tcPr>
            <w:tcW w:w="8860" w:type="dxa"/>
            <w:vAlign w:val="center"/>
          </w:tcPr>
          <w:p w14:paraId="02B4C685"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1.团城民俗旅游区5A级景区建设项目；2.旅游服务中心体系建设项目；</w:t>
            </w:r>
          </w:p>
          <w:p w14:paraId="6C3093FC"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3.旅游人才培训项目；4.旅游文创产品开发项目；5.全域旅游补短板项目；</w:t>
            </w:r>
          </w:p>
          <w:p w14:paraId="1EAA292E"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6.大漠湖杨景区旅游补短板项目；7.团城民俗旅游区补短板项目；</w:t>
            </w:r>
          </w:p>
          <w:p w14:paraId="00FA9338"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8.吐沙拉牧场旅游区补短板项目；9.阔恰民俗旅游村补短板项目；</w:t>
            </w:r>
          </w:p>
          <w:p w14:paraId="27EE8617" w14:textId="77777777" w:rsidR="00B5342F" w:rsidRDefault="00000000">
            <w:pPr>
              <w:wordWrap w:val="0"/>
              <w:topLinePunct/>
              <w:spacing w:line="440" w:lineRule="exact"/>
              <w:ind w:firstLineChars="200" w:firstLine="480"/>
              <w:rPr>
                <w:rFonts w:asciiTheme="minorEastAsia" w:hAnsiTheme="minorEastAsia" w:cstheme="minorEastAsia" w:hint="eastAsia"/>
                <w:strike/>
                <w:sz w:val="24"/>
                <w:szCs w:val="24"/>
              </w:rPr>
            </w:pPr>
            <w:r>
              <w:rPr>
                <w:rFonts w:asciiTheme="minorEastAsia" w:hAnsiTheme="minorEastAsia" w:cstheme="minorEastAsia" w:hint="eastAsia"/>
                <w:sz w:val="24"/>
                <w:szCs w:val="24"/>
              </w:rPr>
              <w:t>10.艾德莱丝绸手工艺作坊、欣明南国城、玉都城等旅游商品基地建设项目；</w:t>
            </w:r>
          </w:p>
          <w:p w14:paraId="049AE36C" w14:textId="77777777" w:rsidR="00B5342F" w:rsidRDefault="00000000">
            <w:pPr>
              <w:wordWrap w:val="0"/>
              <w:topLinePunct/>
              <w:spacing w:line="44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11.旅游智慧平台建设项目。</w:t>
            </w:r>
          </w:p>
        </w:tc>
      </w:tr>
    </w:tbl>
    <w:p w14:paraId="11A36586"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二、大力发展现代物流</w:t>
      </w:r>
    </w:p>
    <w:p w14:paraId="447A6F31"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快和田市二级物流节点城市建设，推动和田东站的规划和建设，积极对接新疆维吾尔自治区内外大型物流企业落地和田。支持北部物流园区等重点物流项目加快建设进度。同时，依托和田机场积极推动建设临空物流园区，依托北慕农批、建材市场、机电城、汽车汽配城等八大市场和产业园区，布局建设农产品、煤炭、建材等专业物流中心，优化城市配送网络体系，加快城区域分拨配送、镇、农村（社区）物流配送中心及物流公共取送点建设，着力构建以铁路物流为龙头、空港物流为突破、公路物流为主体、物流信息平台为支撑的物流发展体系，大力发展枢纽经济。到2025年，全市社会物流总额、物流业增加值增速分别达到10%和15%。</w:t>
      </w:r>
    </w:p>
    <w:tbl>
      <w:tblPr>
        <w:tblStyle w:val="af5"/>
        <w:tblW w:w="8200" w:type="dxa"/>
        <w:jc w:val="center"/>
        <w:tblLayout w:type="fixed"/>
        <w:tblLook w:val="04A0" w:firstRow="1" w:lastRow="0" w:firstColumn="1" w:lastColumn="0" w:noHBand="0" w:noVBand="1"/>
      </w:tblPr>
      <w:tblGrid>
        <w:gridCol w:w="8200"/>
      </w:tblGrid>
      <w:tr w:rsidR="00B5342F" w14:paraId="67B331D2" w14:textId="77777777">
        <w:trPr>
          <w:trHeight w:val="454"/>
          <w:jc w:val="center"/>
        </w:trPr>
        <w:tc>
          <w:tcPr>
            <w:tcW w:w="8200" w:type="dxa"/>
            <w:vAlign w:val="center"/>
          </w:tcPr>
          <w:p w14:paraId="28087668" w14:textId="77777777" w:rsidR="00B5342F" w:rsidRDefault="00000000">
            <w:pPr>
              <w:wordWrap w:val="0"/>
              <w:topLinePunct/>
              <w:jc w:val="left"/>
              <w:rPr>
                <w:rFonts w:asciiTheme="minorEastAsia" w:hAnsiTheme="minorEastAsia" w:cstheme="minorEastAsia" w:hint="eastAsia"/>
                <w:b/>
                <w:sz w:val="24"/>
                <w:szCs w:val="24"/>
              </w:rPr>
            </w:pPr>
            <w:r>
              <w:rPr>
                <w:rFonts w:asciiTheme="minorEastAsia" w:hAnsiTheme="minorEastAsia" w:cstheme="minorEastAsia" w:hint="eastAsia"/>
                <w:bCs/>
                <w:sz w:val="24"/>
                <w:szCs w:val="24"/>
              </w:rPr>
              <w:lastRenderedPageBreak/>
              <w:t>专栏2-4                  现代物流发展项目</w:t>
            </w:r>
          </w:p>
        </w:tc>
      </w:tr>
      <w:tr w:rsidR="00B5342F" w14:paraId="3E39889C" w14:textId="77777777">
        <w:trPr>
          <w:jc w:val="center"/>
        </w:trPr>
        <w:tc>
          <w:tcPr>
            <w:tcW w:w="8200" w:type="dxa"/>
          </w:tcPr>
          <w:p w14:paraId="608B2E69"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1.陆港枢纽中心、空港物流园、</w:t>
            </w:r>
            <w:r>
              <w:rPr>
                <w:rFonts w:asciiTheme="minorEastAsia" w:hAnsiTheme="minorEastAsia" w:cstheme="minorEastAsia" w:hint="eastAsia"/>
                <w:sz w:val="28"/>
                <w:szCs w:val="28"/>
              </w:rPr>
              <w:t>北部物流园区</w:t>
            </w:r>
            <w:r>
              <w:rPr>
                <w:rFonts w:asciiTheme="minorEastAsia" w:hAnsiTheme="minorEastAsia" w:cstheme="minorEastAsia" w:hint="eastAsia"/>
                <w:sz w:val="24"/>
                <w:szCs w:val="24"/>
              </w:rPr>
              <w:t>、京和物流园区等综合物流平台建设；</w:t>
            </w:r>
          </w:p>
          <w:p w14:paraId="56806C47"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2.特色农产品商贸物流园、义乌小商品批发城、快递物流园等专业物流中心建设；</w:t>
            </w:r>
          </w:p>
          <w:p w14:paraId="17C6BC7B"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3.智能化冷链配送及仓储物流中心建设。</w:t>
            </w:r>
          </w:p>
        </w:tc>
      </w:tr>
    </w:tbl>
    <w:p w14:paraId="403A9EEA" w14:textId="77777777" w:rsidR="00B5342F" w:rsidRDefault="00000000">
      <w:pPr>
        <w:pStyle w:val="4"/>
        <w:keepNext w:val="0"/>
        <w:keepLines w:val="0"/>
        <w:wordWrap w:val="0"/>
        <w:topLinePunct/>
        <w:spacing w:before="0" w:after="0" w:line="240" w:lineRule="auto"/>
        <w:ind w:firstLineChars="200" w:firstLine="560"/>
        <w:rPr>
          <w:rFonts w:ascii="黑体" w:eastAsia="黑体" w:hAnsi="黑体" w:cs="黑体" w:hint="eastAsia"/>
          <w:b w:val="0"/>
          <w:bCs w:val="0"/>
        </w:rPr>
      </w:pPr>
      <w:r>
        <w:rPr>
          <w:rFonts w:ascii="黑体" w:eastAsia="黑体" w:hAnsi="黑体" w:cs="黑体" w:hint="eastAsia"/>
          <w:b w:val="0"/>
          <w:bCs w:val="0"/>
        </w:rPr>
        <w:t>三、全面提升商贸服务</w:t>
      </w:r>
    </w:p>
    <w:p w14:paraId="23EF5379"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完善城市重点商圈、特色商业街区、批发市场和社区商业中心多层次商贸服务网络。推动和田市团结广场等传统商圈功能提升，加快培育和田市新夜市等新型商圈，推动和田夜市、团城智慧商圈建设。持续推进“八大市场”服务功能优化升级改造，布局建设一批多业态复合的城市商业综合体。实施和田市团城民俗风情商业步行街改造，促进传统商业与特色餐饮、旅游购物、休闲娱乐融合聚集发展。支持新疆便利美连锁集团，五年内在和田市布局30家以上连锁便利店。积极发展汽车、家电、通讯产品等专业超市。加大社区便民服务中心建设及网点布局，推动家电维修服务网点和标准化蔬菜市场改造，完善社区商业服务功能。打造便民家庭服务信息平台，构建5分钟社区便民生活服务圈。完善农村商业网点，进一步完善邮政、供销农村网点，鼓励和支持连锁经营向农村延伸。继续实施农贸市场升级改造工程，建设鲜活农产品从生产到流通全程冷链系统、物流配送系统和快速检测系统，提高流通效率，保证产品质量和安全。</w:t>
      </w:r>
    </w:p>
    <w:tbl>
      <w:tblPr>
        <w:tblStyle w:val="af5"/>
        <w:tblW w:w="8400" w:type="dxa"/>
        <w:jc w:val="center"/>
        <w:tblLayout w:type="fixed"/>
        <w:tblLook w:val="04A0" w:firstRow="1" w:lastRow="0" w:firstColumn="1" w:lastColumn="0" w:noHBand="0" w:noVBand="1"/>
      </w:tblPr>
      <w:tblGrid>
        <w:gridCol w:w="8400"/>
      </w:tblGrid>
      <w:tr w:rsidR="00B5342F" w14:paraId="5DF2B66D" w14:textId="77777777">
        <w:trPr>
          <w:trHeight w:val="563"/>
          <w:jc w:val="center"/>
        </w:trPr>
        <w:tc>
          <w:tcPr>
            <w:tcW w:w="8400" w:type="dxa"/>
            <w:vAlign w:val="center"/>
          </w:tcPr>
          <w:p w14:paraId="2F6201FB" w14:textId="77777777" w:rsidR="00B5342F" w:rsidRDefault="00000000">
            <w:pPr>
              <w:wordWrap w:val="0"/>
              <w:topLinePunct/>
              <w:jc w:val="lef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专栏2-5                商贸重点工程及重大项目</w:t>
            </w:r>
          </w:p>
        </w:tc>
      </w:tr>
      <w:tr w:rsidR="00B5342F" w14:paraId="607582D7" w14:textId="77777777">
        <w:trPr>
          <w:trHeight w:val="1729"/>
          <w:jc w:val="center"/>
        </w:trPr>
        <w:tc>
          <w:tcPr>
            <w:tcW w:w="8400" w:type="dxa"/>
            <w:vAlign w:val="center"/>
          </w:tcPr>
          <w:p w14:paraId="434D4EEF"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1.团城民俗风情商业步行街建设项目；</w:t>
            </w:r>
          </w:p>
          <w:p w14:paraId="07DA10C7"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2.小商品批发中心建设项目；3.社区便民服务中心建设项目；</w:t>
            </w:r>
          </w:p>
          <w:p w14:paraId="53C24FA0"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4.农村商业网点（供销网点）建设项目；5.农贸市场升级改造项目。</w:t>
            </w:r>
          </w:p>
        </w:tc>
      </w:tr>
    </w:tbl>
    <w:p w14:paraId="17296A85" w14:textId="77777777" w:rsidR="00B5342F" w:rsidRDefault="00000000">
      <w:pPr>
        <w:pStyle w:val="4"/>
        <w:keepNext w:val="0"/>
        <w:keepLines w:val="0"/>
        <w:wordWrap w:val="0"/>
        <w:topLinePunct/>
        <w:spacing w:before="0" w:after="0" w:line="240" w:lineRule="auto"/>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四、加快电子商务发展</w:t>
      </w:r>
    </w:p>
    <w:p w14:paraId="2AE81FD3"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积极引进京东、阿里等国内知名电商平台，通过运用“电子商务+直播带货+网红打卡”等模式，打造线上线下平台。提升和田市电子商务公共服务中心综合功能，完善基础运营平台和公共运营服务，“十四五”期间升级为地区电子商务综合服务基地。深入实施国家电子商务进农村综合示范工程，巩固提升电子商务进农村示范县创建水平，优化县、乡、村三级农村电子商务发展体系。加快完善电子商务物流体系，充分利用援疆省市优势，打造“1+8+N”共享仓，大幅降低物流成本、提高流通效率，打通“和货出境”和“网货下乡”的双向通道，逐步实现“电商链+产业链”的高效融合。加大电商人才培养，建设电商直播人才实训基地，实施“个十百千万”电商人才培训计划。建设和田跨境电商平台，聚集吸引国内外跨境电商企业，加强线下商品展示设施和保税物流仓建设，探索建立跨境电子支付平台和电子清关服务系统，建立安全、高效、低成本的跨境电商通道。力争2025年电子商务交易额达到32亿元，网络零售额达到6亿元，其中农副产品零售额达到2亿元。</w:t>
      </w:r>
    </w:p>
    <w:tbl>
      <w:tblPr>
        <w:tblStyle w:val="af5"/>
        <w:tblW w:w="8300" w:type="dxa"/>
        <w:jc w:val="center"/>
        <w:tblLayout w:type="fixed"/>
        <w:tblLook w:val="04A0" w:firstRow="1" w:lastRow="0" w:firstColumn="1" w:lastColumn="0" w:noHBand="0" w:noVBand="1"/>
      </w:tblPr>
      <w:tblGrid>
        <w:gridCol w:w="8300"/>
      </w:tblGrid>
      <w:tr w:rsidR="00B5342F" w14:paraId="3F669A0E" w14:textId="77777777">
        <w:trPr>
          <w:trHeight w:val="482"/>
          <w:jc w:val="center"/>
        </w:trPr>
        <w:tc>
          <w:tcPr>
            <w:tcW w:w="8300" w:type="dxa"/>
            <w:vAlign w:val="center"/>
          </w:tcPr>
          <w:p w14:paraId="26199B46" w14:textId="77777777" w:rsidR="00B5342F" w:rsidRDefault="00000000">
            <w:pPr>
              <w:wordWrap w:val="0"/>
              <w:topLinePunc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专栏2-6                  电子商务发展项目</w:t>
            </w:r>
          </w:p>
        </w:tc>
      </w:tr>
      <w:tr w:rsidR="00B5342F" w14:paraId="725C51E5" w14:textId="77777777">
        <w:trPr>
          <w:trHeight w:val="996"/>
          <w:jc w:val="center"/>
        </w:trPr>
        <w:tc>
          <w:tcPr>
            <w:tcW w:w="8300" w:type="dxa"/>
            <w:vAlign w:val="center"/>
          </w:tcPr>
          <w:p w14:paraId="5E30EBD1"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1.电子商务应用主体培育项目；2.农村电子商务主体培育项目；</w:t>
            </w:r>
          </w:p>
          <w:p w14:paraId="15D39DE0" w14:textId="77777777" w:rsidR="00B5342F" w:rsidRDefault="00000000">
            <w:pPr>
              <w:wordWrap w:val="0"/>
              <w:topLinePunct/>
              <w:spacing w:line="360" w:lineRule="auto"/>
              <w:ind w:firstLineChars="200" w:firstLine="480"/>
              <w:rPr>
                <w:rFonts w:asciiTheme="minorEastAsia" w:hAnsiTheme="minorEastAsia" w:cstheme="minorEastAsia" w:hint="eastAsia"/>
                <w:b/>
                <w:sz w:val="24"/>
                <w:szCs w:val="24"/>
              </w:rPr>
            </w:pPr>
            <w:r>
              <w:rPr>
                <w:rFonts w:asciiTheme="minorEastAsia" w:hAnsiTheme="minorEastAsia" w:cstheme="minorEastAsia" w:hint="eastAsia"/>
                <w:sz w:val="24"/>
                <w:szCs w:val="24"/>
              </w:rPr>
              <w:t>3.电子商务创业创新和人才培养工程。</w:t>
            </w:r>
          </w:p>
        </w:tc>
      </w:tr>
    </w:tbl>
    <w:p w14:paraId="5ABEAEE2" w14:textId="77777777" w:rsidR="00B5342F" w:rsidRDefault="00000000">
      <w:pPr>
        <w:pStyle w:val="4"/>
        <w:keepNext w:val="0"/>
        <w:keepLines w:val="0"/>
        <w:wordWrap w:val="0"/>
        <w:topLinePunct/>
        <w:spacing w:before="0" w:after="0" w:line="240" w:lineRule="auto"/>
        <w:ind w:firstLineChars="200" w:firstLine="560"/>
        <w:rPr>
          <w:rFonts w:ascii="黑体" w:eastAsia="黑体" w:hAnsi="黑体" w:cs="黑体" w:hint="eastAsia"/>
          <w:b w:val="0"/>
          <w:bCs w:val="0"/>
        </w:rPr>
      </w:pPr>
      <w:bookmarkStart w:id="79" w:name="_Toc54868544"/>
      <w:r>
        <w:rPr>
          <w:rFonts w:ascii="黑体" w:eastAsia="黑体" w:hAnsi="黑体" w:cs="黑体" w:hint="eastAsia"/>
          <w:b w:val="0"/>
          <w:bCs w:val="0"/>
        </w:rPr>
        <w:t>五、有序发展房地产业</w:t>
      </w:r>
    </w:p>
    <w:p w14:paraId="6047F522"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结合新型城镇化进程，支持一批管理现代化、具有品牌效应的房地产开发企业做优做强，建设一批环境优美、设施完善、管理先进的省地、节能、环保、绿色现代化精品居住小区，提升“宜居品牌”，加快房产品牌建设。加快商业地产和大型公建项目建设，推进重点区</w:t>
      </w:r>
      <w:r>
        <w:rPr>
          <w:rFonts w:asciiTheme="minorEastAsia" w:hAnsiTheme="minorEastAsia" w:cstheme="minorEastAsia" w:hint="eastAsia"/>
          <w:sz w:val="28"/>
          <w:szCs w:val="28"/>
        </w:rPr>
        <w:lastRenderedPageBreak/>
        <w:t>域商务楼宇开发。建立健全物业管理制度，提高物业管理水平。加强市场监管，规范房地产市场秩序。大力发展“农牧民安家贷”等新型贷款业务。针对机关企事业单位新入职、大学毕业生等新市民群体购房，制定出台特殊优惠政策。</w:t>
      </w:r>
    </w:p>
    <w:p w14:paraId="4393FBCF" w14:textId="77777777" w:rsidR="00B5342F" w:rsidRDefault="00000000">
      <w:pPr>
        <w:pStyle w:val="4"/>
        <w:keepNext w:val="0"/>
        <w:keepLines w:val="0"/>
        <w:wordWrap w:val="0"/>
        <w:topLinePunct/>
        <w:spacing w:before="0" w:after="0" w:line="240" w:lineRule="auto"/>
        <w:ind w:firstLineChars="200" w:firstLine="560"/>
        <w:rPr>
          <w:rFonts w:ascii="黑体" w:eastAsia="黑体" w:hAnsi="黑体" w:cs="黑体" w:hint="eastAsia"/>
          <w:b w:val="0"/>
          <w:bCs w:val="0"/>
        </w:rPr>
      </w:pPr>
      <w:r>
        <w:rPr>
          <w:rFonts w:ascii="黑体" w:eastAsia="黑体" w:hAnsi="黑体" w:cs="黑体" w:hint="eastAsia"/>
          <w:b w:val="0"/>
          <w:bCs w:val="0"/>
        </w:rPr>
        <w:t>六、拓展金融服务业</w:t>
      </w:r>
    </w:p>
    <w:p w14:paraId="1F30019A" w14:textId="77777777" w:rsidR="00B5342F" w:rsidRDefault="00000000">
      <w:pPr>
        <w:pStyle w:val="2"/>
        <w:wordWrap w:val="0"/>
        <w:topLinePunct/>
        <w:ind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围绕金融支持特色产业发展、乡村振兴、普惠金融服务体制机制建设、防范化解金融风险、政银企信息平台搭建等方面，全面深化政金企合作，持续加强薄弱领域资金支撑，切实降低企业融资成本，着力提升金融服务水平。支持全国性、区域性金融机构在和田设立区域总部、分支机构和功能性服务中心。改组农村信用联社成立农村商业银行，支持符合条件的民间资本发起或参与设立地方金融机构。培育支持符合条件的企业在各级资本市场上市融资，推动农村产权交易平台建设。</w:t>
      </w:r>
    </w:p>
    <w:p w14:paraId="0FBA3CC7" w14:textId="77777777" w:rsidR="00B5342F" w:rsidRDefault="00000000">
      <w:pPr>
        <w:pStyle w:val="4"/>
        <w:keepNext w:val="0"/>
        <w:keepLines w:val="0"/>
        <w:wordWrap w:val="0"/>
        <w:topLinePunct/>
        <w:spacing w:before="0" w:after="0" w:line="240" w:lineRule="auto"/>
        <w:ind w:firstLineChars="200" w:firstLine="560"/>
        <w:rPr>
          <w:rFonts w:ascii="黑体" w:eastAsia="黑体" w:hAnsi="黑体" w:cs="黑体" w:hint="eastAsia"/>
          <w:b w:val="0"/>
          <w:bCs w:val="0"/>
        </w:rPr>
      </w:pPr>
      <w:r>
        <w:rPr>
          <w:rFonts w:ascii="黑体" w:eastAsia="黑体" w:hAnsi="黑体" w:cs="黑体" w:hint="eastAsia"/>
          <w:b w:val="0"/>
          <w:bCs w:val="0"/>
        </w:rPr>
        <w:t>七、创新发展特色餐饮业</w:t>
      </w:r>
    </w:p>
    <w:p w14:paraId="76BA4ADF"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突出地域文化和民族特色，扩大和田美食规模，以”原生态、大众化“为理念，培育特色餐饮街区和餐饮名店，打造业态丰富、层次多样、特色突出，集连锁经营、美食研发、人才孵化、物流配送、文化演艺为一体的综合型商业餐饮服务业。打造六条突出不同特色的美食街区，推进”和田夜市、和田食堂、和田烧烤“走出和田、走向全国，实现连锁经营。</w:t>
      </w:r>
    </w:p>
    <w:bookmarkEnd w:id="79"/>
    <w:p w14:paraId="63D75022" w14:textId="77777777" w:rsidR="00B5342F" w:rsidRDefault="00000000">
      <w:pPr>
        <w:pStyle w:val="4"/>
        <w:keepNext w:val="0"/>
        <w:keepLines w:val="0"/>
        <w:wordWrap w:val="0"/>
        <w:topLinePunct/>
        <w:spacing w:before="0" w:after="0" w:line="240" w:lineRule="auto"/>
        <w:ind w:firstLineChars="200" w:firstLine="560"/>
        <w:rPr>
          <w:rFonts w:ascii="黑体" w:eastAsia="黑体" w:hAnsi="黑体" w:cs="黑体" w:hint="eastAsia"/>
          <w:b w:val="0"/>
          <w:bCs w:val="0"/>
        </w:rPr>
      </w:pPr>
      <w:r>
        <w:rPr>
          <w:rFonts w:ascii="黑体" w:eastAsia="黑体" w:hAnsi="黑体" w:cs="黑体" w:hint="eastAsia"/>
          <w:b w:val="0"/>
          <w:bCs w:val="0"/>
        </w:rPr>
        <w:t>八、培育发展托幼、康养等其他服务业</w:t>
      </w:r>
    </w:p>
    <w:p w14:paraId="562A23C2" w14:textId="77777777" w:rsidR="00B5342F" w:rsidRDefault="00000000">
      <w:pPr>
        <w:wordWrap w:val="0"/>
        <w:topLinePunct/>
        <w:spacing w:line="560" w:lineRule="exact"/>
        <w:ind w:firstLineChars="200" w:firstLine="562"/>
        <w:rPr>
          <w:rFonts w:asciiTheme="minorEastAsia" w:hAnsiTheme="minorEastAsia" w:cstheme="minorEastAsia" w:hint="eastAsia"/>
          <w:sz w:val="28"/>
          <w:szCs w:val="28"/>
        </w:rPr>
      </w:pPr>
      <w:r>
        <w:rPr>
          <w:rFonts w:asciiTheme="minorEastAsia" w:hAnsiTheme="minorEastAsia" w:cstheme="minorEastAsia" w:hint="eastAsia"/>
          <w:b/>
          <w:sz w:val="28"/>
          <w:szCs w:val="28"/>
        </w:rPr>
        <w:t>托幼。</w:t>
      </w:r>
      <w:r>
        <w:rPr>
          <w:rFonts w:asciiTheme="minorEastAsia" w:hAnsiTheme="minorEastAsia" w:cstheme="minorEastAsia" w:hint="eastAsia"/>
          <w:sz w:val="28"/>
          <w:szCs w:val="28"/>
        </w:rPr>
        <w:t>大力发展托幼服务业，推进托幼服务标准化建设，大力实施普惠托育服务专项行动，支持社会力量以多种形式开展托育服务，实施普惠性托育中心建设项目，建立和完善促进3岁以下婴幼儿照护</w:t>
      </w:r>
      <w:r>
        <w:rPr>
          <w:rFonts w:asciiTheme="minorEastAsia" w:hAnsiTheme="minorEastAsia" w:cstheme="minorEastAsia" w:hint="eastAsia"/>
          <w:sz w:val="28"/>
          <w:szCs w:val="28"/>
        </w:rPr>
        <w:lastRenderedPageBreak/>
        <w:t>服务体系、管理体系和政策保障体系，促进托育产业安全、合规、良性发展。</w:t>
      </w:r>
      <w:r>
        <w:rPr>
          <w:rFonts w:asciiTheme="minorEastAsia" w:hAnsiTheme="minorEastAsia" w:cstheme="minorEastAsia" w:hint="eastAsia"/>
          <w:b/>
          <w:sz w:val="28"/>
          <w:szCs w:val="28"/>
        </w:rPr>
        <w:t>康养。</w:t>
      </w:r>
      <w:r>
        <w:rPr>
          <w:rFonts w:asciiTheme="minorEastAsia" w:hAnsiTheme="minorEastAsia" w:cstheme="minorEastAsia" w:hint="eastAsia"/>
          <w:sz w:val="28"/>
          <w:szCs w:val="28"/>
        </w:rPr>
        <w:t>立足南疆、辐射全疆，推进维吾尔医药、沙疗康养业发展，以养生、养心、养老为核心，启动建设医康养、教学研一体的特色康养服务基地，促进维吾尔医药、沙疗康养与医疗、旅游等深度融合。到2025年，建成集医疗、康复、疗养综合性康养中心1所。</w:t>
      </w:r>
      <w:r>
        <w:rPr>
          <w:rFonts w:asciiTheme="minorEastAsia" w:hAnsiTheme="minorEastAsia" w:cstheme="minorEastAsia" w:hint="eastAsia"/>
          <w:b/>
          <w:sz w:val="28"/>
          <w:szCs w:val="28"/>
        </w:rPr>
        <w:t>家政服务。</w:t>
      </w:r>
      <w:r>
        <w:rPr>
          <w:rFonts w:asciiTheme="minorEastAsia" w:hAnsiTheme="minorEastAsia" w:cstheme="minorEastAsia" w:hint="eastAsia"/>
          <w:sz w:val="28"/>
          <w:szCs w:val="28"/>
        </w:rPr>
        <w:t>依托社会服务兜底工程，重点支持面向失能半失能、失智、高龄老年人的医养结合型养老机构建设。培育产教融合型家政企业、家政服务品牌和龙头企业，支持中小家政服务企业专业化、特色化发展，加强服务规范化和职业化建设，推进服务标准化，加大对家政服务人员培训的支持力度。加强家政供需对接，加快月嫂、产后护理等基础服务培育，促进家政服务业可持续发展。</w:t>
      </w:r>
      <w:r>
        <w:rPr>
          <w:rFonts w:asciiTheme="minorEastAsia" w:hAnsiTheme="minorEastAsia" w:cstheme="minorEastAsia" w:hint="eastAsia"/>
          <w:b/>
          <w:sz w:val="28"/>
          <w:szCs w:val="28"/>
        </w:rPr>
        <w:t>社区服务业</w:t>
      </w:r>
      <w:r>
        <w:rPr>
          <w:rFonts w:asciiTheme="minorEastAsia" w:hAnsiTheme="minorEastAsia" w:cstheme="minorEastAsia" w:hint="eastAsia"/>
          <w:sz w:val="28"/>
          <w:szCs w:val="28"/>
        </w:rPr>
        <w:t>。完善社区商业和综合服务设施，加快对老旧小区生活服务设施的提档升级。鼓励有实力的企业和社会组织参与社区服务体系建设，合理配置社区餐饮网点、社区菜店、再生资源回收点等大众化服务设施。加快发展社区网上配送服务、代理服务、维修服务。加快农村社区生活服务业发展，建立完善适合农村特点的购物、餐饮、废旧物品回收等服务设施和体系。</w:t>
      </w:r>
    </w:p>
    <w:p w14:paraId="29AAA989" w14:textId="77777777" w:rsidR="00B5342F" w:rsidRDefault="00B5342F">
      <w:pPr>
        <w:pStyle w:val="2"/>
        <w:wordWrap w:val="0"/>
        <w:topLinePunct/>
        <w:ind w:firstLine="640"/>
      </w:pPr>
    </w:p>
    <w:p w14:paraId="1336C15E"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80" w:name="_Toc7597"/>
      <w:bookmarkStart w:id="81" w:name="_Toc64715922"/>
      <w:bookmarkStart w:id="82" w:name="_Toc828"/>
      <w:bookmarkStart w:id="83" w:name="_Toc11427"/>
      <w:bookmarkStart w:id="84" w:name="_Toc21852"/>
      <w:bookmarkStart w:id="85" w:name="_Toc28795"/>
      <w:bookmarkStart w:id="86" w:name="_Toc12892"/>
      <w:r>
        <w:rPr>
          <w:rFonts w:ascii="黑体" w:eastAsia="黑体" w:hAnsi="黑体" w:cs="黑体" w:hint="eastAsia"/>
          <w:b w:val="0"/>
          <w:bCs w:val="0"/>
          <w:sz w:val="28"/>
          <w:szCs w:val="28"/>
        </w:rPr>
        <w:t>第三节  推动现代高效特色农业发展</w:t>
      </w:r>
      <w:bookmarkEnd w:id="80"/>
      <w:bookmarkEnd w:id="81"/>
      <w:bookmarkEnd w:id="82"/>
      <w:bookmarkEnd w:id="83"/>
      <w:bookmarkEnd w:id="84"/>
      <w:bookmarkEnd w:id="85"/>
      <w:bookmarkEnd w:id="86"/>
    </w:p>
    <w:p w14:paraId="36A4E966"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积极推进和田市农村一二三产业融合发展先导区，按照稳粮、促畜、扩禽、强果、增饲料、兴特色思路，坚持一产上水平、提质增效，推广生态有机、优质高产、适合加工的种养品种，推进农业规模化、标准化、绿色化、优质化、特色化、品牌化发展，建设农林牧有机产品生产加工基地。</w:t>
      </w:r>
    </w:p>
    <w:p w14:paraId="6F9AB502"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一、调整优化农业结构</w:t>
      </w:r>
    </w:p>
    <w:p w14:paraId="1D1F0E75" w14:textId="77777777" w:rsidR="00B5342F" w:rsidRDefault="00000000">
      <w:pPr>
        <w:wordWrap w:val="0"/>
        <w:topLinePunct/>
        <w:spacing w:line="560" w:lineRule="exact"/>
        <w:ind w:firstLineChars="200" w:firstLine="562"/>
        <w:rPr>
          <w:rFonts w:asciiTheme="minorEastAsia" w:hAnsiTheme="minorEastAsia" w:cstheme="minorEastAsia" w:hint="eastAsia"/>
          <w:sz w:val="28"/>
          <w:szCs w:val="28"/>
        </w:rPr>
      </w:pPr>
      <w:r>
        <w:rPr>
          <w:rFonts w:asciiTheme="minorEastAsia" w:hAnsiTheme="minorEastAsia" w:cstheme="minorEastAsia" w:hint="eastAsia"/>
          <w:b/>
          <w:sz w:val="28"/>
          <w:szCs w:val="28"/>
        </w:rPr>
        <w:t>稳定粮食生产。</w:t>
      </w:r>
      <w:r>
        <w:rPr>
          <w:rFonts w:asciiTheme="minorEastAsia" w:hAnsiTheme="minorEastAsia" w:cstheme="minorEastAsia" w:hint="eastAsia"/>
          <w:sz w:val="28"/>
          <w:szCs w:val="28"/>
        </w:rPr>
        <w:t>深入实施藏粮于地、藏粮于技战略，粮食种植面积稳定在10万亩，在阿克恰勒乡、吉亚乡、玉龙喀什镇、吐沙拉镇建设粮食生产基地，增加小麦粮食自给率。健全粮食产购储加销体系，完善粮食储备管理体制，保障粮食储备安全。</w:t>
      </w:r>
    </w:p>
    <w:p w14:paraId="4B7A5461" w14:textId="77777777" w:rsidR="00B5342F" w:rsidRDefault="00000000">
      <w:pPr>
        <w:wordWrap w:val="0"/>
        <w:topLinePunct/>
        <w:spacing w:line="560" w:lineRule="exact"/>
        <w:ind w:firstLineChars="200" w:firstLine="562"/>
        <w:rPr>
          <w:rFonts w:asciiTheme="minorEastAsia" w:hAnsiTheme="minorEastAsia" w:cstheme="minorEastAsia" w:hint="eastAsia"/>
          <w:sz w:val="28"/>
          <w:szCs w:val="28"/>
        </w:rPr>
      </w:pPr>
      <w:r>
        <w:rPr>
          <w:rFonts w:asciiTheme="minorEastAsia" w:hAnsiTheme="minorEastAsia" w:cstheme="minorEastAsia" w:hint="eastAsia"/>
          <w:b/>
          <w:sz w:val="28"/>
          <w:szCs w:val="28"/>
        </w:rPr>
        <w:t>做特做精种植业。</w:t>
      </w:r>
      <w:r>
        <w:rPr>
          <w:rFonts w:asciiTheme="minorEastAsia" w:hAnsiTheme="minorEastAsia" w:cstheme="minorEastAsia" w:hint="eastAsia"/>
          <w:sz w:val="28"/>
          <w:szCs w:val="28"/>
        </w:rPr>
        <w:t>突出地方特色，以提高效益为主攻方向，做精蔬菜、和田玫瑰、西甜瓜等特色种植业，发展订单农业，保障农户收入稳定。抓住乌鲁木齐市把和田作为蔬菜生产供应储备基地契机，发展蔬菜种植；围绕将和田建成全国最大的集观赏、加工为一体的玫瑰花产业基地，发展玫瑰花种植。到2025年，全市蔬菜面积达到2.15万亩，特色种植1.7万亩，其中，玫瑰花0.4万亩，西甜瓜0.6万亩。</w:t>
      </w:r>
    </w:p>
    <w:p w14:paraId="2F03D7B8" w14:textId="77777777" w:rsidR="00B5342F" w:rsidRDefault="00000000">
      <w:pPr>
        <w:wordWrap w:val="0"/>
        <w:topLinePunct/>
        <w:spacing w:line="580" w:lineRule="exact"/>
        <w:ind w:firstLineChars="200" w:firstLine="562"/>
        <w:rPr>
          <w:rFonts w:asciiTheme="minorEastAsia" w:hAnsiTheme="minorEastAsia" w:cstheme="minorEastAsia" w:hint="eastAsia"/>
          <w:sz w:val="28"/>
          <w:szCs w:val="28"/>
        </w:rPr>
      </w:pPr>
      <w:r>
        <w:rPr>
          <w:rFonts w:asciiTheme="minorEastAsia" w:hAnsiTheme="minorEastAsia" w:cstheme="minorEastAsia" w:hint="eastAsia"/>
          <w:b/>
          <w:sz w:val="28"/>
          <w:szCs w:val="28"/>
        </w:rPr>
        <w:t>提质增效林果业。</w:t>
      </w:r>
      <w:r>
        <w:rPr>
          <w:rFonts w:asciiTheme="minorEastAsia" w:hAnsiTheme="minorEastAsia" w:cstheme="minorEastAsia" w:hint="eastAsia"/>
          <w:sz w:val="28"/>
          <w:szCs w:val="28"/>
        </w:rPr>
        <w:t>推动林果产业区域化布局、标准化生产、市场化经营，推动林果业产加销一体化发展。加快推动林果标准化基地建设，继续实施林果提质增效工程，加大核桃疏密改造力度，有序推动低产低效林地退出。加强产地交易市场和林果产品品牌建设，继续推动林果加工流通企业建设仓储物流配送中心和冷链设施建设。到2025年，全市完成林果提质增效10万亩，林果面积稳定在26.4万亩左右，产量达到7.63万吨左右，果品加工率达到70%以上。</w:t>
      </w:r>
    </w:p>
    <w:p w14:paraId="41777673" w14:textId="77777777" w:rsidR="00B5342F" w:rsidRDefault="00000000">
      <w:pPr>
        <w:wordWrap w:val="0"/>
        <w:topLinePunct/>
        <w:spacing w:line="580" w:lineRule="exact"/>
        <w:ind w:firstLineChars="200" w:firstLine="562"/>
        <w:rPr>
          <w:rFonts w:asciiTheme="minorEastAsia" w:hAnsiTheme="minorEastAsia" w:cstheme="minorEastAsia" w:hint="eastAsia"/>
          <w:sz w:val="28"/>
          <w:szCs w:val="28"/>
        </w:rPr>
      </w:pPr>
      <w:r>
        <w:rPr>
          <w:rFonts w:asciiTheme="minorEastAsia" w:hAnsiTheme="minorEastAsia" w:cstheme="minorEastAsia" w:hint="eastAsia"/>
          <w:b/>
          <w:sz w:val="28"/>
          <w:szCs w:val="28"/>
        </w:rPr>
        <w:t>强力推进畜牧业现代化。</w:t>
      </w:r>
      <w:r>
        <w:rPr>
          <w:rFonts w:asciiTheme="minorEastAsia" w:hAnsiTheme="minorEastAsia" w:cstheme="minorEastAsia" w:hint="eastAsia"/>
          <w:sz w:val="28"/>
          <w:szCs w:val="28"/>
        </w:rPr>
        <w:t>按照和田地区畜禽品种区域布局规划要求，以发展肉羊肉牛产业为主，适度发展兔、鸡等家禽产业，支持企业带动，通过建立健全良种繁育、畜禽养殖、产品加工和销售等畜牧产业各环节，实现一体化运营，提升畜禽产品有效供给保障能力。到2025年，全市畜禽良种覆盖率达到90%；新建标准化规模养殖小区5个，力争创建国家级畜禽标准化养殖示范场1个，标准化规模养殖比</w:t>
      </w:r>
      <w:r>
        <w:rPr>
          <w:rFonts w:asciiTheme="minorEastAsia" w:hAnsiTheme="minorEastAsia" w:cstheme="minorEastAsia" w:hint="eastAsia"/>
          <w:sz w:val="28"/>
          <w:szCs w:val="28"/>
        </w:rPr>
        <w:lastRenderedPageBreak/>
        <w:t>例达到60%；形成存栏牛3万头，年出（存）栏羊120万只、商品兔出栏300万只、商品鸡3500万只；年肉类总产量达到0.6万吨、奶产量达到5吨、禽蛋0.8万吨。</w:t>
      </w:r>
    </w:p>
    <w:tbl>
      <w:tblPr>
        <w:tblStyle w:val="af5"/>
        <w:tblW w:w="8220" w:type="dxa"/>
        <w:jc w:val="center"/>
        <w:tblLayout w:type="fixed"/>
        <w:tblLook w:val="04A0" w:firstRow="1" w:lastRow="0" w:firstColumn="1" w:lastColumn="0" w:noHBand="0" w:noVBand="1"/>
      </w:tblPr>
      <w:tblGrid>
        <w:gridCol w:w="8220"/>
      </w:tblGrid>
      <w:tr w:rsidR="00B5342F" w14:paraId="0F28256D" w14:textId="77777777">
        <w:trPr>
          <w:trHeight w:val="898"/>
          <w:jc w:val="center"/>
        </w:trPr>
        <w:tc>
          <w:tcPr>
            <w:tcW w:w="8220" w:type="dxa"/>
            <w:vAlign w:val="center"/>
          </w:tcPr>
          <w:p w14:paraId="1F07F3FE" w14:textId="77777777" w:rsidR="00B5342F" w:rsidRDefault="00000000">
            <w:pPr>
              <w:wordWrap w:val="0"/>
              <w:topLinePunct/>
              <w:spacing w:line="560" w:lineRule="exact"/>
              <w:ind w:firstLineChars="200" w:firstLine="480"/>
              <w:jc w:val="lef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专栏2-7                畜牧养殖工程项目</w:t>
            </w:r>
          </w:p>
        </w:tc>
      </w:tr>
      <w:tr w:rsidR="00B5342F" w14:paraId="7556C7C7" w14:textId="77777777">
        <w:trPr>
          <w:trHeight w:val="3389"/>
          <w:jc w:val="center"/>
        </w:trPr>
        <w:tc>
          <w:tcPr>
            <w:tcW w:w="8220" w:type="dxa"/>
            <w:vAlign w:val="center"/>
          </w:tcPr>
          <w:p w14:paraId="12308B63"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1.新建3个育肥羊基地；；2.新建标准化规模养殖小区5个；</w:t>
            </w:r>
          </w:p>
          <w:p w14:paraId="6B5FFEB3"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3.创建国家级畜禽标准化养殖示范场1个；4.畜牧兽医站改扩建项目；</w:t>
            </w:r>
          </w:p>
          <w:p w14:paraId="5CBAF989"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5.饲草料种植基地建设项目；6.畜禽无害化处理场建设项目；</w:t>
            </w:r>
          </w:p>
          <w:p w14:paraId="0C03D4D0"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7.畜牧隔离场建设项目；8.养殖合作社环境改造项目；</w:t>
            </w:r>
          </w:p>
          <w:p w14:paraId="0A07F373"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9.畜牧产业园区建设项目；10.畜禽粪污资源化利用整市推进项目；</w:t>
            </w:r>
          </w:p>
          <w:p w14:paraId="6E134BFB"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11.县级动物卫生监督所以及县级动物防疫物资储备库建设项目。</w:t>
            </w:r>
          </w:p>
        </w:tc>
      </w:tr>
    </w:tbl>
    <w:p w14:paraId="1D3B1734" w14:textId="77777777" w:rsidR="00B5342F" w:rsidRDefault="00000000">
      <w:pPr>
        <w:wordWrap w:val="0"/>
        <w:topLinePunct/>
        <w:spacing w:line="580" w:lineRule="exact"/>
        <w:ind w:firstLineChars="200" w:firstLine="562"/>
        <w:rPr>
          <w:rFonts w:asciiTheme="minorEastAsia" w:hAnsiTheme="minorEastAsia" w:cstheme="minorEastAsia" w:hint="eastAsia"/>
          <w:sz w:val="28"/>
          <w:szCs w:val="28"/>
        </w:rPr>
      </w:pPr>
      <w:r>
        <w:rPr>
          <w:rFonts w:asciiTheme="minorEastAsia" w:hAnsiTheme="minorEastAsia" w:cstheme="minorEastAsia" w:hint="eastAsia"/>
          <w:b/>
          <w:sz w:val="28"/>
          <w:szCs w:val="28"/>
        </w:rPr>
        <w:t>做强设施农业。</w:t>
      </w:r>
      <w:r>
        <w:rPr>
          <w:rFonts w:asciiTheme="minorEastAsia" w:hAnsiTheme="minorEastAsia" w:cstheme="minorEastAsia" w:hint="eastAsia"/>
          <w:sz w:val="28"/>
          <w:szCs w:val="28"/>
        </w:rPr>
        <w:t>抓住《南疆设施蔬菜产业发展三年行动计划》实施机遇，完善设施农业标准化、种植、种苗繁育、科技支撑、仓储物流、市场营销体系，以蔬菜、食用菌为主，开展标准化生产，强化技术支撑、产销对接，推介设施采摘和“开心农场”等新型经营模式。到2025年，全市设施温室面积达到2万亩，食用菌规模达到250万棒。</w:t>
      </w:r>
    </w:p>
    <w:p w14:paraId="7EF5EDBE" w14:textId="77777777" w:rsidR="00B5342F" w:rsidRDefault="00000000">
      <w:pPr>
        <w:wordWrap w:val="0"/>
        <w:topLinePunct/>
        <w:spacing w:line="580" w:lineRule="exact"/>
        <w:ind w:firstLineChars="200" w:firstLine="562"/>
        <w:rPr>
          <w:rFonts w:asciiTheme="minorEastAsia" w:hAnsiTheme="minorEastAsia" w:cstheme="minorEastAsia" w:hint="eastAsia"/>
          <w:sz w:val="28"/>
          <w:szCs w:val="28"/>
        </w:rPr>
      </w:pPr>
      <w:r>
        <w:rPr>
          <w:rFonts w:asciiTheme="minorEastAsia" w:hAnsiTheme="minorEastAsia" w:cstheme="minorEastAsia" w:hint="eastAsia"/>
          <w:b/>
          <w:sz w:val="28"/>
          <w:szCs w:val="28"/>
        </w:rPr>
        <w:t>发展庭院经济。</w:t>
      </w:r>
      <w:r>
        <w:rPr>
          <w:rFonts w:asciiTheme="minorEastAsia" w:hAnsiTheme="minorEastAsia" w:cstheme="minorEastAsia" w:hint="eastAsia"/>
          <w:sz w:val="28"/>
          <w:szCs w:val="28"/>
        </w:rPr>
        <w:t>坚持“宜林则林、宜菜则菜、宜牧则牧、宜禽则禽”的发展思路，引导农户向“一村一品，一乡一业”方向发展，打造小菜园、后花园、微农场，推动庭院经济规模化、品牌化发展，形成“小规模、大群体”“小庭院、大产业”发展格局。到2025年，发展庭院经济4.5万户，庭院经济户均收益达到3500元，消灭“空白院”，确保所有庭院都有产出；发展庭院葡萄0.25万亩、庭院蔬菜0.1万亩、庭院养殖20.50万头只。</w:t>
      </w:r>
    </w:p>
    <w:tbl>
      <w:tblPr>
        <w:tblStyle w:val="af5"/>
        <w:tblW w:w="8440" w:type="dxa"/>
        <w:jc w:val="center"/>
        <w:tblLayout w:type="fixed"/>
        <w:tblLook w:val="04A0" w:firstRow="1" w:lastRow="0" w:firstColumn="1" w:lastColumn="0" w:noHBand="0" w:noVBand="1"/>
      </w:tblPr>
      <w:tblGrid>
        <w:gridCol w:w="8440"/>
      </w:tblGrid>
      <w:tr w:rsidR="00B5342F" w14:paraId="34492017" w14:textId="77777777">
        <w:trPr>
          <w:trHeight w:val="466"/>
          <w:jc w:val="center"/>
        </w:trPr>
        <w:tc>
          <w:tcPr>
            <w:tcW w:w="8440" w:type="dxa"/>
            <w:vAlign w:val="center"/>
          </w:tcPr>
          <w:p w14:paraId="3BAE99A5" w14:textId="77777777" w:rsidR="00B5342F" w:rsidRDefault="00000000">
            <w:pPr>
              <w:wordWrap w:val="0"/>
              <w:topLinePunct/>
              <w:jc w:val="left"/>
              <w:rPr>
                <w:rFonts w:asciiTheme="minorEastAsia" w:hAnsiTheme="minorEastAsia" w:cstheme="minorEastAsia" w:hint="eastAsia"/>
                <w:b/>
                <w:sz w:val="24"/>
                <w:szCs w:val="24"/>
              </w:rPr>
            </w:pPr>
            <w:r>
              <w:rPr>
                <w:rFonts w:asciiTheme="minorEastAsia" w:hAnsiTheme="minorEastAsia" w:cstheme="minorEastAsia" w:hint="eastAsia"/>
                <w:bCs/>
                <w:sz w:val="24"/>
                <w:szCs w:val="24"/>
              </w:rPr>
              <w:lastRenderedPageBreak/>
              <w:t>专栏2-8                种植及林果业工程项目</w:t>
            </w:r>
          </w:p>
        </w:tc>
      </w:tr>
      <w:tr w:rsidR="00B5342F" w14:paraId="1EE9AEE9" w14:textId="77777777">
        <w:trPr>
          <w:trHeight w:val="1904"/>
          <w:jc w:val="center"/>
        </w:trPr>
        <w:tc>
          <w:tcPr>
            <w:tcW w:w="8440" w:type="dxa"/>
          </w:tcPr>
          <w:p w14:paraId="7460E154"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1.特色农业（蔬菜、特色作物、食用菌）基地建设项目；</w:t>
            </w:r>
          </w:p>
          <w:p w14:paraId="43B13E97"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2.庭院经济发展项目；3.高标准设施农业建设项目；</w:t>
            </w:r>
          </w:p>
          <w:p w14:paraId="01BAF011"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4.高标准农田新建和改造提升项目；5.“三圃田”建设项目；</w:t>
            </w:r>
          </w:p>
          <w:p w14:paraId="7B985B0B" w14:textId="77777777" w:rsidR="00B5342F" w:rsidRDefault="00000000">
            <w:pPr>
              <w:wordWrap w:val="0"/>
              <w:topLinePunct/>
              <w:spacing w:line="360" w:lineRule="auto"/>
              <w:ind w:firstLineChars="200" w:firstLine="480"/>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6.林果提质增效工程项目；7.林业有害生物防控工程项目。</w:t>
            </w:r>
          </w:p>
        </w:tc>
      </w:tr>
    </w:tbl>
    <w:p w14:paraId="05E7D912" w14:textId="77777777" w:rsidR="00B5342F" w:rsidRDefault="00000000">
      <w:pPr>
        <w:pStyle w:val="4"/>
        <w:keepNext w:val="0"/>
        <w:keepLines w:val="0"/>
        <w:wordWrap w:val="0"/>
        <w:topLinePunct/>
        <w:spacing w:before="0" w:after="0" w:line="240" w:lineRule="auto"/>
        <w:ind w:firstLineChars="200" w:firstLine="560"/>
        <w:rPr>
          <w:rFonts w:ascii="黑体" w:eastAsia="黑体" w:hAnsi="黑体" w:cs="黑体" w:hint="eastAsia"/>
          <w:b w:val="0"/>
          <w:bCs w:val="0"/>
        </w:rPr>
      </w:pPr>
      <w:r>
        <w:rPr>
          <w:rFonts w:ascii="黑体" w:eastAsia="黑体" w:hAnsi="黑体" w:cs="黑体" w:hint="eastAsia"/>
          <w:b w:val="0"/>
          <w:bCs w:val="0"/>
        </w:rPr>
        <w:t>二、推进农村一二三产业融合发展</w:t>
      </w:r>
    </w:p>
    <w:p w14:paraId="2A7F3266"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引入产业链、价值链、利益链等现代产业组织方式，通过多业态打造、多主体参与、多机制联结、多要素发力，构建种养加、产供销、农旅文等多元融合的现代农业产业体系。支持开展“订单收购+分红”“农民入股+保底收益+按股分红”等合作模式，确保农业收益和农民利益。以休闲农业、乡村旅游、农村电商等新产业新业态新模式为引领，实现多种产业融合方式。加强农业产业园建设，“十四五”期间力争升至自治区级现代农业产业园。融合发展先导区、智慧农场、田园综合体等产业融合载体，建立利益联结紧密、配套服务完善、组织管理高效的示范平台，实现农业生产、农民生活、生态保护等多种功能的深度融合。</w:t>
      </w:r>
    </w:p>
    <w:p w14:paraId="6CBD48FF" w14:textId="77777777" w:rsidR="00B5342F" w:rsidRDefault="00000000">
      <w:pPr>
        <w:pStyle w:val="4"/>
        <w:keepNext w:val="0"/>
        <w:keepLines w:val="0"/>
        <w:wordWrap w:val="0"/>
        <w:topLinePunct/>
        <w:spacing w:before="0" w:after="0" w:line="240" w:lineRule="auto"/>
        <w:ind w:firstLineChars="200" w:firstLine="560"/>
        <w:rPr>
          <w:rFonts w:ascii="黑体" w:eastAsia="黑体" w:hAnsi="黑体" w:cs="黑体" w:hint="eastAsia"/>
          <w:b w:val="0"/>
          <w:bCs w:val="0"/>
        </w:rPr>
      </w:pPr>
      <w:r>
        <w:rPr>
          <w:rFonts w:ascii="黑体" w:eastAsia="黑体" w:hAnsi="黑体" w:cs="黑体" w:hint="eastAsia"/>
          <w:b w:val="0"/>
          <w:bCs w:val="0"/>
        </w:rPr>
        <w:t>三、强化科技服务支撑作用</w:t>
      </w:r>
    </w:p>
    <w:p w14:paraId="34A64597"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聚焦“农田、农机、农技”，促进农业科技化、水利化、机械化、生态化、信息化和标准化发展。加快高标准农田建设，加强农田水利、道路等基础设施建设，推动路成网、水成系、地成片。加强动物疫病防控网络建设，开展市兽医实验室检测能力达标行动，配齐村级动物防疫员，提高动物疫情监测预警预报能力、动物卫生监督能力和突发动物疫情应急处置能力。推进农业智能化建设，释放数据要素对农业贡献的叠加与倍增作用，不断革新农业生产技术，实现农业、水利、气象、地理数据资源的共享和主要作物精准监测。加强对科技带头人、</w:t>
      </w:r>
      <w:r>
        <w:rPr>
          <w:rFonts w:asciiTheme="minorEastAsia" w:hAnsiTheme="minorEastAsia" w:cstheme="minorEastAsia" w:hint="eastAsia"/>
          <w:sz w:val="28"/>
          <w:szCs w:val="28"/>
        </w:rPr>
        <w:lastRenderedPageBreak/>
        <w:t>种养规模经营大户、新型职业农民的劳动技能培训，逐步形成“专家+农技人员+基地+科技示范户”的农业科技信息服务推广模式。到2025年，全市重大动物疫病强制免疫病种免疫密度达到100%，免疫抗体合格率达到75%以上；全市新建高标准农田3.4万亩，改造提升3.5万亩；农业机械总动力稳定在20万千瓦，主要农作物综合机械化水平达到76%。</w:t>
      </w:r>
    </w:p>
    <w:tbl>
      <w:tblPr>
        <w:tblStyle w:val="af5"/>
        <w:tblW w:w="8380" w:type="dxa"/>
        <w:jc w:val="center"/>
        <w:tblLayout w:type="fixed"/>
        <w:tblLook w:val="04A0" w:firstRow="1" w:lastRow="0" w:firstColumn="1" w:lastColumn="0" w:noHBand="0" w:noVBand="1"/>
      </w:tblPr>
      <w:tblGrid>
        <w:gridCol w:w="1889"/>
        <w:gridCol w:w="6491"/>
      </w:tblGrid>
      <w:tr w:rsidR="00B5342F" w14:paraId="4B371945" w14:textId="77777777">
        <w:trPr>
          <w:trHeight w:val="463"/>
          <w:jc w:val="center"/>
        </w:trPr>
        <w:tc>
          <w:tcPr>
            <w:tcW w:w="8380" w:type="dxa"/>
            <w:gridSpan w:val="2"/>
            <w:vAlign w:val="center"/>
          </w:tcPr>
          <w:p w14:paraId="69C87B82" w14:textId="77777777" w:rsidR="00B5342F" w:rsidRDefault="00000000">
            <w:pPr>
              <w:wordWrap w:val="0"/>
              <w:topLinePunc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专栏2-9                水利及农业服务体系项目</w:t>
            </w:r>
          </w:p>
        </w:tc>
      </w:tr>
      <w:tr w:rsidR="00B5342F" w14:paraId="3B88EB0A" w14:textId="77777777">
        <w:trPr>
          <w:trHeight w:val="2341"/>
          <w:jc w:val="center"/>
        </w:trPr>
        <w:tc>
          <w:tcPr>
            <w:tcW w:w="1889" w:type="dxa"/>
            <w:vAlign w:val="center"/>
          </w:tcPr>
          <w:p w14:paraId="1BD14D40" w14:textId="77777777" w:rsidR="00B5342F" w:rsidRDefault="00000000">
            <w:pPr>
              <w:wordWrap w:val="0"/>
              <w:topLinePun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水利</w:t>
            </w:r>
          </w:p>
        </w:tc>
        <w:tc>
          <w:tcPr>
            <w:tcW w:w="6491" w:type="dxa"/>
          </w:tcPr>
          <w:p w14:paraId="478D5A47"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1.现代化灌区建设项目；</w:t>
            </w:r>
          </w:p>
          <w:p w14:paraId="14CD4151"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2.水库清淤工程项目；</w:t>
            </w:r>
          </w:p>
          <w:p w14:paraId="214F8D01"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3.灌区排渠清淤工程项目；</w:t>
            </w:r>
          </w:p>
          <w:p w14:paraId="03E12B45"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4.机电井自动化管理系统建设项目；</w:t>
            </w:r>
          </w:p>
          <w:p w14:paraId="7045A99D"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5.和田河大型灌区和田市灌区信息系统工程。</w:t>
            </w:r>
          </w:p>
        </w:tc>
      </w:tr>
      <w:tr w:rsidR="00B5342F" w14:paraId="498891CC" w14:textId="77777777">
        <w:trPr>
          <w:trHeight w:val="953"/>
          <w:jc w:val="center"/>
        </w:trPr>
        <w:tc>
          <w:tcPr>
            <w:tcW w:w="1889" w:type="dxa"/>
            <w:vAlign w:val="center"/>
          </w:tcPr>
          <w:p w14:paraId="0EADB3FB" w14:textId="77777777" w:rsidR="00B5342F" w:rsidRDefault="00000000">
            <w:pPr>
              <w:wordWrap w:val="0"/>
              <w:topLinePun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农业服务</w:t>
            </w:r>
          </w:p>
        </w:tc>
        <w:tc>
          <w:tcPr>
            <w:tcW w:w="6491" w:type="dxa"/>
          </w:tcPr>
          <w:p w14:paraId="38DE5364"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1.农产品质量检测中心检测能力提升项目；</w:t>
            </w:r>
          </w:p>
          <w:p w14:paraId="4431E770"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2.农产品质量监管体系项目。</w:t>
            </w:r>
          </w:p>
        </w:tc>
      </w:tr>
    </w:tbl>
    <w:p w14:paraId="174E1E59"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t>四、建设集约高效的组织服务体系</w:t>
      </w:r>
    </w:p>
    <w:p w14:paraId="2AEEEAA4"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推进新型经营主体组织化建设，降低市场风险和交易成本。夯实家庭农场和农民合作社基础地位，发挥龙头企业示范引领作用。系统开展农民职业教育，培养农民的合作精神与现代契约精神。构建“新型经营主体+社会化服务+适度规模经营”的农业现代化发展路径，破解“小农户与大市场”“小规模与现代化”之间的矛盾，促进小农户与现代农业发展有机衔接。到2025年，培育农业产业化龙头企业20家，其中：重点龙头企业5家以上，其中自治区级3家以上，国家级2家左右；农民专业合作社质量提升实现全覆盖，各级示范合作社达到5家以上；培育农机合作组织2个；进入家庭农场名录系统管理的农场达到50家以上，县级以上示范家庭农场达到5家以上；参与农业产业化联合体的家庭农场达到20%以上。</w:t>
      </w:r>
    </w:p>
    <w:tbl>
      <w:tblPr>
        <w:tblStyle w:val="af5"/>
        <w:tblW w:w="8300" w:type="dxa"/>
        <w:jc w:val="center"/>
        <w:tblLayout w:type="fixed"/>
        <w:tblLook w:val="04A0" w:firstRow="1" w:lastRow="0" w:firstColumn="1" w:lastColumn="0" w:noHBand="0" w:noVBand="1"/>
      </w:tblPr>
      <w:tblGrid>
        <w:gridCol w:w="8300"/>
      </w:tblGrid>
      <w:tr w:rsidR="00B5342F" w14:paraId="2FF11EF2" w14:textId="77777777">
        <w:trPr>
          <w:trHeight w:val="600"/>
          <w:jc w:val="center"/>
        </w:trPr>
        <w:tc>
          <w:tcPr>
            <w:tcW w:w="8300" w:type="dxa"/>
            <w:vAlign w:val="center"/>
          </w:tcPr>
          <w:p w14:paraId="2AAC52CC" w14:textId="77777777" w:rsidR="00B5342F" w:rsidRDefault="00000000">
            <w:pPr>
              <w:wordWrap w:val="0"/>
              <w:topLinePunct/>
              <w:rPr>
                <w:rFonts w:asciiTheme="minorEastAsia" w:hAnsiTheme="minorEastAsia" w:cstheme="minorEastAsia" w:hint="eastAsia"/>
                <w:sz w:val="24"/>
                <w:szCs w:val="24"/>
              </w:rPr>
            </w:pPr>
            <w:r>
              <w:rPr>
                <w:rFonts w:asciiTheme="minorEastAsia" w:hAnsiTheme="minorEastAsia" w:cstheme="minorEastAsia" w:hint="eastAsia"/>
                <w:bCs/>
                <w:sz w:val="24"/>
                <w:szCs w:val="24"/>
              </w:rPr>
              <w:lastRenderedPageBreak/>
              <w:t>专栏2-10               现代农业经营体系建设工程</w:t>
            </w:r>
          </w:p>
        </w:tc>
      </w:tr>
      <w:tr w:rsidR="00B5342F" w14:paraId="1ECDF319" w14:textId="77777777">
        <w:trPr>
          <w:trHeight w:val="1238"/>
          <w:jc w:val="center"/>
        </w:trPr>
        <w:tc>
          <w:tcPr>
            <w:tcW w:w="8300" w:type="dxa"/>
            <w:vAlign w:val="center"/>
          </w:tcPr>
          <w:p w14:paraId="503D04A7"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1.新型农业经营主体培育工程；</w:t>
            </w:r>
          </w:p>
          <w:p w14:paraId="4FE8533C" w14:textId="77777777" w:rsidR="00B5342F" w:rsidRDefault="00000000">
            <w:pPr>
              <w:wordWrap w:val="0"/>
              <w:topLinePunct/>
              <w:spacing w:line="360" w:lineRule="auto"/>
              <w:ind w:firstLineChars="200" w:firstLine="480"/>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2.农机合作组织培育工程。</w:t>
            </w:r>
          </w:p>
        </w:tc>
      </w:tr>
    </w:tbl>
    <w:p w14:paraId="5DF3D8CD" w14:textId="77777777" w:rsidR="00B5342F" w:rsidRDefault="00B5342F">
      <w:pPr>
        <w:pStyle w:val="20"/>
        <w:keepNext w:val="0"/>
        <w:keepLines w:val="0"/>
        <w:wordWrap w:val="0"/>
        <w:topLinePunct/>
        <w:spacing w:before="0" w:after="0" w:line="240" w:lineRule="auto"/>
        <w:jc w:val="center"/>
        <w:rPr>
          <w:rFonts w:ascii="方正小标宋简体" w:eastAsia="方正小标宋简体" w:hAnsi="方正小标宋简体" w:cs="方正小标宋简体" w:hint="eastAsia"/>
          <w:b w:val="0"/>
          <w:bCs w:val="0"/>
        </w:rPr>
      </w:pPr>
      <w:bookmarkStart w:id="87" w:name="_Toc30001"/>
      <w:bookmarkStart w:id="88" w:name="_Toc7032"/>
      <w:bookmarkStart w:id="89" w:name="_Toc6221"/>
      <w:bookmarkStart w:id="90" w:name="_Toc12567"/>
      <w:bookmarkStart w:id="91" w:name="_Toc29108"/>
      <w:bookmarkStart w:id="92" w:name="_Toc29074"/>
      <w:bookmarkStart w:id="93" w:name="_Toc64715923"/>
    </w:p>
    <w:p w14:paraId="6ED11EB1" w14:textId="77777777" w:rsidR="00B5342F" w:rsidRDefault="00000000">
      <w:pPr>
        <w:pStyle w:val="20"/>
        <w:keepNext w:val="0"/>
        <w:keepLines w:val="0"/>
        <w:wordWrap w:val="0"/>
        <w:topLinePunct/>
        <w:spacing w:before="0" w:after="0" w:line="540" w:lineRule="exact"/>
        <w:jc w:val="center"/>
        <w:rPr>
          <w:rFonts w:ascii="方正小标宋简体" w:eastAsia="方正小标宋简体" w:hAnsi="方正小标宋简体" w:cs="方正小标宋简体" w:hint="eastAsia"/>
          <w:b w:val="0"/>
          <w:bCs w:val="0"/>
        </w:rPr>
      </w:pPr>
      <w:r>
        <w:rPr>
          <w:rFonts w:ascii="方正小标宋简体" w:eastAsia="方正小标宋简体" w:hAnsi="方正小标宋简体" w:cs="方正小标宋简体" w:hint="eastAsia"/>
          <w:b w:val="0"/>
          <w:bCs w:val="0"/>
        </w:rPr>
        <w:t>第三章  提升城市首位度  促进形成新发展格局</w:t>
      </w:r>
      <w:bookmarkEnd w:id="87"/>
      <w:bookmarkEnd w:id="88"/>
      <w:bookmarkEnd w:id="89"/>
      <w:bookmarkEnd w:id="90"/>
      <w:bookmarkEnd w:id="91"/>
    </w:p>
    <w:p w14:paraId="67934D8E"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以人民为中心的发展思想，贯彻落实新发展理念，把握城市发展规律，注重科学统筹和整体谋划，坚持当前与长远相统一、人与自然相和谐，统筹做好城市建设这篇大文章，使城市空间布局更合理、功能更完备、环境更优美，全面提升城市宜业宜商宜居宜游功能品质，不断满足人民群众对美好生活的向往。</w:t>
      </w:r>
    </w:p>
    <w:p w14:paraId="19133819" w14:textId="77777777" w:rsidR="00B5342F" w:rsidRDefault="00B5342F">
      <w:pPr>
        <w:pStyle w:val="2"/>
        <w:wordWrap w:val="0"/>
        <w:topLinePunct/>
        <w:ind w:firstLine="640"/>
      </w:pPr>
    </w:p>
    <w:p w14:paraId="115BE60F"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94" w:name="_Toc22307"/>
      <w:bookmarkStart w:id="95" w:name="_Toc29156"/>
      <w:bookmarkStart w:id="96" w:name="_Toc24379"/>
      <w:bookmarkStart w:id="97" w:name="_Toc4830"/>
      <w:bookmarkStart w:id="98" w:name="_Toc26192"/>
      <w:r>
        <w:rPr>
          <w:rFonts w:ascii="黑体" w:eastAsia="黑体" w:hAnsi="黑体" w:cs="黑体" w:hint="eastAsia"/>
          <w:b w:val="0"/>
          <w:bCs w:val="0"/>
          <w:sz w:val="28"/>
          <w:szCs w:val="28"/>
        </w:rPr>
        <w:t>第一节  优化城市空间格局</w:t>
      </w:r>
      <w:bookmarkEnd w:id="94"/>
      <w:bookmarkEnd w:id="95"/>
      <w:bookmarkEnd w:id="96"/>
      <w:bookmarkEnd w:id="97"/>
      <w:bookmarkEnd w:id="98"/>
    </w:p>
    <w:p w14:paraId="0D959229"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科学划定城镇、农业、生态空间和生态保护红线、永久基本农田保护红线、城镇开发边界“三区三线”，在总量锁定、底线约束的前提下，保留发展弹性，实施全域统筹、城乡联动、轴带展开、生态间隔、组团发展的城市空间发展战略，强化空间、总量、准入环境管理，真正实现“一张蓝图干到底”。</w:t>
      </w:r>
    </w:p>
    <w:p w14:paraId="3E14F806"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一、国土空间格局</w:t>
      </w:r>
    </w:p>
    <w:p w14:paraId="457BE2CF" w14:textId="77777777" w:rsidR="00B5342F" w:rsidRDefault="00000000">
      <w:pPr>
        <w:pStyle w:val="ab"/>
        <w:wordWrap w:val="0"/>
        <w:topLinePunct/>
        <w:spacing w:line="560" w:lineRule="exact"/>
        <w:rPr>
          <w:rFonts w:asciiTheme="minorEastAsia" w:hAnsiTheme="minorEastAsia" w:cstheme="minorEastAsia" w:hint="eastAsia"/>
          <w:sz w:val="28"/>
          <w:szCs w:val="28"/>
        </w:rPr>
      </w:pPr>
      <w:r>
        <w:rPr>
          <w:rFonts w:asciiTheme="minorEastAsia" w:hAnsiTheme="minorEastAsia" w:cstheme="minorEastAsia" w:hint="eastAsia"/>
          <w:sz w:val="28"/>
          <w:szCs w:val="28"/>
        </w:rPr>
        <w:t xml:space="preserve">   强化中心城区适度集聚、外部组团有机分散，按照“和和墨洛”一体化、“和和同城”为发展方向，沿交通干线轴向外拓，拓展发展腹地，优化和田市“一带两轴两屏、一核五团多点”的国土空间总体格局。以玉龙喀什河为和田的生态保育、产城发展纽带。沿G315城镇发展轴重点向城市北侧、东侧、西侧三个方向辐射拓展，形成和田发展的核心地区。强化南北向产业发展轴，连接中心城区、北京工业</w:t>
      </w:r>
      <w:r>
        <w:rPr>
          <w:rFonts w:asciiTheme="minorEastAsia" w:hAnsiTheme="minorEastAsia" w:cstheme="minorEastAsia" w:hint="eastAsia"/>
          <w:sz w:val="28"/>
          <w:szCs w:val="28"/>
        </w:rPr>
        <w:lastRenderedPageBreak/>
        <w:t>园、职教园区、空港、北部物流园区。南部戈壁、北部沙漠生态屏障加强防风固沙建设。以主城区为综合服务核心，带动周边协同发展。由主城区、北部生活组团、北部产业组团、东部产业组团、临空组团以及乡镇节点形成“五团多点”，促进协同发展。</w:t>
      </w:r>
    </w:p>
    <w:p w14:paraId="3CB8F6DE"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二、生态空间格局</w:t>
      </w:r>
    </w:p>
    <w:p w14:paraId="1EE36A0F"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以生态治理为重点，构建“一带四区、一环八廊多点”的生态空间格局。一带：玉龙喀什河生态游憩带；四区：北部沙漠生态区、中部绿洲保育区、城镇发展建设区、南部荒漠生态区；一环八廊：主城区周边由水库、湿地、防沙治沙绿地构成“环城绿廊”，结合主要交通廊道，由主城区建设发散状“四横四纵”生态廊道；多点：湿地、公园、河湖水系组成的点状生态空间。</w:t>
      </w:r>
    </w:p>
    <w:p w14:paraId="156878E6"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三、城镇空间格局</w:t>
      </w:r>
    </w:p>
    <w:p w14:paraId="63F2D2EA"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推进伊里其乡、古江巴格乡、肖尔巴格乡撤乡设街道，吉亚乡撤乡设镇，加强中心城区辐射带动作用，促进中心城区、小城镇协调发展，优化“一核两副、一轴一带”城镇空间格局。</w:t>
      </w:r>
      <w:r>
        <w:rPr>
          <w:rFonts w:asciiTheme="minorEastAsia" w:hAnsiTheme="minorEastAsia" w:cstheme="minorEastAsia" w:hint="eastAsia"/>
          <w:b/>
          <w:sz w:val="28"/>
          <w:szCs w:val="28"/>
        </w:rPr>
        <w:t>一核两副：</w:t>
      </w:r>
      <w:r>
        <w:rPr>
          <w:rFonts w:asciiTheme="minorEastAsia" w:hAnsiTheme="minorEastAsia" w:cstheme="minorEastAsia" w:hint="eastAsia"/>
          <w:sz w:val="28"/>
          <w:szCs w:val="28"/>
        </w:rPr>
        <w:t>一核为和田市中心城区，两副为拉斯奎镇、玉龙喀什镇；</w:t>
      </w:r>
      <w:r>
        <w:rPr>
          <w:rFonts w:asciiTheme="minorEastAsia" w:hAnsiTheme="minorEastAsia" w:cstheme="minorEastAsia" w:hint="eastAsia"/>
          <w:b/>
          <w:sz w:val="28"/>
          <w:szCs w:val="28"/>
        </w:rPr>
        <w:t>一轴一带：</w:t>
      </w:r>
      <w:r>
        <w:rPr>
          <w:rFonts w:asciiTheme="minorEastAsia" w:hAnsiTheme="minorEastAsia" w:cstheme="minorEastAsia" w:hint="eastAsia"/>
          <w:sz w:val="28"/>
          <w:szCs w:val="28"/>
        </w:rPr>
        <w:t>沿315国道城镇发展轴、中部“城-园-镇”联动发展带。</w:t>
      </w:r>
    </w:p>
    <w:p w14:paraId="75924028"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四、产业空间格局</w:t>
      </w:r>
    </w:p>
    <w:p w14:paraId="06B446FB"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增强枢纽与现代服务职能，打造“一主双核、两心三轴、一环多点”的一二三产联动发展新格局。</w:t>
      </w:r>
      <w:r>
        <w:rPr>
          <w:rFonts w:asciiTheme="minorEastAsia" w:hAnsiTheme="minorEastAsia" w:cstheme="minorEastAsia" w:hint="eastAsia"/>
          <w:b/>
          <w:sz w:val="28"/>
          <w:szCs w:val="28"/>
        </w:rPr>
        <w:t>一主双核：</w:t>
      </w:r>
      <w:r>
        <w:rPr>
          <w:rFonts w:asciiTheme="minorEastAsia" w:hAnsiTheme="minorEastAsia" w:cstheme="minorEastAsia" w:hint="eastAsia"/>
          <w:sz w:val="28"/>
          <w:szCs w:val="28"/>
        </w:rPr>
        <w:t>主城区综合服务核，东部产业制造核；</w:t>
      </w:r>
      <w:r>
        <w:rPr>
          <w:rFonts w:asciiTheme="minorEastAsia" w:hAnsiTheme="minorEastAsia" w:cstheme="minorEastAsia" w:hint="eastAsia"/>
          <w:b/>
          <w:sz w:val="28"/>
          <w:szCs w:val="28"/>
        </w:rPr>
        <w:t>两心：</w:t>
      </w:r>
      <w:r>
        <w:rPr>
          <w:rFonts w:asciiTheme="minorEastAsia" w:hAnsiTheme="minorEastAsia" w:cstheme="minorEastAsia" w:hint="eastAsia"/>
          <w:sz w:val="28"/>
          <w:szCs w:val="28"/>
        </w:rPr>
        <w:t>北部物流园区中心、南部临空经济区中心；</w:t>
      </w:r>
      <w:r>
        <w:rPr>
          <w:rFonts w:asciiTheme="minorEastAsia" w:hAnsiTheme="minorEastAsia" w:cstheme="minorEastAsia" w:hint="eastAsia"/>
          <w:b/>
          <w:sz w:val="28"/>
          <w:szCs w:val="28"/>
        </w:rPr>
        <w:t>三轴：</w:t>
      </w:r>
      <w:r>
        <w:rPr>
          <w:rFonts w:asciiTheme="minorEastAsia" w:hAnsiTheme="minorEastAsia" w:cstheme="minorEastAsia" w:hint="eastAsia"/>
          <w:sz w:val="28"/>
          <w:szCs w:val="28"/>
        </w:rPr>
        <w:t>由中心城区向北连接北部物流园，向东连接玉龙喀什镇，向南连接临空经济区形成三条产业发展轴。</w:t>
      </w:r>
      <w:r>
        <w:rPr>
          <w:rFonts w:asciiTheme="minorEastAsia" w:hAnsiTheme="minorEastAsia" w:cstheme="minorEastAsia" w:hint="eastAsia"/>
          <w:b/>
          <w:sz w:val="28"/>
          <w:szCs w:val="28"/>
        </w:rPr>
        <w:t>一环多点”：</w:t>
      </w:r>
      <w:r>
        <w:rPr>
          <w:rFonts w:asciiTheme="minorEastAsia" w:hAnsiTheme="minorEastAsia" w:cstheme="minorEastAsia" w:hint="eastAsia"/>
          <w:sz w:val="28"/>
          <w:szCs w:val="28"/>
        </w:rPr>
        <w:t>集中建设区外围，结合生态、农业、文旅节点形成生态文旅发展环。</w:t>
      </w:r>
    </w:p>
    <w:p w14:paraId="4D13B5D1" w14:textId="77777777" w:rsidR="00B5342F" w:rsidRDefault="00000000">
      <w:pPr>
        <w:pStyle w:val="20"/>
        <w:keepNext w:val="0"/>
        <w:keepLines w:val="0"/>
        <w:wordWrap w:val="0"/>
        <w:topLinePunct/>
        <w:spacing w:before="0" w:after="0" w:line="540" w:lineRule="exact"/>
        <w:jc w:val="center"/>
        <w:rPr>
          <w:rFonts w:ascii="黑体" w:eastAsia="黑体" w:hAnsi="黑体" w:cs="黑体" w:hint="eastAsia"/>
          <w:b w:val="0"/>
          <w:bCs w:val="0"/>
          <w:sz w:val="28"/>
          <w:szCs w:val="28"/>
        </w:rPr>
      </w:pPr>
      <w:bookmarkStart w:id="99" w:name="_Toc20269"/>
      <w:bookmarkStart w:id="100" w:name="_Toc11613"/>
      <w:bookmarkStart w:id="101" w:name="_Toc22995"/>
      <w:bookmarkStart w:id="102" w:name="_Toc12946"/>
      <w:bookmarkStart w:id="103" w:name="_Toc12747"/>
      <w:r>
        <w:rPr>
          <w:rFonts w:ascii="黑体" w:eastAsia="黑体" w:hAnsi="黑体" w:cs="黑体" w:hint="eastAsia"/>
          <w:b w:val="0"/>
          <w:bCs w:val="0"/>
          <w:sz w:val="28"/>
          <w:szCs w:val="28"/>
        </w:rPr>
        <w:lastRenderedPageBreak/>
        <w:t>第二节  提升城市品质风貌</w:t>
      </w:r>
      <w:bookmarkEnd w:id="99"/>
      <w:bookmarkEnd w:id="100"/>
      <w:bookmarkEnd w:id="101"/>
      <w:bookmarkEnd w:id="102"/>
      <w:bookmarkEnd w:id="103"/>
    </w:p>
    <w:p w14:paraId="0832FA55"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坚持高起点规划、高标准建设、高效能管理，把新城区建设、老城区改造与完善城市功能充分结合，着力提升城市综合承载能力，优化城市环境，彰显特色。</w:t>
      </w:r>
    </w:p>
    <w:p w14:paraId="26BA3578"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t>一、高标准建设重点功能区块</w:t>
      </w:r>
    </w:p>
    <w:p w14:paraId="50A204F9"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以“西优、东扩、北拓、南限”的发展方向，弥合各发展片区“跳跃式”分布现状，将北部物流园区、和田东站纳入城镇空间，形成发展合力。“西优”：优化河西老城区及周边拓展地区。结合建成区周边棚户区（城中村）改造优化更新北部、西部用地，加强与站前区对接，加强建成区南部内涵挖潜。“东扩”：扩展东部产业空间。结合东部北京工业园，借势和田东站，有效利用沙漠资源扩展产业空间。“北拓”：拓展北部“和-和”融合区。结合北部物流园区重大项目，适当拓展产业空间；借势北部站前新城建设，加强“和-和”互联互通。“南限”：南部临空片区点状发展。纳入独立发展的临空经济区，受生态水库、湿地影响，避免大规模集中建设行为。</w:t>
      </w:r>
    </w:p>
    <w:p w14:paraId="72A5B020"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应对城市规模拓展，形成双十字、多中心的城区发展框架，串联各发展片区。城市主轴：以乌鲁木齐路-迎宾路、北京路为依托，具备重要城市服务职能、景观展示职能、空间联系职能的核心轴线；城市副轴：以玉河-阿和公路、规划站前路为依托，构建城市产城组团联动的城市副轴，促进中心城市区共同发展，增强城市竞争力；一核：老城综合服务核心；三心：北部站前门户中心，南部环湖活力中心，东部产城发展中心；八片：以老城综合服务区为中心，优化北部站前门户区、南部环湖生态区，更新滨河产城融合区功能，拓展北部、西部两处宜居生活区，整合外围东部产业活力区、北部商贸物流区、机场临空经济区产业片区。</w:t>
      </w:r>
    </w:p>
    <w:p w14:paraId="5962BC80"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二、持续实施城市有机更新</w:t>
      </w:r>
    </w:p>
    <w:p w14:paraId="3BE66486"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强北部改造优化、南部内涵挖潜，建设海绵城市、韧性城市，实施城市生态修复、功能完善工程。实施老旧小区改造项目，提升住房产品设计和建设品质，不断改善城市居住条件。加快构建以市场为主满足多层次需求、以政府为主提供基本保障、以租购双渠道解决住房问题的供应模式。以更高的标准推进市区道路综合整治，开展城市道路绿化亮化美化提升行动，持续打造一批整治样板道路，提升城市道路品质和形象。</w:t>
      </w:r>
    </w:p>
    <w:p w14:paraId="10AB4359"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t>三、着力塑造城市特色风貌</w:t>
      </w:r>
    </w:p>
    <w:p w14:paraId="15435892" w14:textId="77777777" w:rsidR="00B5342F" w:rsidRDefault="00000000">
      <w:pPr>
        <w:pStyle w:val="ab"/>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顺应城市发展逻辑和文化传承，加强建筑设计和城市风貌管理，推进“一心一带”城市设计，构建城市特色感知体系。一心，即中心城区，是和田市核心风貌集中展现地；一带，即玉龙喀什河景观带。彰显自然人文魅力，聚焦修复城乡水系景观，营造城乡绿化景观，延续建筑色彩印象，控制城乡规模体量，展现城市细部魅力，突出时代风格特点，塑造“蓝色、绿色、驼色 · 平缓、精致、现代”的城乡风貌。</w:t>
      </w:r>
    </w:p>
    <w:p w14:paraId="53A98519" w14:textId="77777777" w:rsidR="00B5342F" w:rsidRDefault="00000000">
      <w:pPr>
        <w:pStyle w:val="4"/>
        <w:keepNext w:val="0"/>
        <w:keepLines w:val="0"/>
        <w:wordWrap w:val="0"/>
        <w:topLinePunct/>
        <w:spacing w:before="0" w:after="0" w:line="540" w:lineRule="exact"/>
        <w:ind w:firstLineChars="200" w:firstLine="560"/>
        <w:rPr>
          <w:rFonts w:ascii="黑体" w:eastAsia="黑体" w:hAnsi="黑体" w:cs="黑体" w:hint="eastAsia"/>
          <w:b w:val="0"/>
          <w:bCs w:val="0"/>
        </w:rPr>
      </w:pPr>
      <w:r>
        <w:rPr>
          <w:rFonts w:ascii="黑体" w:eastAsia="黑体" w:hAnsi="黑体" w:cs="黑体" w:hint="eastAsia"/>
          <w:b w:val="0"/>
          <w:bCs w:val="0"/>
        </w:rPr>
        <w:t>四、改善公共服务设施条件</w:t>
      </w:r>
    </w:p>
    <w:p w14:paraId="2963E26E" w14:textId="77777777" w:rsidR="00B5342F" w:rsidRDefault="00000000">
      <w:pPr>
        <w:pStyle w:val="ab"/>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优化城市交通体系，推进315国道改线，打造“环网放射”的对外路网，完善中心城区路网架构，加强城市公共交通建设，便捷百姓出行，逐步实现枢纽强市、市域一体、品质发展。加快供电、供水、供气、通讯、照明、污水管网配套、防洪排涝工程等基础设施建设，提升城市承载能力。按照城市居民出行“300米见绿、500米见园”的要求，扩大人均公共绿地占有量。到2025年人均绿地面积达到12平方米以上。加强城市地下空间开发利用，推动城市地下综合管廊建设。完善停车场、社区菜市场、便利店、物流配送等社区配套服务设</w:t>
      </w:r>
      <w:r>
        <w:rPr>
          <w:rFonts w:asciiTheme="minorEastAsia" w:hAnsiTheme="minorEastAsia" w:cstheme="minorEastAsia" w:hint="eastAsia"/>
          <w:sz w:val="28"/>
          <w:szCs w:val="28"/>
        </w:rPr>
        <w:lastRenderedPageBreak/>
        <w:t>施，打造“15分钟生活圈”，提高居民生活便利性。深入实施“厕所革命”，全面提升公厕建设服务品质，中心城区公厕基本达到旅游厕所标准。大力推进生活垃圾分类体系建设，开展生活垃圾分类试点示范，到2025年生活垃圾分类达到自治区先进水平。</w:t>
      </w:r>
    </w:p>
    <w:tbl>
      <w:tblPr>
        <w:tblStyle w:val="af5"/>
        <w:tblW w:w="8380" w:type="dxa"/>
        <w:jc w:val="center"/>
        <w:tblLayout w:type="fixed"/>
        <w:tblLook w:val="04A0" w:firstRow="1" w:lastRow="0" w:firstColumn="1" w:lastColumn="0" w:noHBand="0" w:noVBand="1"/>
      </w:tblPr>
      <w:tblGrid>
        <w:gridCol w:w="1003"/>
        <w:gridCol w:w="7377"/>
      </w:tblGrid>
      <w:tr w:rsidR="00B5342F" w14:paraId="288D161B" w14:textId="77777777">
        <w:trPr>
          <w:trHeight w:val="541"/>
          <w:jc w:val="center"/>
        </w:trPr>
        <w:tc>
          <w:tcPr>
            <w:tcW w:w="8380" w:type="dxa"/>
            <w:gridSpan w:val="2"/>
            <w:vAlign w:val="center"/>
          </w:tcPr>
          <w:p w14:paraId="77F26156" w14:textId="77777777" w:rsidR="00B5342F" w:rsidRDefault="00000000">
            <w:pPr>
              <w:wordWrap w:val="0"/>
              <w:topLinePunct/>
              <w:spacing w:line="400" w:lineRule="exac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专栏3-1                基础设施建设项目</w:t>
            </w:r>
          </w:p>
        </w:tc>
      </w:tr>
      <w:tr w:rsidR="00B5342F" w14:paraId="29DDD8BC" w14:textId="77777777">
        <w:trPr>
          <w:trHeight w:val="3176"/>
          <w:jc w:val="center"/>
        </w:trPr>
        <w:tc>
          <w:tcPr>
            <w:tcW w:w="1003" w:type="dxa"/>
            <w:vAlign w:val="center"/>
          </w:tcPr>
          <w:p w14:paraId="4795D902" w14:textId="77777777" w:rsidR="00B5342F" w:rsidRDefault="00000000">
            <w:pPr>
              <w:wordWrap w:val="0"/>
              <w:topLinePunct/>
              <w:spacing w:line="40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交通</w:t>
            </w:r>
          </w:p>
        </w:tc>
        <w:tc>
          <w:tcPr>
            <w:tcW w:w="7377" w:type="dxa"/>
          </w:tcPr>
          <w:p w14:paraId="5AB2FB57" w14:textId="77777777" w:rsidR="00B5342F" w:rsidRDefault="00000000">
            <w:pPr>
              <w:wordWrap w:val="0"/>
              <w:topLinePunct/>
              <w:spacing w:line="400" w:lineRule="exact"/>
              <w:ind w:firstLineChars="200" w:firstLine="480"/>
              <w:rPr>
                <w:sz w:val="24"/>
                <w:szCs w:val="24"/>
              </w:rPr>
            </w:pPr>
            <w:r>
              <w:rPr>
                <w:rFonts w:hint="eastAsia"/>
                <w:sz w:val="24"/>
                <w:szCs w:val="24"/>
              </w:rPr>
              <w:t>1.G315</w:t>
            </w:r>
            <w:r>
              <w:rPr>
                <w:rFonts w:hint="eastAsia"/>
                <w:sz w:val="24"/>
                <w:szCs w:val="24"/>
              </w:rPr>
              <w:t>洛浦</w:t>
            </w:r>
            <w:r>
              <w:rPr>
                <w:rFonts w:hint="eastAsia"/>
                <w:sz w:val="24"/>
                <w:szCs w:val="24"/>
              </w:rPr>
              <w:t>-</w:t>
            </w:r>
            <w:r>
              <w:rPr>
                <w:rFonts w:hint="eastAsia"/>
                <w:sz w:val="24"/>
                <w:szCs w:val="24"/>
              </w:rPr>
              <w:t>和田</w:t>
            </w:r>
            <w:r>
              <w:rPr>
                <w:rFonts w:hint="eastAsia"/>
                <w:sz w:val="24"/>
                <w:szCs w:val="24"/>
              </w:rPr>
              <w:t>-</w:t>
            </w:r>
            <w:r>
              <w:rPr>
                <w:rFonts w:hint="eastAsia"/>
                <w:sz w:val="24"/>
                <w:szCs w:val="24"/>
              </w:rPr>
              <w:t>墨玉干线公路建设项目；</w:t>
            </w:r>
          </w:p>
          <w:p w14:paraId="1F611BBD" w14:textId="77777777" w:rsidR="00B5342F" w:rsidRDefault="00000000">
            <w:pPr>
              <w:wordWrap w:val="0"/>
              <w:topLinePunct/>
              <w:spacing w:line="400" w:lineRule="exact"/>
              <w:ind w:firstLineChars="200" w:firstLine="480"/>
              <w:rPr>
                <w:sz w:val="24"/>
                <w:szCs w:val="24"/>
              </w:rPr>
            </w:pPr>
            <w:r>
              <w:rPr>
                <w:rFonts w:hint="eastAsia"/>
                <w:sz w:val="24"/>
                <w:szCs w:val="24"/>
              </w:rPr>
              <w:t>2.</w:t>
            </w:r>
            <w:r>
              <w:rPr>
                <w:rFonts w:hint="eastAsia"/>
                <w:sz w:val="24"/>
                <w:szCs w:val="24"/>
              </w:rPr>
              <w:t>和田市</w:t>
            </w:r>
            <w:r>
              <w:rPr>
                <w:rFonts w:hint="eastAsia"/>
                <w:sz w:val="24"/>
                <w:szCs w:val="24"/>
              </w:rPr>
              <w:t>-</w:t>
            </w:r>
            <w:r>
              <w:rPr>
                <w:rFonts w:hint="eastAsia"/>
                <w:sz w:val="24"/>
                <w:szCs w:val="24"/>
              </w:rPr>
              <w:t>桥头</w:t>
            </w:r>
            <w:r>
              <w:rPr>
                <w:rFonts w:hint="eastAsia"/>
                <w:sz w:val="24"/>
                <w:szCs w:val="24"/>
              </w:rPr>
              <w:t>S326-S216</w:t>
            </w:r>
            <w:r>
              <w:rPr>
                <w:rFonts w:hint="eastAsia"/>
                <w:sz w:val="24"/>
                <w:szCs w:val="24"/>
              </w:rPr>
              <w:t>高速入口道路建设项目；</w:t>
            </w:r>
          </w:p>
          <w:p w14:paraId="6B71E10C" w14:textId="77777777" w:rsidR="00B5342F" w:rsidRDefault="00000000">
            <w:pPr>
              <w:wordWrap w:val="0"/>
              <w:topLinePunct/>
              <w:spacing w:line="400" w:lineRule="exact"/>
              <w:ind w:firstLineChars="200" w:firstLine="480"/>
              <w:rPr>
                <w:sz w:val="24"/>
                <w:szCs w:val="24"/>
              </w:rPr>
            </w:pPr>
            <w:r>
              <w:rPr>
                <w:sz w:val="24"/>
                <w:szCs w:val="24"/>
              </w:rPr>
              <w:t>3.</w:t>
            </w:r>
            <w:r>
              <w:rPr>
                <w:sz w:val="24"/>
                <w:szCs w:val="24"/>
              </w:rPr>
              <w:t>京通大道等城区道路（包括人行道）建设项目；</w:t>
            </w:r>
          </w:p>
          <w:p w14:paraId="0AD37CD4" w14:textId="77777777" w:rsidR="00B5342F" w:rsidRDefault="00000000">
            <w:pPr>
              <w:wordWrap w:val="0"/>
              <w:topLinePunct/>
              <w:spacing w:line="400" w:lineRule="exact"/>
              <w:ind w:firstLineChars="200" w:firstLine="480"/>
              <w:rPr>
                <w:sz w:val="24"/>
                <w:szCs w:val="24"/>
              </w:rPr>
            </w:pPr>
            <w:r>
              <w:rPr>
                <w:rFonts w:hint="eastAsia"/>
                <w:sz w:val="24"/>
                <w:szCs w:val="24"/>
              </w:rPr>
              <w:t>4.</w:t>
            </w:r>
            <w:r>
              <w:rPr>
                <w:rFonts w:hint="eastAsia"/>
                <w:sz w:val="24"/>
                <w:szCs w:val="24"/>
              </w:rPr>
              <w:t>农村公路新建和改造项目；</w:t>
            </w:r>
          </w:p>
          <w:p w14:paraId="6E68810B" w14:textId="77777777" w:rsidR="00B5342F" w:rsidRDefault="00000000">
            <w:pPr>
              <w:wordWrap w:val="0"/>
              <w:topLinePunct/>
              <w:spacing w:line="400" w:lineRule="exact"/>
              <w:ind w:firstLineChars="200" w:firstLine="480"/>
              <w:rPr>
                <w:sz w:val="24"/>
                <w:szCs w:val="24"/>
              </w:rPr>
            </w:pPr>
            <w:r>
              <w:rPr>
                <w:rFonts w:hint="eastAsia"/>
                <w:sz w:val="24"/>
                <w:szCs w:val="24"/>
              </w:rPr>
              <w:t>5.Y014</w:t>
            </w:r>
            <w:r>
              <w:rPr>
                <w:rFonts w:hint="eastAsia"/>
                <w:sz w:val="24"/>
                <w:szCs w:val="24"/>
              </w:rPr>
              <w:t>线新建桥梁和乡镇危桥改造项目；</w:t>
            </w:r>
          </w:p>
          <w:p w14:paraId="3A2B6D65" w14:textId="77777777" w:rsidR="00B5342F" w:rsidRDefault="00000000">
            <w:pPr>
              <w:wordWrap w:val="0"/>
              <w:topLinePunct/>
              <w:spacing w:line="400" w:lineRule="exact"/>
              <w:ind w:firstLineChars="200" w:firstLine="480"/>
              <w:rPr>
                <w:sz w:val="24"/>
                <w:szCs w:val="24"/>
              </w:rPr>
            </w:pPr>
            <w:r>
              <w:rPr>
                <w:sz w:val="24"/>
                <w:szCs w:val="24"/>
              </w:rPr>
              <w:t>6.</w:t>
            </w:r>
            <w:r>
              <w:rPr>
                <w:sz w:val="24"/>
                <w:szCs w:val="24"/>
              </w:rPr>
              <w:t>改扩建西郊、</w:t>
            </w:r>
            <w:r>
              <w:rPr>
                <w:rFonts w:hint="eastAsia"/>
                <w:sz w:val="24"/>
                <w:szCs w:val="24"/>
              </w:rPr>
              <w:t>东</w:t>
            </w:r>
            <w:r>
              <w:rPr>
                <w:sz w:val="24"/>
                <w:szCs w:val="24"/>
              </w:rPr>
              <w:t>郊客运站项目。</w:t>
            </w:r>
          </w:p>
          <w:p w14:paraId="2F1092D6" w14:textId="77777777" w:rsidR="00B5342F" w:rsidRDefault="00000000">
            <w:pPr>
              <w:pStyle w:val="2"/>
              <w:wordWrap w:val="0"/>
              <w:topLinePunct/>
              <w:spacing w:line="400" w:lineRule="exact"/>
              <w:ind w:firstLineChars="0" w:firstLine="0"/>
              <w:rPr>
                <w:rFonts w:eastAsiaTheme="minorEastAsia"/>
                <w:sz w:val="24"/>
                <w:szCs w:val="24"/>
              </w:rPr>
            </w:pPr>
            <w:r>
              <w:rPr>
                <w:rFonts w:asciiTheme="minorEastAsia" w:eastAsiaTheme="minorEastAsia" w:hAnsiTheme="minorEastAsia" w:cstheme="minorEastAsia" w:hint="eastAsia"/>
                <w:sz w:val="24"/>
                <w:szCs w:val="24"/>
              </w:rPr>
              <w:t xml:space="preserve"> </w:t>
            </w:r>
            <w:r>
              <w:rPr>
                <w:rFonts w:asciiTheme="minorHAnsi" w:eastAsiaTheme="minorEastAsia" w:hAnsiTheme="minorHAnsi"/>
                <w:sz w:val="24"/>
                <w:szCs w:val="24"/>
              </w:rPr>
              <w:t xml:space="preserve">  7.</w:t>
            </w:r>
            <w:r>
              <w:rPr>
                <w:rFonts w:asciiTheme="minorHAnsi" w:eastAsiaTheme="minorEastAsia" w:hAnsiTheme="minorHAnsi"/>
                <w:sz w:val="24"/>
                <w:szCs w:val="24"/>
              </w:rPr>
              <w:t>新建迎宾路北延、古江南路延伸等</w:t>
            </w:r>
            <w:r>
              <w:rPr>
                <w:rFonts w:asciiTheme="minorHAnsi" w:eastAsiaTheme="minorEastAsia" w:hAnsiTheme="minorHAnsi"/>
                <w:sz w:val="24"/>
                <w:szCs w:val="24"/>
              </w:rPr>
              <w:t>10</w:t>
            </w:r>
            <w:r>
              <w:rPr>
                <w:rFonts w:asciiTheme="minorHAnsi" w:eastAsiaTheme="minorEastAsia" w:hAnsiTheme="minorHAnsi"/>
                <w:sz w:val="24"/>
                <w:szCs w:val="24"/>
              </w:rPr>
              <w:t>条断头路。</w:t>
            </w:r>
          </w:p>
        </w:tc>
      </w:tr>
      <w:tr w:rsidR="00B5342F" w14:paraId="4FB6B5EA" w14:textId="77777777">
        <w:trPr>
          <w:trHeight w:val="3176"/>
          <w:jc w:val="center"/>
        </w:trPr>
        <w:tc>
          <w:tcPr>
            <w:tcW w:w="1003" w:type="dxa"/>
            <w:vAlign w:val="center"/>
          </w:tcPr>
          <w:p w14:paraId="3ED07897" w14:textId="77777777" w:rsidR="00B5342F" w:rsidRDefault="00000000">
            <w:pPr>
              <w:wordWrap w:val="0"/>
              <w:topLinePunct/>
              <w:spacing w:line="40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能源</w:t>
            </w:r>
          </w:p>
        </w:tc>
        <w:tc>
          <w:tcPr>
            <w:tcW w:w="7377" w:type="dxa"/>
          </w:tcPr>
          <w:p w14:paraId="5EAF1FF5"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1.2×35万千瓦热电联产项目；</w:t>
            </w:r>
          </w:p>
          <w:p w14:paraId="7F69D171"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2.煤改电工程；3.110千伏及以下配网建设；</w:t>
            </w:r>
          </w:p>
          <w:p w14:paraId="1994DB48"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4.和田梧桐-市北-洛浦220千伏线路工程；</w:t>
            </w:r>
          </w:p>
          <w:p w14:paraId="7EAD1D1D"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5.市北220千伏变电站增容工程；</w:t>
            </w:r>
          </w:p>
          <w:p w14:paraId="5242D812"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6.天然气应急储备、紧急切断改造工程项目；</w:t>
            </w:r>
          </w:p>
          <w:p w14:paraId="6968122A"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7.热电联产集中供热一体化项目；</w:t>
            </w:r>
          </w:p>
          <w:p w14:paraId="588DB71D"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8.天然气一体化项目。</w:t>
            </w:r>
          </w:p>
        </w:tc>
      </w:tr>
      <w:tr w:rsidR="00B5342F" w14:paraId="754172F4" w14:textId="77777777">
        <w:trPr>
          <w:trHeight w:val="2702"/>
          <w:jc w:val="center"/>
        </w:trPr>
        <w:tc>
          <w:tcPr>
            <w:tcW w:w="1003" w:type="dxa"/>
            <w:vAlign w:val="center"/>
          </w:tcPr>
          <w:p w14:paraId="2F6DBECE" w14:textId="77777777" w:rsidR="00B5342F" w:rsidRDefault="00000000">
            <w:pPr>
              <w:wordWrap w:val="0"/>
              <w:topLinePunct/>
              <w:spacing w:line="40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市政公用设施</w:t>
            </w:r>
          </w:p>
        </w:tc>
        <w:tc>
          <w:tcPr>
            <w:tcW w:w="7377" w:type="dxa"/>
          </w:tcPr>
          <w:p w14:paraId="203DB4C9"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1.公共停车场建设项目；</w:t>
            </w:r>
          </w:p>
          <w:p w14:paraId="7A4D5596"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2.垃圾分类及再生利用建设项目；</w:t>
            </w:r>
          </w:p>
          <w:p w14:paraId="03D96224"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3.京和物流园垃圾中转站建设项目；</w:t>
            </w:r>
          </w:p>
          <w:p w14:paraId="4596C24A"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4.河东和城西污水处理厂改扩建项目；</w:t>
            </w:r>
          </w:p>
          <w:p w14:paraId="43A86819"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5.城区及园区供排水、供热、燃气、电力、中水等管网建设项目；</w:t>
            </w:r>
          </w:p>
          <w:p w14:paraId="2EAE7168"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6.滨河片区道路、消防等基础设施建设项目。</w:t>
            </w:r>
          </w:p>
        </w:tc>
      </w:tr>
      <w:tr w:rsidR="00B5342F" w14:paraId="4B8CB76B" w14:textId="77777777">
        <w:trPr>
          <w:trHeight w:val="1860"/>
          <w:jc w:val="center"/>
        </w:trPr>
        <w:tc>
          <w:tcPr>
            <w:tcW w:w="1003" w:type="dxa"/>
            <w:vAlign w:val="center"/>
          </w:tcPr>
          <w:p w14:paraId="6AE3E21D" w14:textId="77777777" w:rsidR="00B5342F" w:rsidRDefault="00000000">
            <w:pPr>
              <w:wordWrap w:val="0"/>
              <w:topLinePunct/>
              <w:spacing w:line="400" w:lineRule="exact"/>
              <w:jc w:val="center"/>
              <w:rPr>
                <w:rFonts w:asciiTheme="minorEastAsia" w:hAnsiTheme="minorEastAsia" w:cstheme="minorEastAsia" w:hint="eastAsia"/>
                <w:sz w:val="24"/>
                <w:szCs w:val="24"/>
              </w:rPr>
            </w:pPr>
            <w:r>
              <w:rPr>
                <w:rFonts w:asciiTheme="minorEastAsia" w:hAnsiTheme="minorEastAsia" w:cstheme="minorEastAsia" w:hint="eastAsia"/>
                <w:sz w:val="24"/>
                <w:szCs w:val="24"/>
              </w:rPr>
              <w:t>信息</w:t>
            </w:r>
          </w:p>
        </w:tc>
        <w:tc>
          <w:tcPr>
            <w:tcW w:w="7377" w:type="dxa"/>
          </w:tcPr>
          <w:p w14:paraId="43666CE5"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1.5G/4G网基站建设；</w:t>
            </w:r>
          </w:p>
          <w:p w14:paraId="4B6C587E"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2.智慧城市建设项目；</w:t>
            </w:r>
          </w:p>
          <w:p w14:paraId="168BC8AC"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3.智慧水务平台建设项目；</w:t>
            </w:r>
          </w:p>
          <w:p w14:paraId="0B9E1B5F" w14:textId="77777777" w:rsidR="00B5342F" w:rsidRDefault="00000000">
            <w:pPr>
              <w:wordWrap w:val="0"/>
              <w:topLinePunct/>
              <w:spacing w:line="40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4.城市管理数字化指挥中心。</w:t>
            </w:r>
          </w:p>
        </w:tc>
      </w:tr>
    </w:tbl>
    <w:p w14:paraId="70656EA4" w14:textId="77777777" w:rsidR="00B5342F" w:rsidRDefault="00000000">
      <w:pPr>
        <w:pStyle w:val="20"/>
        <w:keepNext w:val="0"/>
        <w:keepLines w:val="0"/>
        <w:wordWrap w:val="0"/>
        <w:topLinePunct/>
        <w:spacing w:before="0" w:after="0" w:line="540" w:lineRule="exact"/>
        <w:jc w:val="center"/>
        <w:rPr>
          <w:rFonts w:ascii="黑体" w:eastAsia="黑体" w:hAnsi="黑体" w:cs="黑体" w:hint="eastAsia"/>
          <w:b w:val="0"/>
          <w:bCs w:val="0"/>
          <w:sz w:val="28"/>
          <w:szCs w:val="28"/>
        </w:rPr>
      </w:pPr>
      <w:bookmarkStart w:id="104" w:name="_Toc21258"/>
      <w:bookmarkStart w:id="105" w:name="_Toc29348"/>
      <w:bookmarkStart w:id="106" w:name="_Toc439"/>
      <w:bookmarkStart w:id="107" w:name="_Toc1794"/>
      <w:bookmarkStart w:id="108" w:name="_Toc19892"/>
      <w:bookmarkStart w:id="109" w:name="_Toc13313"/>
      <w:bookmarkStart w:id="110" w:name="_Toc64715926"/>
      <w:bookmarkStart w:id="111" w:name="_Toc22196"/>
      <w:bookmarkStart w:id="112" w:name="_Toc18274"/>
      <w:bookmarkStart w:id="113" w:name="_Toc14161"/>
      <w:bookmarkStart w:id="114" w:name="_Toc54868567"/>
      <w:bookmarkStart w:id="115" w:name="_Toc64715931"/>
      <w:bookmarkEnd w:id="92"/>
      <w:bookmarkEnd w:id="93"/>
      <w:r>
        <w:rPr>
          <w:rFonts w:ascii="黑体" w:eastAsia="黑体" w:hAnsi="黑体" w:cs="黑体" w:hint="eastAsia"/>
          <w:b w:val="0"/>
          <w:bCs w:val="0"/>
          <w:sz w:val="28"/>
          <w:szCs w:val="28"/>
        </w:rPr>
        <w:lastRenderedPageBreak/>
        <w:t>第三节  加快城市管理科学化精细化智慧化</w:t>
      </w:r>
      <w:bookmarkEnd w:id="104"/>
      <w:bookmarkEnd w:id="105"/>
      <w:bookmarkEnd w:id="106"/>
      <w:bookmarkEnd w:id="107"/>
      <w:bookmarkEnd w:id="108"/>
      <w:bookmarkEnd w:id="109"/>
      <w:bookmarkEnd w:id="110"/>
      <w:bookmarkEnd w:id="111"/>
    </w:p>
    <w:p w14:paraId="7E52838F" w14:textId="77777777" w:rsidR="00B5342F" w:rsidRDefault="00000000">
      <w:pPr>
        <w:wordWrap w:val="0"/>
        <w:topLinePunct/>
        <w:spacing w:line="54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从管理、制度、手段、共治等方面着力，提升城市管理科学化精细化智慧化水平。推行城市管理“721工作法”，即70%的问题用服务手段解决、20%的问题用管理手段解决、10%的问题用执法手段解决，变被动管理为主动服务，变末端执法为源头治理。加强城市管理和综合执法的立法工作，按照建设国际旅游城市目标和便民要求，精心制定城市道路分级、城市容貌、市政设施、环境卫生、园林绿化等方面的管理标准，实施标准化管理。“十四五”期间，创建自治区园林城市。完善城市数字化管理平台和感知系统，打通社区末端、织密数据网格，整合公共安全、卫生健康、应急管理、交通运输等领域信息系统和数据资源，深化政务服务“一网通办”、城市运行“一网统管”，以信息化建设支撑城市健康高效运行和突发事件快速智能响应。在共治上求精细，调动全社会参与、支持城市管理的热情，倡导城市管理志愿服务，以文明卫生示范街（巷、社区）创建为抓手，以点带面，全面推进。</w:t>
      </w:r>
    </w:p>
    <w:p w14:paraId="3E8DFA10" w14:textId="77777777" w:rsidR="00B5342F" w:rsidRDefault="00B5342F">
      <w:pPr>
        <w:pStyle w:val="2"/>
        <w:wordWrap w:val="0"/>
        <w:topLinePunct/>
        <w:spacing w:line="540" w:lineRule="exact"/>
        <w:ind w:firstLine="560"/>
        <w:rPr>
          <w:sz w:val="28"/>
          <w:szCs w:val="28"/>
        </w:rPr>
      </w:pPr>
    </w:p>
    <w:p w14:paraId="67BF0E0E" w14:textId="77777777" w:rsidR="00B5342F" w:rsidRDefault="00000000">
      <w:pPr>
        <w:pStyle w:val="20"/>
        <w:keepNext w:val="0"/>
        <w:keepLines w:val="0"/>
        <w:numPr>
          <w:ilvl w:val="255"/>
          <w:numId w:val="0"/>
        </w:numPr>
        <w:wordWrap w:val="0"/>
        <w:topLinePunct/>
        <w:spacing w:before="0" w:after="0" w:line="540" w:lineRule="exact"/>
        <w:jc w:val="center"/>
        <w:rPr>
          <w:rFonts w:ascii="黑体" w:eastAsia="黑体" w:hAnsi="黑体" w:cs="黑体" w:hint="eastAsia"/>
          <w:b w:val="0"/>
          <w:bCs w:val="0"/>
          <w:sz w:val="28"/>
          <w:szCs w:val="28"/>
        </w:rPr>
      </w:pPr>
      <w:bookmarkStart w:id="116" w:name="_Toc8854"/>
      <w:bookmarkStart w:id="117" w:name="_Toc25542"/>
      <w:bookmarkStart w:id="118" w:name="_Toc32124"/>
      <w:bookmarkStart w:id="119" w:name="_Toc2678"/>
      <w:bookmarkStart w:id="120" w:name="_Toc1101"/>
      <w:bookmarkStart w:id="121" w:name="_Toc31239"/>
      <w:bookmarkStart w:id="122" w:name="_Toc64715927"/>
      <w:bookmarkStart w:id="123" w:name="_Toc29388"/>
      <w:r>
        <w:rPr>
          <w:rFonts w:ascii="黑体" w:eastAsia="黑体" w:hAnsi="黑体" w:cs="黑体" w:hint="eastAsia"/>
          <w:b w:val="0"/>
          <w:bCs w:val="0"/>
          <w:sz w:val="28"/>
          <w:szCs w:val="28"/>
        </w:rPr>
        <w:t>第四节  发展特色小城镇</w:t>
      </w:r>
      <w:bookmarkEnd w:id="116"/>
      <w:bookmarkEnd w:id="117"/>
      <w:bookmarkEnd w:id="118"/>
      <w:bookmarkEnd w:id="119"/>
      <w:bookmarkEnd w:id="120"/>
      <w:bookmarkEnd w:id="121"/>
    </w:p>
    <w:p w14:paraId="278B0B8D" w14:textId="77777777" w:rsidR="00B5342F" w:rsidRDefault="00000000">
      <w:pPr>
        <w:numPr>
          <w:ilvl w:val="255"/>
          <w:numId w:val="0"/>
        </w:numPr>
        <w:wordWrap w:val="0"/>
        <w:topLinePunct/>
        <w:spacing w:line="540" w:lineRule="exact"/>
        <w:ind w:firstLineChars="200" w:firstLine="560"/>
        <w:rPr>
          <w:rFonts w:asciiTheme="majorEastAsia" w:eastAsiaTheme="majorEastAsia" w:hAnsiTheme="majorEastAsia" w:cstheme="majorEastAsia" w:hint="eastAsia"/>
          <w:sz w:val="28"/>
          <w:szCs w:val="28"/>
        </w:rPr>
      </w:pPr>
      <w:r>
        <w:rPr>
          <w:rFonts w:asciiTheme="minorEastAsia" w:hAnsiTheme="minorEastAsia" w:cstheme="minorEastAsia" w:hint="eastAsia"/>
          <w:sz w:val="28"/>
          <w:szCs w:val="28"/>
        </w:rPr>
        <w:t>强化规划引导，进一步加大中心镇区基础设施和公共服务设施建设，以教育、医疗、就业、出行、居住、商业等为重点，突出服务功能完善，提高小城镇公共服务水平，切实改善镇区生产生活条件，提高服务农民、带动乡村的能力。坚持特色兴镇、产业建镇，坚持宜农则农、宜工则工、宜游则游、宜商则商，加快拉斯奎镇、玉龙喀什镇等特色小城镇建设，着力培育一批旅游名镇、工业强镇、商贸重镇、农业产业化镇等特色小城镇。</w:t>
      </w:r>
    </w:p>
    <w:p w14:paraId="1C46D93F" w14:textId="77777777" w:rsidR="00B5342F" w:rsidRDefault="00B5342F">
      <w:pPr>
        <w:pStyle w:val="2"/>
        <w:ind w:firstLine="640"/>
      </w:pPr>
    </w:p>
    <w:p w14:paraId="65090221" w14:textId="77777777" w:rsidR="00B5342F" w:rsidRDefault="00000000">
      <w:pPr>
        <w:pStyle w:val="20"/>
        <w:keepNext w:val="0"/>
        <w:keepLines w:val="0"/>
        <w:numPr>
          <w:ilvl w:val="255"/>
          <w:numId w:val="0"/>
        </w:numPr>
        <w:wordWrap w:val="0"/>
        <w:topLinePunct/>
        <w:spacing w:before="0" w:after="0" w:line="560" w:lineRule="exact"/>
        <w:jc w:val="center"/>
        <w:rPr>
          <w:rFonts w:ascii="黑体" w:eastAsia="黑体" w:hAnsi="黑体" w:cs="黑体" w:hint="eastAsia"/>
          <w:b w:val="0"/>
          <w:bCs w:val="0"/>
          <w:sz w:val="28"/>
          <w:szCs w:val="28"/>
        </w:rPr>
      </w:pPr>
      <w:bookmarkStart w:id="124" w:name="_Toc9903"/>
      <w:bookmarkStart w:id="125" w:name="_Toc4084"/>
      <w:bookmarkStart w:id="126" w:name="_Toc214"/>
      <w:bookmarkStart w:id="127" w:name="_Toc26622"/>
      <w:bookmarkStart w:id="128" w:name="_Toc17469"/>
      <w:bookmarkStart w:id="129" w:name="_Toc8597"/>
      <w:r>
        <w:rPr>
          <w:rFonts w:ascii="黑体" w:eastAsia="黑体" w:hAnsi="黑体" w:cs="黑体" w:hint="eastAsia"/>
          <w:b w:val="0"/>
          <w:bCs w:val="0"/>
          <w:sz w:val="28"/>
          <w:szCs w:val="28"/>
        </w:rPr>
        <w:lastRenderedPageBreak/>
        <w:t>第五节  推进农业转移人口市民化</w:t>
      </w:r>
      <w:bookmarkEnd w:id="122"/>
      <w:bookmarkEnd w:id="123"/>
      <w:bookmarkEnd w:id="124"/>
      <w:bookmarkEnd w:id="125"/>
      <w:bookmarkEnd w:id="126"/>
      <w:bookmarkEnd w:id="127"/>
      <w:bookmarkEnd w:id="128"/>
      <w:bookmarkEnd w:id="129"/>
    </w:p>
    <w:p w14:paraId="25A38754"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深化户籍制度改革，全面放开城镇落户条件，有序推进农业转移人口市民化。探索户籍制度与居住证制度并轨，保障符合条件的未落户常住人口在流入地平等享受就业创业、劳动报酬、子女就学、公共医疗、住房租购等城镇基本公共服务。完善农业转移人口市民化财政政策，健全由政府、企业、个人共同参与的农业转移人口市民化成本分担机制。维护进城落户农民土地承包权、宅基地使用权、集体收益分配权，建立资源有偿退出机制，支持和引导进城落户农民依法自愿转让权益，增强农业人口在城镇落户积极性。到2025年，常住人口城镇化率达到60%以上。</w:t>
      </w:r>
    </w:p>
    <w:p w14:paraId="0D8B651B" w14:textId="77777777" w:rsidR="00B5342F" w:rsidRDefault="00B5342F">
      <w:pPr>
        <w:pStyle w:val="2"/>
        <w:wordWrap w:val="0"/>
        <w:topLinePunct/>
        <w:ind w:firstLine="560"/>
        <w:rPr>
          <w:sz w:val="28"/>
          <w:szCs w:val="28"/>
        </w:rPr>
      </w:pPr>
    </w:p>
    <w:p w14:paraId="37B26A24" w14:textId="77777777" w:rsidR="00B5342F" w:rsidRDefault="00000000">
      <w:pPr>
        <w:pStyle w:val="20"/>
        <w:keepNext w:val="0"/>
        <w:keepLines w:val="0"/>
        <w:numPr>
          <w:ilvl w:val="255"/>
          <w:numId w:val="0"/>
        </w:numPr>
        <w:wordWrap w:val="0"/>
        <w:topLinePunct/>
        <w:spacing w:before="0" w:after="0" w:line="560" w:lineRule="exact"/>
        <w:jc w:val="center"/>
        <w:rPr>
          <w:rFonts w:ascii="黑体" w:eastAsia="黑体" w:hAnsi="黑体" w:cs="黑体" w:hint="eastAsia"/>
          <w:b w:val="0"/>
          <w:bCs w:val="0"/>
          <w:sz w:val="28"/>
          <w:szCs w:val="28"/>
        </w:rPr>
      </w:pPr>
      <w:bookmarkStart w:id="130" w:name="_Toc18180"/>
      <w:bookmarkStart w:id="131" w:name="_Toc23285"/>
      <w:bookmarkStart w:id="132" w:name="_Toc9880"/>
      <w:bookmarkStart w:id="133" w:name="_Toc64715928"/>
      <w:bookmarkStart w:id="134" w:name="_Toc22528"/>
      <w:bookmarkStart w:id="135" w:name="_Toc3229"/>
      <w:bookmarkStart w:id="136" w:name="_Toc18932"/>
      <w:bookmarkStart w:id="137" w:name="_Toc29767"/>
      <w:r>
        <w:rPr>
          <w:rFonts w:ascii="黑体" w:eastAsia="黑体" w:hAnsi="黑体" w:cs="黑体" w:hint="eastAsia"/>
          <w:b w:val="0"/>
          <w:bCs w:val="0"/>
          <w:sz w:val="28"/>
          <w:szCs w:val="28"/>
        </w:rPr>
        <w:t>第六节  促进城乡融合发展</w:t>
      </w:r>
      <w:bookmarkEnd w:id="130"/>
      <w:bookmarkEnd w:id="131"/>
      <w:bookmarkEnd w:id="132"/>
      <w:bookmarkEnd w:id="133"/>
      <w:bookmarkEnd w:id="134"/>
      <w:bookmarkEnd w:id="135"/>
      <w:bookmarkEnd w:id="136"/>
      <w:bookmarkEnd w:id="137"/>
    </w:p>
    <w:p w14:paraId="529EBCCC" w14:textId="77777777" w:rsidR="00B5342F" w:rsidRDefault="00000000">
      <w:pPr>
        <w:wordWrap w:val="0"/>
        <w:topLinePunct/>
        <w:spacing w:line="56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顺应城乡融合发展趋势，推动城乡要素双向流动，形成工农互促、城乡互补、全面融合、共同繁荣的新型城乡关系。推进城乡基本公共服务标准统一、制度并轨，推动公共服务向农村延伸。推动优质教育资源城乡共享，推动建立农村幼儿园与城市优质幼儿园“城乡联盟共同体”，加强包联帮扶。建立对口帮扶、巡回医疗和远程医疗机制，积极发展面向农村的远程医疗和线上线下相结合的智慧医疗。完善统一的城乡居民基本医疗保险制度、大病保险和基本养老保险制度，做好社会保险关系转移接续。推动文化资源重点向乡村倾斜，建立文化结对帮扶机制。推进城乡基础设施一体发展，推进城镇基础设施向农村延伸，推动水、电、路、垃圾污水处理等基础设施城乡联网、共建共享。到2025年，村村通油路，农村自来水普及率、集中供水率、网络宽带覆盖率均达到100%。</w:t>
      </w:r>
    </w:p>
    <w:p w14:paraId="2EBDB028" w14:textId="77777777" w:rsidR="00B5342F" w:rsidRDefault="00000000">
      <w:pPr>
        <w:pStyle w:val="20"/>
        <w:keepNext w:val="0"/>
        <w:keepLines w:val="0"/>
        <w:numPr>
          <w:ilvl w:val="255"/>
          <w:numId w:val="0"/>
        </w:numPr>
        <w:wordWrap w:val="0"/>
        <w:topLinePunct/>
        <w:spacing w:before="0" w:after="0" w:line="580" w:lineRule="exact"/>
        <w:jc w:val="center"/>
        <w:rPr>
          <w:rFonts w:ascii="黑体" w:eastAsia="黑体" w:hAnsi="黑体" w:cs="黑体" w:hint="eastAsia"/>
          <w:b w:val="0"/>
          <w:bCs w:val="0"/>
          <w:sz w:val="28"/>
          <w:szCs w:val="28"/>
        </w:rPr>
      </w:pPr>
      <w:bookmarkStart w:id="138" w:name="_Toc64715929"/>
      <w:bookmarkStart w:id="139" w:name="_Toc3272"/>
      <w:bookmarkStart w:id="140" w:name="_Toc8332"/>
      <w:bookmarkStart w:id="141" w:name="_Toc17532"/>
      <w:bookmarkStart w:id="142" w:name="_Toc30797"/>
      <w:bookmarkStart w:id="143" w:name="_Toc8840"/>
      <w:bookmarkStart w:id="144" w:name="_Toc26154"/>
      <w:bookmarkStart w:id="145" w:name="_Toc26191"/>
      <w:r>
        <w:rPr>
          <w:rFonts w:ascii="黑体" w:eastAsia="黑体" w:hAnsi="黑体" w:cs="黑体" w:hint="eastAsia"/>
          <w:b w:val="0"/>
          <w:bCs w:val="0"/>
          <w:sz w:val="28"/>
          <w:szCs w:val="28"/>
        </w:rPr>
        <w:lastRenderedPageBreak/>
        <w:t>第七节  积极打造区域性消费中心城市</w:t>
      </w:r>
      <w:bookmarkEnd w:id="138"/>
      <w:bookmarkEnd w:id="139"/>
      <w:bookmarkEnd w:id="140"/>
      <w:bookmarkEnd w:id="141"/>
      <w:bookmarkEnd w:id="142"/>
      <w:bookmarkEnd w:id="143"/>
      <w:bookmarkEnd w:id="144"/>
      <w:bookmarkEnd w:id="145"/>
    </w:p>
    <w:p w14:paraId="3E1BC466"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顺应消费升级趋势，完善促进消费体制机制，提升传统消费，培育新型消费，适当增加公共消费，鼓励消费新模式新业态发展，增强消费对经济发展的基础性作用。</w:t>
      </w:r>
    </w:p>
    <w:p w14:paraId="4A4A5D0A"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一、提升传统消费</w:t>
      </w:r>
    </w:p>
    <w:p w14:paraId="21E01643" w14:textId="77777777" w:rsidR="00B5342F" w:rsidRDefault="00000000">
      <w:pPr>
        <w:wordWrap w:val="0"/>
        <w:topLinePunct/>
        <w:spacing w:line="580" w:lineRule="exact"/>
        <w:ind w:firstLineChars="200" w:firstLine="560"/>
        <w:rPr>
          <w:rFonts w:asciiTheme="majorEastAsia" w:eastAsiaTheme="majorEastAsia" w:hAnsiTheme="majorEastAsia" w:cstheme="majorEastAsia" w:hint="eastAsia"/>
          <w:sz w:val="28"/>
          <w:szCs w:val="28"/>
        </w:rPr>
      </w:pPr>
      <w:r>
        <w:rPr>
          <w:rFonts w:asciiTheme="minorEastAsia" w:hAnsiTheme="minorEastAsia" w:cstheme="minorEastAsia" w:hint="eastAsia"/>
          <w:sz w:val="28"/>
          <w:szCs w:val="28"/>
        </w:rPr>
        <w:t>优化城镇商业设施空间布局，推动商业设施提升改造，积极引入并丰富商业业态，推动零售业转变和创新经营模式；积极发展餐饮消费，合理布局中高端餐饮网点，鼓励大众化餐饮发展，健全餐饮行业标准化管理制度；大力促进汽车消费和住房消费，规范发展二手车交易市场，加大改善型住房供给，积极发展住房租赁市场；推动农村消费升级，健全农村流通网络体系，优化整合存量设施资源，有效降低农村流通成本，扩大电商进农村覆盖面，促进工业品下乡和农产品进城双向流通，严格农村商品质量监管，激发农村消费潜力。</w:t>
      </w:r>
    </w:p>
    <w:p w14:paraId="2CC2C2B6"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二、培育新型消费</w:t>
      </w:r>
    </w:p>
    <w:p w14:paraId="46B486B3"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完善旅游消费支撑条件，加强对乡村旅游的政策指导，提升乡村旅游品质，引导旅游消费提质升级；支持社会力量提供多层次多样化的医疗健康服务，鼓励社会力量举办非营利性健康服务机构，积极发展健康服务、健康保险、健康咨询等多样化的健康消费方式；撬动养老服务消费市场，提供康复期护理、稳定期生活照料、安宁疗护一体化的健康养老服务。提升家政服务专业化、规范化水平，提高家政服务品质，满足市场多样化需求。大力发展“互联网+”消费模式，促进线上线下消费融合发展。</w:t>
      </w:r>
    </w:p>
    <w:p w14:paraId="16A05EEA"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三、改善消费环境</w:t>
      </w:r>
    </w:p>
    <w:p w14:paraId="21660157"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lastRenderedPageBreak/>
        <w:t>推进商业信用体系建设，引导诚信经营，强化消费者权益保护，确保市场主体提供安全放心的吃穿用消费品。保障市场平稳运行，强化市场运行监测，建立健全重要消费品和重要生产资料的市场预测预警体系。依托规模商品批发零售企业，建立重要生活必需品储备制度，探索建立商业代储制度，扩大储备规模。健全应急调控反应机制，有效应对突发事件。</w:t>
      </w:r>
    </w:p>
    <w:p w14:paraId="614E2146" w14:textId="77777777" w:rsidR="00B5342F" w:rsidRDefault="00B5342F">
      <w:pPr>
        <w:pStyle w:val="2"/>
        <w:wordWrap w:val="0"/>
        <w:topLinePunct/>
        <w:spacing w:line="580" w:lineRule="exact"/>
        <w:ind w:firstLine="560"/>
        <w:rPr>
          <w:sz w:val="28"/>
          <w:szCs w:val="28"/>
        </w:rPr>
      </w:pPr>
    </w:p>
    <w:p w14:paraId="0D5F5CE4"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sz w:val="28"/>
          <w:szCs w:val="28"/>
        </w:rPr>
      </w:pPr>
      <w:bookmarkStart w:id="146" w:name="_Toc6767"/>
      <w:bookmarkStart w:id="147" w:name="_Toc1312"/>
      <w:bookmarkStart w:id="148" w:name="_Toc64715930"/>
      <w:bookmarkStart w:id="149" w:name="_Toc751"/>
      <w:bookmarkStart w:id="150" w:name="_Toc24937"/>
      <w:bookmarkStart w:id="151" w:name="_Toc25377"/>
      <w:bookmarkStart w:id="152" w:name="_Toc20388"/>
      <w:bookmarkStart w:id="153" w:name="_Toc16207"/>
      <w:r>
        <w:rPr>
          <w:rFonts w:ascii="黑体" w:eastAsia="黑体" w:hAnsi="黑体" w:cs="黑体" w:hint="eastAsia"/>
          <w:b w:val="0"/>
          <w:bCs w:val="0"/>
          <w:sz w:val="28"/>
          <w:szCs w:val="28"/>
        </w:rPr>
        <w:t>第八节  积极融入国内国际双循环格局</w:t>
      </w:r>
      <w:bookmarkEnd w:id="146"/>
      <w:bookmarkEnd w:id="147"/>
      <w:bookmarkEnd w:id="148"/>
      <w:bookmarkEnd w:id="149"/>
      <w:bookmarkEnd w:id="150"/>
      <w:bookmarkEnd w:id="151"/>
      <w:bookmarkEnd w:id="152"/>
      <w:bookmarkEnd w:id="153"/>
    </w:p>
    <w:p w14:paraId="1E7B3DDE"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highlight w:val="yellow"/>
        </w:rPr>
      </w:pPr>
      <w:r>
        <w:rPr>
          <w:rFonts w:asciiTheme="minorEastAsia" w:hAnsiTheme="minorEastAsia" w:cstheme="minorEastAsia" w:hint="eastAsia"/>
          <w:sz w:val="28"/>
          <w:szCs w:val="28"/>
        </w:rPr>
        <w:t>依托国内强大的市场需求，优化供给结构，改善供给质量，提升供给体系对国内需求的适配性，鼓励支持外向型企业打通出口转内销渠道，鼓励支持和田特色畜禽产品、林果产品、外贸工业制成品进入国内市场销售，向青藏及新疆维吾尔自治区外延伸供应链，使生产、分配、流通、消费更多依托国内市场，融入国内大循环。优化对外贸易发展环境，完善对外贸易服务体系，推动贸易规模扩大，支撑进出口加工产业发展。培育壮大外贸主体，实施外贸企业培育工程，重点引进培育外贸综合服务企业。充分发挥外贸发展专项资金效用，用好用足国家出口退税、出口信保等外贸普惠政策，支持外贸企业提高进出口贸易额、进行转型升级、建设自主品牌，提升外贸企业发展水平。</w:t>
      </w:r>
    </w:p>
    <w:p w14:paraId="79013979" w14:textId="77777777" w:rsidR="00B5342F" w:rsidRDefault="00B5342F">
      <w:pPr>
        <w:pStyle w:val="20"/>
        <w:keepNext w:val="0"/>
        <w:keepLines w:val="0"/>
        <w:wordWrap w:val="0"/>
        <w:topLinePunct/>
        <w:spacing w:before="0" w:after="0" w:line="580" w:lineRule="exact"/>
        <w:jc w:val="center"/>
        <w:rPr>
          <w:sz w:val="28"/>
          <w:szCs w:val="28"/>
        </w:rPr>
      </w:pPr>
    </w:p>
    <w:p w14:paraId="3F06D044" w14:textId="77777777" w:rsidR="00B5342F" w:rsidRDefault="00000000">
      <w:pPr>
        <w:pStyle w:val="20"/>
        <w:keepNext w:val="0"/>
        <w:keepLines w:val="0"/>
        <w:wordWrap w:val="0"/>
        <w:topLinePunct/>
        <w:spacing w:before="0" w:after="0" w:line="580" w:lineRule="exact"/>
        <w:jc w:val="center"/>
        <w:rPr>
          <w:rFonts w:ascii="方正小标宋简体" w:eastAsia="方正小标宋简体" w:hAnsi="方正小标宋简体" w:cs="方正小标宋简体" w:hint="eastAsia"/>
          <w:b w:val="0"/>
          <w:bCs w:val="0"/>
        </w:rPr>
      </w:pPr>
      <w:bookmarkStart w:id="154" w:name="_Toc25388"/>
      <w:bookmarkStart w:id="155" w:name="_Toc12601"/>
      <w:bookmarkStart w:id="156" w:name="_Toc18001"/>
      <w:bookmarkStart w:id="157" w:name="_Toc7857"/>
      <w:r>
        <w:rPr>
          <w:rFonts w:ascii="方正小标宋简体" w:eastAsia="方正小标宋简体" w:hAnsi="方正小标宋简体" w:cs="方正小标宋简体" w:hint="eastAsia"/>
          <w:b w:val="0"/>
          <w:bCs w:val="0"/>
        </w:rPr>
        <w:t>第四章  深化改革扩大开放  加快创新驱动发展</w:t>
      </w:r>
      <w:bookmarkEnd w:id="112"/>
      <w:bookmarkEnd w:id="113"/>
      <w:bookmarkEnd w:id="114"/>
      <w:bookmarkEnd w:id="115"/>
      <w:bookmarkEnd w:id="154"/>
      <w:bookmarkEnd w:id="155"/>
      <w:bookmarkEnd w:id="156"/>
      <w:bookmarkEnd w:id="157"/>
    </w:p>
    <w:p w14:paraId="03709D8B"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全市上下要把改革开放作为推动新时代追赶超越的重要途径，更加注重通过改革破除发展面临的体制机制障碍，以高水平开放带动高质量发展，全面增强微观主体活力，加快培育竞争新优势。</w:t>
      </w:r>
    </w:p>
    <w:p w14:paraId="125892FF" w14:textId="77777777" w:rsidR="00B5342F" w:rsidRDefault="00000000">
      <w:pPr>
        <w:pStyle w:val="20"/>
        <w:keepNext w:val="0"/>
        <w:keepLines w:val="0"/>
        <w:wordWrap w:val="0"/>
        <w:topLinePunct/>
        <w:spacing w:before="0" w:after="0" w:line="550" w:lineRule="exact"/>
        <w:jc w:val="center"/>
        <w:rPr>
          <w:rFonts w:ascii="黑体" w:eastAsia="黑体" w:hAnsi="黑体" w:cs="黑体" w:hint="eastAsia"/>
          <w:b w:val="0"/>
          <w:bCs w:val="0"/>
          <w:sz w:val="28"/>
          <w:szCs w:val="28"/>
        </w:rPr>
      </w:pPr>
      <w:bookmarkStart w:id="158" w:name="_Toc64715932"/>
      <w:bookmarkStart w:id="159" w:name="_Toc19102"/>
      <w:bookmarkStart w:id="160" w:name="_Toc22903"/>
      <w:bookmarkStart w:id="161" w:name="_Toc54868568"/>
      <w:bookmarkStart w:id="162" w:name="_Toc29101"/>
      <w:bookmarkStart w:id="163" w:name="_Toc4723"/>
      <w:bookmarkStart w:id="164" w:name="_Toc16556"/>
      <w:bookmarkStart w:id="165" w:name="_Toc6743"/>
      <w:r>
        <w:rPr>
          <w:rFonts w:ascii="黑体" w:eastAsia="黑体" w:hAnsi="黑体" w:cs="黑体" w:hint="eastAsia"/>
          <w:b w:val="0"/>
          <w:bCs w:val="0"/>
          <w:sz w:val="28"/>
          <w:szCs w:val="28"/>
        </w:rPr>
        <w:lastRenderedPageBreak/>
        <w:t>第一节  全面深化改革</w:t>
      </w:r>
      <w:bookmarkEnd w:id="158"/>
      <w:bookmarkEnd w:id="159"/>
      <w:bookmarkEnd w:id="160"/>
      <w:bookmarkEnd w:id="161"/>
      <w:bookmarkEnd w:id="162"/>
      <w:bookmarkEnd w:id="163"/>
      <w:bookmarkEnd w:id="164"/>
      <w:bookmarkEnd w:id="165"/>
    </w:p>
    <w:p w14:paraId="6B0C0EA3" w14:textId="77777777" w:rsidR="00B5342F" w:rsidRDefault="00000000">
      <w:pPr>
        <w:wordWrap w:val="0"/>
        <w:topLinePunct/>
        <w:spacing w:line="55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坚持正确方法论，深化重点领域改革，既加强宏观思考和顶层设计，又鼓励大胆试验、大胆突破，促进各项改革举措在政策取向上相互配合、在实施过程中相互促进、在改革成效上相得益彰。</w:t>
      </w:r>
    </w:p>
    <w:p w14:paraId="489A606D" w14:textId="77777777" w:rsidR="00B5342F" w:rsidRDefault="00000000">
      <w:pPr>
        <w:pStyle w:val="4"/>
        <w:keepNext w:val="0"/>
        <w:keepLines w:val="0"/>
        <w:wordWrap w:val="0"/>
        <w:topLinePunct/>
        <w:spacing w:before="0" w:after="0" w:line="550" w:lineRule="exact"/>
        <w:ind w:firstLineChars="200" w:firstLine="560"/>
        <w:rPr>
          <w:rFonts w:ascii="黑体" w:eastAsia="黑体" w:hAnsi="黑体" w:cs="黑体" w:hint="eastAsia"/>
          <w:b w:val="0"/>
          <w:bCs w:val="0"/>
        </w:rPr>
      </w:pPr>
      <w:r>
        <w:rPr>
          <w:rFonts w:ascii="黑体" w:eastAsia="黑体" w:hAnsi="黑体" w:cs="黑体" w:hint="eastAsia"/>
          <w:b w:val="0"/>
          <w:bCs w:val="0"/>
        </w:rPr>
        <w:t>一、优化营商环境</w:t>
      </w:r>
    </w:p>
    <w:p w14:paraId="65720DF0" w14:textId="77777777" w:rsidR="00B5342F" w:rsidRDefault="00000000">
      <w:pPr>
        <w:wordWrap w:val="0"/>
        <w:topLinePunct/>
        <w:spacing w:line="55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继续深化“放管服”改革，全面实施市场准入负面清单制度，推动“非禁即入”普遍落实。深化行政审批制度改革，进一步取消、下放、规范和精简一批行政许可事项。大力推进“互联网+政务服务”，搭建电子政务网络平台，充分利用“12345”政务服务平台，推行网上审批、并联审批，打造智慧审批政务服务。推行政务服务“一网办通、最多跑一次”改革，积极推进“多证合一、证照分离”商事制度改革，大幅压缩工程建设项目审批、企业开办注销、不动产登记办理时间。以推进政务诚信、商务诚信、社会诚信和司法公信建设为重点，建立衔接事前、事中、事后全监管环节的新型信用监管机制，推广信用承诺制，积极推进分级分类监管、“双随机、一公开”监管，完善“红黑名单”认定机制和奖惩措施清单，切实提升全社会诚信意识和信用水平。</w:t>
      </w:r>
    </w:p>
    <w:p w14:paraId="638D8FF2" w14:textId="77777777" w:rsidR="00B5342F" w:rsidRDefault="00000000">
      <w:pPr>
        <w:pStyle w:val="4"/>
        <w:keepNext w:val="0"/>
        <w:keepLines w:val="0"/>
        <w:wordWrap w:val="0"/>
        <w:topLinePunct/>
        <w:spacing w:before="0" w:after="0" w:line="550" w:lineRule="exact"/>
        <w:ind w:firstLineChars="200" w:firstLine="560"/>
        <w:rPr>
          <w:rFonts w:asciiTheme="minorEastAsia" w:eastAsiaTheme="minorEastAsia" w:hAnsiTheme="minorEastAsia" w:cstheme="minorEastAsia" w:hint="eastAsia"/>
        </w:rPr>
      </w:pPr>
      <w:r>
        <w:rPr>
          <w:rFonts w:ascii="黑体" w:eastAsia="黑体" w:hAnsi="黑体" w:cs="黑体" w:hint="eastAsia"/>
          <w:b w:val="0"/>
          <w:bCs w:val="0"/>
        </w:rPr>
        <w:t>二、深化国资国企改革</w:t>
      </w:r>
    </w:p>
    <w:p w14:paraId="48D815FF" w14:textId="77777777" w:rsidR="00B5342F" w:rsidRDefault="00000000">
      <w:pPr>
        <w:wordWrap w:val="0"/>
        <w:topLinePunct/>
        <w:spacing w:line="55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快国有经济布局优化，提高国有资本运营和监管效率，做强做优做大国有资本。优化国有资本布局，推进国有资本与产业联动，在文化旅游、基础设施、公共服务、招商服务等重点领域，培育具有核心竞争力的国有企业。深化混合所有制改革，积极推进国有企业开展混合所有制改革。</w:t>
      </w:r>
    </w:p>
    <w:p w14:paraId="24D0C4BC" w14:textId="77777777" w:rsidR="00B5342F" w:rsidRDefault="00000000">
      <w:pPr>
        <w:pStyle w:val="4"/>
        <w:keepNext w:val="0"/>
        <w:keepLines w:val="0"/>
        <w:wordWrap w:val="0"/>
        <w:topLinePunct/>
        <w:spacing w:before="0" w:after="0" w:line="550" w:lineRule="exact"/>
        <w:ind w:firstLineChars="200" w:firstLine="560"/>
        <w:rPr>
          <w:rFonts w:ascii="黑体" w:eastAsia="黑体" w:hAnsi="黑体" w:cs="黑体" w:hint="eastAsia"/>
          <w:b w:val="0"/>
          <w:bCs w:val="0"/>
        </w:rPr>
      </w:pPr>
      <w:r>
        <w:rPr>
          <w:rFonts w:ascii="黑体" w:eastAsia="黑体" w:hAnsi="黑体" w:cs="黑体" w:hint="eastAsia"/>
          <w:b w:val="0"/>
          <w:bCs w:val="0"/>
        </w:rPr>
        <w:t>三、发展壮大民营经济</w:t>
      </w:r>
    </w:p>
    <w:p w14:paraId="781825C1"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坚持“两个毫不动摇”，将民营经济发展放在更加突出位置，推</w:t>
      </w:r>
      <w:r>
        <w:rPr>
          <w:rFonts w:asciiTheme="minorEastAsia" w:hAnsiTheme="minorEastAsia" w:cstheme="minorEastAsia" w:hint="eastAsia"/>
          <w:sz w:val="28"/>
          <w:szCs w:val="28"/>
        </w:rPr>
        <w:lastRenderedPageBreak/>
        <w:t>进建立公平竞争审查制度，努力破除民营企业在市场准入、审批许可、经营运行、招投标等方面的各种限制和隐形壁垒。拓宽民营企业融资途径，鼓励金融机构增加民营企业、小微企业信贷投放，建立小微企业降低融资担保成本奖补机制。放宽民间投资投资准入，鼓励民间资本采取混合所有制、联合招投标等方式参与政府和社会资本合作项目。开展帮扶民营企业专项行动，构建“亲”“清”新型政商关系。</w:t>
      </w:r>
    </w:p>
    <w:p w14:paraId="516D4590" w14:textId="77777777" w:rsidR="00B5342F" w:rsidRDefault="00000000">
      <w:pPr>
        <w:pStyle w:val="4"/>
        <w:keepNext w:val="0"/>
        <w:keepLines w:val="0"/>
        <w:wordWrap w:val="0"/>
        <w:topLinePunct/>
        <w:spacing w:before="0" w:after="0" w:line="520" w:lineRule="exact"/>
        <w:ind w:firstLineChars="200" w:firstLine="560"/>
        <w:rPr>
          <w:rFonts w:ascii="黑体" w:eastAsia="黑体" w:hAnsi="黑体" w:cs="黑体" w:hint="eastAsia"/>
          <w:b w:val="0"/>
          <w:bCs w:val="0"/>
        </w:rPr>
      </w:pPr>
      <w:r>
        <w:rPr>
          <w:rFonts w:ascii="黑体" w:eastAsia="黑体" w:hAnsi="黑体" w:cs="黑体" w:hint="eastAsia"/>
          <w:b w:val="0"/>
          <w:bCs w:val="0"/>
        </w:rPr>
        <w:t>四、深化财税金融改革</w:t>
      </w:r>
    </w:p>
    <w:p w14:paraId="6812873E"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大对重点领域、重点改革、重点项目和关键环节的财政保障力度。完善支持推动高质量发展的财税政策，落实减税降费政策，实施好降低增值税、扩大享受税收优惠小微企业范围、降低社保费率等政策，实质性降低企业负担。降低政府性收费和经营服务性收费，释放更多减税降费红利。健全政府债务管理制度，建立债务管理及风险预警机制。坚持把防范化解金融风险放在更加突出的位置，进一步加强管控，健全防控机制，确保金融安全高效稳健运行。</w:t>
      </w:r>
    </w:p>
    <w:p w14:paraId="29DB3EE0" w14:textId="77777777" w:rsidR="00B5342F" w:rsidRDefault="00000000">
      <w:pPr>
        <w:pStyle w:val="4"/>
        <w:keepNext w:val="0"/>
        <w:keepLines w:val="0"/>
        <w:wordWrap w:val="0"/>
        <w:topLinePunct/>
        <w:spacing w:before="0" w:after="0" w:line="520" w:lineRule="exact"/>
        <w:ind w:firstLineChars="200" w:firstLine="560"/>
        <w:rPr>
          <w:rFonts w:ascii="黑体" w:eastAsia="黑体" w:hAnsi="黑体" w:cs="黑体" w:hint="eastAsia"/>
          <w:b w:val="0"/>
          <w:bCs w:val="0"/>
        </w:rPr>
      </w:pPr>
      <w:r>
        <w:rPr>
          <w:rFonts w:ascii="黑体" w:eastAsia="黑体" w:hAnsi="黑体" w:cs="黑体" w:hint="eastAsia"/>
          <w:b w:val="0"/>
          <w:bCs w:val="0"/>
        </w:rPr>
        <w:t>五、深化投融资体制改革</w:t>
      </w:r>
    </w:p>
    <w:p w14:paraId="5B07D9AF"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发挥政府投资对社会资本的引导带动作用，采取资本金注入、直接投资、投资补助、基金注资、以奖代补、运营补贴等不同的投资方式，提高政府投资资金使用效率。稳妥规范运用政府和社会资本合作模式，拓宽补短板领域尤其是基础设施和公共服务项目的投融资来源，扩大公共服务供给能力。</w:t>
      </w:r>
    </w:p>
    <w:p w14:paraId="57370542" w14:textId="77777777" w:rsidR="00B5342F" w:rsidRDefault="00000000">
      <w:pPr>
        <w:pStyle w:val="4"/>
        <w:keepNext w:val="0"/>
        <w:keepLines w:val="0"/>
        <w:wordWrap w:val="0"/>
        <w:topLinePunct/>
        <w:spacing w:before="0" w:after="0" w:line="520" w:lineRule="exact"/>
        <w:ind w:firstLineChars="200" w:firstLine="560"/>
        <w:rPr>
          <w:rFonts w:ascii="黑体" w:eastAsia="黑体" w:hAnsi="黑体" w:cs="黑体" w:hint="eastAsia"/>
          <w:b w:val="0"/>
          <w:bCs w:val="0"/>
        </w:rPr>
      </w:pPr>
      <w:r>
        <w:rPr>
          <w:rFonts w:ascii="黑体" w:eastAsia="黑体" w:hAnsi="黑体" w:cs="黑体" w:hint="eastAsia"/>
          <w:b w:val="0"/>
          <w:bCs w:val="0"/>
        </w:rPr>
        <w:t>六、深化农村体制改革</w:t>
      </w:r>
    </w:p>
    <w:p w14:paraId="74D1AA63"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农村土地集体所有，落实第二轮土地承包到期后再延长30年政策，保持农村土地承包关系稳定并长久不变。健全城乡统一的建设用地市场，探索实施农村集体经营性建设用地入市。全面推开农村土地征收制度改革，建立土地征收公共利益用地认定机制，缩小土地征收范围。稳妥推进宅基地制度改革，探索宅基地所有权、资格权、</w:t>
      </w:r>
      <w:r>
        <w:rPr>
          <w:rFonts w:asciiTheme="minorEastAsia" w:hAnsiTheme="minorEastAsia" w:cstheme="minorEastAsia" w:hint="eastAsia"/>
          <w:sz w:val="28"/>
          <w:szCs w:val="28"/>
        </w:rPr>
        <w:lastRenderedPageBreak/>
        <w:t>使用权分置实现形式。保障进城落户农民土地承包权、宅基地使用权、集体收益分配权，维护农民宅基地使用权益，鼓励依法自愿有偿转让。深化农村集体产权制度改革，发展新型农村集体经济。深化农业水价综合改革，完善用水计量设施，健全农业节水激励机制。健全农村金融服务体系，增加农村金融供给。</w:t>
      </w:r>
    </w:p>
    <w:p w14:paraId="2A828A02" w14:textId="77777777" w:rsidR="00B5342F" w:rsidRDefault="00B5342F">
      <w:pPr>
        <w:pStyle w:val="2"/>
        <w:spacing w:line="520" w:lineRule="exact"/>
        <w:ind w:firstLine="640"/>
      </w:pPr>
    </w:p>
    <w:p w14:paraId="6CF533E2" w14:textId="77777777" w:rsidR="00B5342F" w:rsidRDefault="00000000">
      <w:pPr>
        <w:pStyle w:val="20"/>
        <w:keepNext w:val="0"/>
        <w:keepLines w:val="0"/>
        <w:wordWrap w:val="0"/>
        <w:topLinePunct/>
        <w:spacing w:before="0" w:after="0" w:line="520" w:lineRule="exact"/>
        <w:jc w:val="center"/>
        <w:rPr>
          <w:rFonts w:ascii="黑体" w:eastAsia="黑体" w:hAnsi="黑体" w:cs="黑体" w:hint="eastAsia"/>
          <w:b w:val="0"/>
          <w:bCs w:val="0"/>
          <w:sz w:val="28"/>
          <w:szCs w:val="28"/>
        </w:rPr>
      </w:pPr>
      <w:bookmarkStart w:id="166" w:name="_Toc54868569"/>
      <w:bookmarkStart w:id="167" w:name="_Toc64715933"/>
      <w:bookmarkStart w:id="168" w:name="_Toc19207"/>
      <w:bookmarkStart w:id="169" w:name="_Toc2046"/>
      <w:bookmarkStart w:id="170" w:name="_Toc8197"/>
      <w:bookmarkStart w:id="171" w:name="_Toc23220"/>
      <w:bookmarkStart w:id="172" w:name="_Toc3942"/>
      <w:bookmarkStart w:id="173" w:name="_Toc3892"/>
      <w:r>
        <w:rPr>
          <w:rFonts w:ascii="黑体" w:eastAsia="黑体" w:hAnsi="黑体" w:cs="黑体" w:hint="eastAsia"/>
          <w:b w:val="0"/>
          <w:bCs w:val="0"/>
          <w:sz w:val="28"/>
          <w:szCs w:val="28"/>
        </w:rPr>
        <w:t>第二节  推进更高水平开放</w:t>
      </w:r>
      <w:bookmarkEnd w:id="166"/>
      <w:bookmarkEnd w:id="167"/>
      <w:bookmarkEnd w:id="168"/>
      <w:bookmarkEnd w:id="169"/>
      <w:bookmarkEnd w:id="170"/>
      <w:bookmarkEnd w:id="171"/>
      <w:bookmarkEnd w:id="172"/>
      <w:bookmarkEnd w:id="173"/>
    </w:p>
    <w:p w14:paraId="15D4580B"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抢抓丝绸之路经济带核心区建设机遇，破除位居内陆的地理瓶颈约束，全力参与国内大循环、国内国际双循环，充分利用“两种资源、两个市场”，筑牢开放平台，创新开放模式，优化开放环境，扩大对外贸易，将和田市打造成新疆内陆开放的新高地。</w:t>
      </w:r>
    </w:p>
    <w:p w14:paraId="0E426A0D" w14:textId="77777777" w:rsidR="00B5342F" w:rsidRDefault="00000000">
      <w:pPr>
        <w:pStyle w:val="4"/>
        <w:keepNext w:val="0"/>
        <w:keepLines w:val="0"/>
        <w:wordWrap w:val="0"/>
        <w:topLinePunct/>
        <w:spacing w:before="0" w:after="0" w:line="520" w:lineRule="exact"/>
        <w:ind w:firstLineChars="200" w:firstLine="560"/>
        <w:rPr>
          <w:rFonts w:ascii="黑体" w:eastAsia="黑体" w:hAnsi="黑体" w:cs="黑体" w:hint="eastAsia"/>
          <w:b w:val="0"/>
          <w:bCs w:val="0"/>
        </w:rPr>
      </w:pPr>
      <w:r>
        <w:rPr>
          <w:rFonts w:ascii="黑体" w:eastAsia="黑体" w:hAnsi="黑体" w:cs="黑体" w:hint="eastAsia"/>
          <w:b w:val="0"/>
          <w:bCs w:val="0"/>
        </w:rPr>
        <w:t>一、强化对外开放平台建设</w:t>
      </w:r>
    </w:p>
    <w:p w14:paraId="24EB3636"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快推进和田海关及和田市特殊监管库和保税仓建设，改善通关基础条件，提高贸易便利化水平。积极推动开放和田铁路、航空一类口岸，推动国际通道互联互通。充分发挥进口保税、出口退税、“境内关外”自由贸易港政策优势，拓展进出口加工、物流仓储、国际中转、国际采购等外向功能，打造加工贸易和保税物流发展平台。围绕重点产业、优势资源、民族文化特色等大力培育会展品牌，以品牌展会提升对内对外影响力。</w:t>
      </w:r>
    </w:p>
    <w:p w14:paraId="6E8B8603" w14:textId="77777777" w:rsidR="00B5342F" w:rsidRDefault="00000000">
      <w:pPr>
        <w:pStyle w:val="4"/>
        <w:keepNext w:val="0"/>
        <w:keepLines w:val="0"/>
        <w:wordWrap w:val="0"/>
        <w:topLinePunct/>
        <w:spacing w:before="0" w:after="0" w:line="520" w:lineRule="exact"/>
        <w:ind w:firstLineChars="200" w:firstLine="560"/>
        <w:rPr>
          <w:rFonts w:ascii="黑体" w:eastAsia="黑体" w:hAnsi="黑体" w:cs="黑体" w:hint="eastAsia"/>
          <w:b w:val="0"/>
          <w:bCs w:val="0"/>
        </w:rPr>
      </w:pPr>
      <w:r>
        <w:rPr>
          <w:rFonts w:ascii="黑体" w:eastAsia="黑体" w:hAnsi="黑体" w:cs="黑体" w:hint="eastAsia"/>
          <w:b w:val="0"/>
          <w:bCs w:val="0"/>
        </w:rPr>
        <w:t>二、加大招商引资力度</w:t>
      </w:r>
    </w:p>
    <w:p w14:paraId="79A11D78"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创新招商引资方式，加强专业招商队伍建设，健全招商引资政策机制，营造招商引资优质环境，突出商贸流通，城市综合体开发，纺织服装、生物医药、数字经济、农副产品精深加工重点招商，精准招商。围绕重点产业关键链条、关键技术、关键环节，重点引进产业链、价值链上的适宜项目，提高产业关联度，培育形成产业集群。积极开展展会招商、以商招商、代理招商、商会招商，借助互联网和大数据，</w:t>
      </w:r>
      <w:r>
        <w:rPr>
          <w:rFonts w:asciiTheme="minorEastAsia" w:hAnsiTheme="minorEastAsia" w:cstheme="minorEastAsia" w:hint="eastAsia"/>
          <w:sz w:val="28"/>
          <w:szCs w:val="28"/>
        </w:rPr>
        <w:lastRenderedPageBreak/>
        <w:t>构建立体式招商信息平台，完善招商项目库建设，实现网络化、高效化招商。完善招商引资项目引进考核评价机制，加快推进项目落地。力争“十四五”招商引资到位资金年均增长20%。</w:t>
      </w:r>
    </w:p>
    <w:p w14:paraId="34F47284" w14:textId="77777777" w:rsidR="00B5342F" w:rsidRDefault="00B5342F">
      <w:pPr>
        <w:pStyle w:val="2"/>
        <w:ind w:firstLine="640"/>
      </w:pPr>
    </w:p>
    <w:p w14:paraId="20D9F76A"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174" w:name="_Toc20261"/>
      <w:bookmarkStart w:id="175" w:name="_Toc28348"/>
      <w:bookmarkStart w:id="176" w:name="_Toc64715934"/>
      <w:bookmarkStart w:id="177" w:name="_Toc19338"/>
      <w:bookmarkStart w:id="178" w:name="_Toc54868571"/>
      <w:bookmarkStart w:id="179" w:name="_Toc4824"/>
      <w:bookmarkStart w:id="180" w:name="_Toc7940"/>
      <w:bookmarkStart w:id="181" w:name="_Toc6565"/>
      <w:r>
        <w:rPr>
          <w:rFonts w:ascii="黑体" w:eastAsia="黑体" w:hAnsi="黑体" w:cs="黑体" w:hint="eastAsia"/>
          <w:b w:val="0"/>
          <w:bCs w:val="0"/>
          <w:sz w:val="28"/>
          <w:szCs w:val="28"/>
        </w:rPr>
        <w:t>第三节  加快创新驱动发展</w:t>
      </w:r>
      <w:bookmarkEnd w:id="174"/>
      <w:bookmarkEnd w:id="175"/>
      <w:bookmarkEnd w:id="176"/>
      <w:bookmarkEnd w:id="177"/>
      <w:bookmarkEnd w:id="178"/>
      <w:bookmarkEnd w:id="179"/>
      <w:bookmarkEnd w:id="180"/>
      <w:bookmarkEnd w:id="181"/>
    </w:p>
    <w:p w14:paraId="64F55F98"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把创新作为引领发展的第一动力，大力实施创新驱动发展战略，破除一切制约创新的思想障碍和制度藩篱，激发全社会创新活力和创造潜能，提升劳动、信息、知识、技术、管理、资本的效率和效益。</w:t>
      </w:r>
    </w:p>
    <w:p w14:paraId="34612C00"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一、加快创新平台建设</w:t>
      </w:r>
    </w:p>
    <w:p w14:paraId="0EE1D76A"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强科技交流合作特别是与高校、科研院所的合作，吸引区内外企业的技术转移、培养和引进科技人才，建立“产、学、研、用”相结合的开放技术平台。持续推动“双创”行动，加快创新创业孵化示范基地建设，引导建设一批低成本、便利化、全要素、开放式的众创空间，鼓励行业龙头企业、创业投资机构等创业服务主体，建立专业化孵化器和平台。</w:t>
      </w:r>
    </w:p>
    <w:p w14:paraId="0911C811"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二、优化创新制度环境</w:t>
      </w:r>
    </w:p>
    <w:p w14:paraId="0A34DD64"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落实好自治区关于高新技术企业税收优惠、企业研发经费税前加计扣除等各项优惠政策，改革科技投入保障、创新人才发展、科技成果转化等体制机制，建立和完善有利于创新的政策体系。</w:t>
      </w:r>
    </w:p>
    <w:p w14:paraId="291DF50F"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三、实施人才强市战略</w:t>
      </w:r>
    </w:p>
    <w:p w14:paraId="7D4F0EF8"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创新人才培养、引进和使用机制，加快科技人才队伍建设。加强与地区、自治区高层次人才计划对接，实施“创新创业领军人才引进培育工程”和“科技人才培育工程”。加大技能型人才培养力度，加快打造一支知识型、技术型、创新型高素质产业工人队伍。深化产教</w:t>
      </w:r>
      <w:r>
        <w:rPr>
          <w:rFonts w:asciiTheme="minorEastAsia" w:hAnsiTheme="minorEastAsia" w:cstheme="minorEastAsia" w:hint="eastAsia"/>
          <w:sz w:val="28"/>
          <w:szCs w:val="28"/>
        </w:rPr>
        <w:lastRenderedPageBreak/>
        <w:t>融合，促进教育链、人才链与产业链、创新链有机衔接，积极推进工学结合与校企合作，完善专业随着产业发展动态调整机制，促进职业教育专业设置与市场需求无缝对接，提升职业教育与产业需求的适配程度。强化农业科技人才队伍建设，实施农业科研骨干人才培养计划</w:t>
      </w:r>
    </w:p>
    <w:p w14:paraId="5CFE4E15" w14:textId="77777777" w:rsidR="00B5342F" w:rsidRDefault="00B5342F">
      <w:pPr>
        <w:pStyle w:val="2"/>
        <w:ind w:firstLine="640"/>
      </w:pPr>
    </w:p>
    <w:p w14:paraId="23065D90" w14:textId="77777777" w:rsidR="00B5342F" w:rsidRDefault="00000000">
      <w:pPr>
        <w:pStyle w:val="20"/>
        <w:keepNext w:val="0"/>
        <w:keepLines w:val="0"/>
        <w:wordWrap w:val="0"/>
        <w:topLinePunct/>
        <w:spacing w:before="0" w:after="0" w:line="560" w:lineRule="exact"/>
        <w:jc w:val="center"/>
        <w:rPr>
          <w:rFonts w:ascii="方正小标宋简体" w:eastAsia="方正小标宋简体" w:hAnsi="方正小标宋简体" w:cs="方正小标宋简体" w:hint="eastAsia"/>
          <w:b w:val="0"/>
          <w:bCs w:val="0"/>
        </w:rPr>
      </w:pPr>
      <w:bookmarkStart w:id="182" w:name="_Toc3542"/>
      <w:bookmarkStart w:id="183" w:name="_Toc31041"/>
      <w:bookmarkStart w:id="184" w:name="_Toc31141"/>
      <w:bookmarkStart w:id="185" w:name="_Toc7475"/>
      <w:bookmarkStart w:id="186" w:name="_Toc7657"/>
      <w:r>
        <w:rPr>
          <w:rFonts w:ascii="方正小标宋简体" w:eastAsia="方正小标宋简体" w:hAnsi="方正小标宋简体" w:cs="方正小标宋简体" w:hint="eastAsia"/>
          <w:b w:val="0"/>
          <w:bCs w:val="0"/>
        </w:rPr>
        <w:t>第五章  优先发展农业农村  深入推进乡村振兴</w:t>
      </w:r>
      <w:bookmarkEnd w:id="182"/>
      <w:bookmarkEnd w:id="183"/>
      <w:bookmarkEnd w:id="184"/>
      <w:bookmarkEnd w:id="185"/>
      <w:bookmarkEnd w:id="186"/>
    </w:p>
    <w:p w14:paraId="4640204C"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坚持农业农村优先发展，把实施乡村振兴战略作为实现农业农村现代化的总抓手，激发实现农业农村现代化的内生发展动力，着力推进农村产业、生态、文化、治理和生活全方位现代化。</w:t>
      </w:r>
    </w:p>
    <w:p w14:paraId="2523EC49" w14:textId="77777777" w:rsidR="00B5342F" w:rsidRDefault="00B5342F">
      <w:pPr>
        <w:pStyle w:val="2"/>
        <w:wordWrap w:val="0"/>
        <w:topLinePunct/>
        <w:ind w:firstLine="640"/>
      </w:pPr>
    </w:p>
    <w:p w14:paraId="6E2C7CD7"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187" w:name="_Toc54868548"/>
      <w:bookmarkStart w:id="188" w:name="_Toc31296"/>
      <w:bookmarkStart w:id="189" w:name="_Toc8889"/>
      <w:bookmarkStart w:id="190" w:name="_Toc4548"/>
      <w:bookmarkStart w:id="191" w:name="_Toc64715936"/>
      <w:bookmarkStart w:id="192" w:name="_Toc2932"/>
      <w:bookmarkStart w:id="193" w:name="_Toc12353"/>
      <w:bookmarkStart w:id="194" w:name="_Toc19011"/>
      <w:r>
        <w:rPr>
          <w:rFonts w:ascii="黑体" w:eastAsia="黑体" w:hAnsi="黑体" w:cs="黑体" w:hint="eastAsia"/>
          <w:b w:val="0"/>
          <w:bCs w:val="0"/>
          <w:sz w:val="28"/>
          <w:szCs w:val="28"/>
        </w:rPr>
        <w:t xml:space="preserve">第一节  </w:t>
      </w:r>
      <w:bookmarkEnd w:id="187"/>
      <w:r>
        <w:rPr>
          <w:rFonts w:ascii="黑体" w:eastAsia="黑体" w:hAnsi="黑体" w:cs="黑体" w:hint="eastAsia"/>
          <w:b w:val="0"/>
          <w:bCs w:val="0"/>
          <w:sz w:val="28"/>
          <w:szCs w:val="28"/>
        </w:rPr>
        <w:t>巩固拓展脱贫攻坚成果</w:t>
      </w:r>
      <w:bookmarkEnd w:id="188"/>
      <w:bookmarkEnd w:id="189"/>
      <w:bookmarkEnd w:id="190"/>
      <w:bookmarkEnd w:id="191"/>
      <w:bookmarkEnd w:id="192"/>
      <w:bookmarkEnd w:id="193"/>
      <w:bookmarkEnd w:id="194"/>
    </w:p>
    <w:p w14:paraId="3BBE3985" w14:textId="77777777" w:rsidR="00B5342F" w:rsidRDefault="00000000">
      <w:pPr>
        <w:pStyle w:val="2"/>
        <w:wordWrap w:val="0"/>
        <w:topLinePunct/>
        <w:ind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推动减贫战略和工作体系平稳转型，将脱贫攻坚成熟定型的责任体系、工作体系、政策体系、投入体系、帮扶体系、社会动员体系统筹纳入乡村振兴。健全完善防止返贫监测和帮扶制度机制。紧盯防止返贫和致贫两大重点，对全市农业户籍5.24万户23.74万人以及因病因灾因意外事故等刚性支出较大或收入大幅度缩减导致基本生活出现严重困难户实施常态化监测，做到及时发现、快速响应、动态清零。继续精准施策，将新识别脱贫不稳定人口、边缘易致贫人口分层分类及时纳入帮扶政策范围，建立实名制台账，采取有针对性的帮扶措施。用好自治区设立的防风险基金等，切实把返贫致贫风险降到最低。</w:t>
      </w:r>
      <w:r>
        <w:rPr>
          <w:rFonts w:asciiTheme="minorEastAsia" w:eastAsiaTheme="minorEastAsia" w:hAnsiTheme="minorEastAsia" w:cstheme="minorEastAsia" w:hint="eastAsia"/>
          <w:kern w:val="0"/>
          <w:sz w:val="28"/>
          <w:szCs w:val="28"/>
        </w:rPr>
        <w:t>加大易地扶贫搬迁后续扶持力度，继续完善基础设施和公共服务设施建设，实现易地扶贫搬迁稳得住、有就业、逐步能致富。</w:t>
      </w:r>
      <w:r>
        <w:rPr>
          <w:rFonts w:asciiTheme="minorEastAsia" w:eastAsiaTheme="minorEastAsia" w:hAnsiTheme="minorEastAsia" w:cstheme="minorEastAsia" w:hint="eastAsia"/>
          <w:sz w:val="28"/>
          <w:szCs w:val="28"/>
        </w:rPr>
        <w:t>坚持开发式帮扶方针，深化感恩教育，改进帮扶方式，引导群众依靠自己双手勤劳致富。</w:t>
      </w:r>
    </w:p>
    <w:p w14:paraId="0BB16F13" w14:textId="77777777" w:rsidR="00B5342F" w:rsidRDefault="00000000">
      <w:pPr>
        <w:pStyle w:val="20"/>
        <w:keepNext w:val="0"/>
        <w:keepLines w:val="0"/>
        <w:wordWrap w:val="0"/>
        <w:topLinePunct/>
        <w:spacing w:before="0" w:after="0" w:line="550" w:lineRule="exact"/>
        <w:jc w:val="center"/>
        <w:rPr>
          <w:rFonts w:ascii="黑体" w:eastAsia="黑体" w:hAnsi="黑体" w:cs="黑体" w:hint="eastAsia"/>
          <w:b w:val="0"/>
          <w:bCs w:val="0"/>
          <w:sz w:val="28"/>
          <w:szCs w:val="28"/>
        </w:rPr>
      </w:pPr>
      <w:bookmarkStart w:id="195" w:name="_Toc18311"/>
      <w:bookmarkStart w:id="196" w:name="_Toc9592"/>
      <w:bookmarkStart w:id="197" w:name="_Toc13637"/>
      <w:bookmarkStart w:id="198" w:name="_Toc63"/>
      <w:bookmarkStart w:id="199" w:name="_Toc28145"/>
      <w:bookmarkStart w:id="200" w:name="_Toc54868549"/>
      <w:bookmarkStart w:id="201" w:name="_Toc6560"/>
      <w:bookmarkStart w:id="202" w:name="_Toc64715937"/>
      <w:r>
        <w:rPr>
          <w:rFonts w:ascii="黑体" w:eastAsia="黑体" w:hAnsi="黑体" w:cs="黑体" w:hint="eastAsia"/>
          <w:b w:val="0"/>
          <w:bCs w:val="0"/>
          <w:sz w:val="28"/>
          <w:szCs w:val="28"/>
        </w:rPr>
        <w:lastRenderedPageBreak/>
        <w:t>第二节  实施特色产业发展壮大行动</w:t>
      </w:r>
      <w:bookmarkEnd w:id="195"/>
      <w:bookmarkEnd w:id="196"/>
      <w:bookmarkEnd w:id="197"/>
      <w:bookmarkEnd w:id="198"/>
      <w:bookmarkEnd w:id="199"/>
    </w:p>
    <w:p w14:paraId="30FED185" w14:textId="77777777" w:rsidR="00B5342F" w:rsidRDefault="00000000">
      <w:pPr>
        <w:wordWrap w:val="0"/>
        <w:topLinePunct/>
        <w:spacing w:line="55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坚持“做精一产、做优二产、做强三产”的产业发展思路，推进特色产业提质增效、一二三产融合发展，构建现代乡村产业体系</w:t>
      </w:r>
      <w:r>
        <w:rPr>
          <w:rFonts w:asciiTheme="minorEastAsia" w:hAnsiTheme="minorEastAsia" w:cstheme="minorEastAsia" w:hint="eastAsia"/>
          <w:b/>
          <w:bCs/>
          <w:sz w:val="28"/>
          <w:szCs w:val="28"/>
        </w:rPr>
        <w:t>。做精一产</w:t>
      </w:r>
      <w:r>
        <w:rPr>
          <w:rFonts w:asciiTheme="minorEastAsia" w:hAnsiTheme="minorEastAsia" w:cstheme="minorEastAsia" w:hint="eastAsia"/>
          <w:sz w:val="28"/>
          <w:szCs w:val="28"/>
        </w:rPr>
        <w:t>，以培育“十万、百万、千万、亿”级农业主导产业为重点，进一步优化产业布局，发挥龙头企业带动作用，大力发展养羊、兔、鸡等特色养殖业和香菇、甜瓜、玫瑰花等特色种植业。</w:t>
      </w:r>
      <w:r>
        <w:rPr>
          <w:rFonts w:asciiTheme="minorEastAsia" w:hAnsiTheme="minorEastAsia" w:cstheme="minorEastAsia" w:hint="eastAsia"/>
          <w:b/>
          <w:bCs/>
          <w:sz w:val="28"/>
          <w:szCs w:val="28"/>
        </w:rPr>
        <w:t>做优二产</w:t>
      </w:r>
      <w:r>
        <w:rPr>
          <w:rFonts w:asciiTheme="minorEastAsia" w:hAnsiTheme="minorEastAsia" w:cstheme="minorEastAsia" w:hint="eastAsia"/>
          <w:sz w:val="28"/>
          <w:szCs w:val="28"/>
        </w:rPr>
        <w:t>，加大招商引资力度，推动纺织服装、特色农产品、手工艺品等劳动密集型产业不断发展壮大。深化完善“总部（市）+片区工厂（乡）+扶贫车间（村）+农户”模式，推动企业产业链重点向下延伸，确保全市3个片区工厂，48个扶贫车间健康可持续发展，进一步扩大就业容量，增加就业收入。</w:t>
      </w:r>
      <w:r>
        <w:rPr>
          <w:rFonts w:asciiTheme="minorEastAsia" w:hAnsiTheme="minorEastAsia" w:cstheme="minorEastAsia" w:hint="eastAsia"/>
          <w:b/>
          <w:bCs/>
          <w:sz w:val="28"/>
          <w:szCs w:val="28"/>
        </w:rPr>
        <w:t>做强三产</w:t>
      </w:r>
      <w:r>
        <w:rPr>
          <w:rFonts w:asciiTheme="minorEastAsia" w:hAnsiTheme="minorEastAsia" w:cstheme="minorEastAsia" w:hint="eastAsia"/>
          <w:sz w:val="28"/>
          <w:szCs w:val="28"/>
        </w:rPr>
        <w:t>，支持农产品流通企业、电商、批发市场与乡村特色产业精准对接，推动产加销一体化发展。大力推进乡村旅游，挖掘旅游资源，推动脱贫户参与乡村旅游；大力推进电商扶贫，确保全市34家电子商务企业、2170家网店、126个村级电商综合服务站稳定发挥作用。持续加大消费帮扶力度，实行消费帮扶行动，拓展新疆维吾尔自治区内外农产品收购销售“两张网”，推进消费帮扶工作提档升级。</w:t>
      </w:r>
    </w:p>
    <w:p w14:paraId="3AB895D6" w14:textId="77777777" w:rsidR="00B5342F" w:rsidRDefault="00B5342F">
      <w:pPr>
        <w:pStyle w:val="2"/>
        <w:wordWrap w:val="0"/>
        <w:topLinePunct/>
        <w:spacing w:line="550" w:lineRule="exact"/>
        <w:ind w:firstLine="640"/>
      </w:pPr>
    </w:p>
    <w:p w14:paraId="56590743" w14:textId="77777777" w:rsidR="00B5342F" w:rsidRDefault="00000000">
      <w:pPr>
        <w:pStyle w:val="20"/>
        <w:keepNext w:val="0"/>
        <w:keepLines w:val="0"/>
        <w:wordWrap w:val="0"/>
        <w:topLinePunct/>
        <w:spacing w:before="0" w:after="0" w:line="550" w:lineRule="exact"/>
        <w:jc w:val="center"/>
        <w:rPr>
          <w:rFonts w:ascii="黑体" w:eastAsia="黑体" w:hAnsi="黑体" w:cs="黑体" w:hint="eastAsia"/>
          <w:b w:val="0"/>
          <w:bCs w:val="0"/>
          <w:sz w:val="28"/>
          <w:szCs w:val="28"/>
        </w:rPr>
      </w:pPr>
      <w:bookmarkStart w:id="203" w:name="_Toc2204"/>
      <w:bookmarkStart w:id="204" w:name="_Toc25466"/>
      <w:bookmarkStart w:id="205" w:name="_Toc21203"/>
      <w:bookmarkStart w:id="206" w:name="_Toc27390"/>
      <w:bookmarkStart w:id="207" w:name="_Toc19496"/>
      <w:r>
        <w:rPr>
          <w:rFonts w:ascii="黑体" w:eastAsia="黑体" w:hAnsi="黑体" w:cs="黑体" w:hint="eastAsia"/>
          <w:b w:val="0"/>
          <w:bCs w:val="0"/>
          <w:sz w:val="28"/>
          <w:szCs w:val="28"/>
        </w:rPr>
        <w:t>第三节  实施人才振兴行动</w:t>
      </w:r>
      <w:bookmarkEnd w:id="203"/>
      <w:bookmarkEnd w:id="204"/>
      <w:bookmarkEnd w:id="205"/>
      <w:bookmarkEnd w:id="206"/>
      <w:bookmarkEnd w:id="207"/>
    </w:p>
    <w:p w14:paraId="30786AFC" w14:textId="77777777" w:rsidR="00B5342F" w:rsidRDefault="00000000">
      <w:pPr>
        <w:pStyle w:val="2"/>
        <w:wordWrap w:val="0"/>
        <w:topLinePunct/>
        <w:spacing w:line="550" w:lineRule="exact"/>
        <w:ind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坚持党管人才原则，树立强烈的人才意识，将人才资源作为乡村振兴第一资源、人才驱动作为乡村振兴第一驱动，着力破除束缚人才发展的体制机制障碍，实行更加积极、更加开放、更加有效的人才政策，不断完善乡村振兴人才支撑体系，选好人才、育好人才、用好人才，培养造就一支新时代懂农业、爱农村、爱农民的“三农”工作人才队伍，激励人才在乡村大施所能、大展才华、大显身手，为实现和</w:t>
      </w:r>
      <w:r>
        <w:rPr>
          <w:rFonts w:asciiTheme="minorEastAsia" w:eastAsiaTheme="minorEastAsia" w:hAnsiTheme="minorEastAsia" w:cstheme="minorEastAsia" w:hint="eastAsia"/>
          <w:sz w:val="28"/>
          <w:szCs w:val="28"/>
        </w:rPr>
        <w:lastRenderedPageBreak/>
        <w:t>田市乡村振兴提供坚强的人才和智力保障。</w:t>
      </w:r>
    </w:p>
    <w:p w14:paraId="16AD10A1"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一、加强基层党政人才队伍建设</w:t>
      </w:r>
    </w:p>
    <w:p w14:paraId="0863A41E" w14:textId="77777777" w:rsidR="00B5342F" w:rsidRDefault="00000000">
      <w:pPr>
        <w:pStyle w:val="a4"/>
        <w:wordWrap w:val="0"/>
        <w:topLinePunct/>
        <w:ind w:firstLine="560"/>
        <w:rPr>
          <w:rFonts w:asciiTheme="minorEastAsia" w:eastAsiaTheme="minorEastAsia" w:hAnsiTheme="minorEastAsia" w:cstheme="minorEastAsia" w:hint="eastAsia"/>
          <w:szCs w:val="28"/>
        </w:rPr>
      </w:pPr>
      <w:r>
        <w:rPr>
          <w:rFonts w:asciiTheme="minorEastAsia" w:eastAsiaTheme="minorEastAsia" w:hAnsiTheme="minorEastAsia" w:cstheme="minorEastAsia" w:hint="eastAsia"/>
          <w:szCs w:val="28"/>
        </w:rPr>
        <w:t>按照村党支部书记后备力量1:2、村“两委”副职后备力量1:1的比例，采取“内选、外引、下派”相结合方式，将18周岁以上、45周岁以下的优秀网格党小组长、在村企业务工人员、村致富能手、外出务工经商返乡人员、退役军人、大中专毕业生及政治可靠、一贯表现好的农村“四老”人员子女等作为后备干部，完善村级后备力量选拔培养使用链。</w:t>
      </w:r>
    </w:p>
    <w:p w14:paraId="719BCC24"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二、实施新型职业农民培育工程</w:t>
      </w:r>
    </w:p>
    <w:p w14:paraId="00F37898" w14:textId="77777777" w:rsidR="00B5342F" w:rsidRDefault="00000000">
      <w:pPr>
        <w:pStyle w:val="a4"/>
        <w:wordWrap w:val="0"/>
        <w:topLinePunct/>
        <w:ind w:firstLine="560"/>
        <w:rPr>
          <w:rFonts w:asciiTheme="minorEastAsia" w:eastAsiaTheme="minorEastAsia" w:hAnsiTheme="minorEastAsia" w:cstheme="minorEastAsia" w:hint="eastAsia"/>
          <w:szCs w:val="28"/>
        </w:rPr>
      </w:pPr>
      <w:r>
        <w:rPr>
          <w:rFonts w:asciiTheme="minorEastAsia" w:eastAsiaTheme="minorEastAsia" w:hAnsiTheme="minorEastAsia" w:cstheme="minorEastAsia" w:hint="eastAsia"/>
          <w:szCs w:val="28"/>
        </w:rPr>
        <w:t>科学设置培训内容，提高教育培养的系统性科学性，满足高素质新型职业农民培育需求，分类型、分产业、分等级制定培训标准，设置培训模块和培训课程，合理调配师资力量，开展精细化培训。根据主导产业发展需求，统筹抓好新型农业经营主体带头人、务农农民、农业工人、社会化服务人员的培训工作。持续加强领军人才培养，遴选一批农民合作社负责人、农业经理人、青年农场主等参加自治区统一培训。依托职业院校和各类职业培训机构开展农民技能培训鉴定，全面提升农业劳动者职业技能水平和就业创业能力，对取得职称等级的新型职业农民，按照国家、自治区、地区有关标准给予一次性奖励。</w:t>
      </w:r>
    </w:p>
    <w:p w14:paraId="176607E8"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三、强化农村实用人才培养</w:t>
      </w:r>
    </w:p>
    <w:p w14:paraId="404A1AF6" w14:textId="77777777" w:rsidR="00B5342F" w:rsidRDefault="00000000">
      <w:pPr>
        <w:pStyle w:val="a4"/>
        <w:wordWrap w:val="0"/>
        <w:topLinePunct/>
        <w:ind w:firstLine="560"/>
        <w:rPr>
          <w:rFonts w:asciiTheme="minorEastAsia" w:eastAsiaTheme="minorEastAsia" w:hAnsiTheme="minorEastAsia" w:cstheme="minorEastAsia" w:hint="eastAsia"/>
          <w:szCs w:val="28"/>
        </w:rPr>
      </w:pPr>
      <w:r>
        <w:rPr>
          <w:rFonts w:asciiTheme="minorEastAsia" w:eastAsiaTheme="minorEastAsia" w:hAnsiTheme="minorEastAsia" w:cstheme="minorEastAsia" w:hint="eastAsia"/>
          <w:szCs w:val="28"/>
        </w:rPr>
        <w:t>以自治区“百千万培训行动计划”活动为契机，组建乡镇技术服务队。依托高等院校、农牧民技工学校和科技园区，建设农业科技人才培养示范基地，完善培养师资队伍，采取“基地+农户”“订单培养”等模式，加强农民科技致富带头人培训，大力培育乡村生产经营管理人才，壮大乡村科技人才队伍。</w:t>
      </w:r>
    </w:p>
    <w:p w14:paraId="75F91FE0"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四、引进培养农村教师、乡村医生等专业人才</w:t>
      </w:r>
    </w:p>
    <w:p w14:paraId="7148C810" w14:textId="77777777" w:rsidR="00B5342F" w:rsidRDefault="00000000">
      <w:pPr>
        <w:pStyle w:val="a4"/>
        <w:wordWrap w:val="0"/>
        <w:topLinePunct/>
        <w:ind w:firstLine="560"/>
        <w:rPr>
          <w:rFonts w:asciiTheme="minorEastAsia" w:eastAsiaTheme="minorEastAsia" w:hAnsiTheme="minorEastAsia" w:cstheme="minorEastAsia" w:hint="eastAsia"/>
          <w:szCs w:val="28"/>
        </w:rPr>
      </w:pPr>
      <w:r>
        <w:rPr>
          <w:rFonts w:asciiTheme="minorEastAsia" w:eastAsiaTheme="minorEastAsia" w:hAnsiTheme="minorEastAsia" w:cstheme="minorEastAsia" w:hint="eastAsia"/>
          <w:szCs w:val="28"/>
        </w:rPr>
        <w:t>继续实施“银龄计划”，从新疆维吾尔自治区内外返聘退休干部、教师，按需增补高素质师资，改善教师队伍比例，优化教师专业结构，不断扩大教师招聘规模。继续委托新疆维吾尔自治区内外院校实施“定向培养免费师范生计划”“定向中职免费师范生计划”，全部安排至乡镇及以下中小学、幼儿园及中职学校，积极鼓励免费师范生长期在乡镇中小学从教。开展全科医生转岗培训，医师、护士规范化培训，农村订单定向培养等工作。政府办基层医疗卫生机构专门设立全科医生岗位，公开招聘乡村卫生技术人员。</w:t>
      </w:r>
    </w:p>
    <w:p w14:paraId="102FF90A" w14:textId="77777777" w:rsidR="00B5342F" w:rsidRDefault="00B5342F">
      <w:pPr>
        <w:pStyle w:val="a4"/>
        <w:wordWrap w:val="0"/>
        <w:topLinePunct/>
        <w:ind w:firstLine="560"/>
        <w:rPr>
          <w:rFonts w:asciiTheme="minorEastAsia" w:eastAsiaTheme="minorEastAsia" w:hAnsiTheme="minorEastAsia" w:cstheme="minorEastAsia" w:hint="eastAsia"/>
          <w:szCs w:val="28"/>
        </w:rPr>
      </w:pPr>
    </w:p>
    <w:p w14:paraId="1B71A56A"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208" w:name="_Toc20043"/>
      <w:bookmarkStart w:id="209" w:name="_Toc26254"/>
      <w:bookmarkStart w:id="210" w:name="_Toc16098"/>
      <w:bookmarkStart w:id="211" w:name="_Toc30722"/>
      <w:bookmarkStart w:id="212" w:name="_Toc19310"/>
      <w:r>
        <w:rPr>
          <w:rFonts w:ascii="黑体" w:eastAsia="黑体" w:hAnsi="黑体" w:cs="黑体" w:hint="eastAsia"/>
          <w:b w:val="0"/>
          <w:bCs w:val="0"/>
          <w:sz w:val="28"/>
          <w:szCs w:val="28"/>
        </w:rPr>
        <w:t>第四节  实施文化振兴行动</w:t>
      </w:r>
      <w:bookmarkEnd w:id="208"/>
      <w:bookmarkEnd w:id="209"/>
      <w:bookmarkEnd w:id="210"/>
      <w:bookmarkEnd w:id="211"/>
      <w:bookmarkEnd w:id="212"/>
    </w:p>
    <w:p w14:paraId="71E3907F" w14:textId="77777777" w:rsidR="00B5342F" w:rsidRDefault="00000000">
      <w:pPr>
        <w:pStyle w:val="2"/>
        <w:wordWrap w:val="0"/>
        <w:topLinePunct/>
        <w:ind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坚持精神文明和物质文明一起抓，以社会主义核心价值观为引领，提升农民精神风貌，培育文明乡风、良好家风和淳朴民风，不断提高各乡镇社会文明程度，激发乡村文化创新创造活力。</w:t>
      </w:r>
    </w:p>
    <w:p w14:paraId="422B52CB"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一、加强农村先进文化宣传</w:t>
      </w:r>
    </w:p>
    <w:p w14:paraId="13141CED" w14:textId="77777777" w:rsidR="00B5342F" w:rsidRDefault="00000000">
      <w:pPr>
        <w:pStyle w:val="2"/>
        <w:wordWrap w:val="0"/>
        <w:topLinePunct/>
        <w:ind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加强全市农村广播电视建设，发挥广播电视村村通、户户通平台的作用，用好乡村大喇叭，把党的声音传到千家万户。规范基层文化阵地的使用标准、管理流程，管住建好农村农家书屋、文化室、文化大院、乡村学校、村民大舞台、农民夜校等各类文化阵地，确保正能量充沛、主旋律高昂。</w:t>
      </w:r>
    </w:p>
    <w:p w14:paraId="05A66826" w14:textId="77777777" w:rsidR="00B5342F" w:rsidRDefault="00000000">
      <w:pPr>
        <w:pStyle w:val="4"/>
        <w:keepNext w:val="0"/>
        <w:keepLines w:val="0"/>
        <w:wordWrap w:val="0"/>
        <w:topLinePunct/>
        <w:spacing w:before="0" w:after="0" w:line="560" w:lineRule="exact"/>
        <w:ind w:firstLineChars="200" w:firstLine="560"/>
        <w:rPr>
          <w:rFonts w:asciiTheme="minorEastAsia" w:eastAsiaTheme="minorEastAsia" w:hAnsiTheme="minorEastAsia" w:cstheme="minorEastAsia" w:hint="eastAsia"/>
        </w:rPr>
      </w:pPr>
      <w:r>
        <w:rPr>
          <w:rFonts w:ascii="黑体" w:eastAsia="黑体" w:hAnsi="黑体" w:cs="黑体" w:hint="eastAsia"/>
          <w:b w:val="0"/>
          <w:bCs w:val="0"/>
        </w:rPr>
        <w:t>二、深化民族团结教育</w:t>
      </w:r>
    </w:p>
    <w:p w14:paraId="5BF6282F" w14:textId="77777777" w:rsidR="00B5342F" w:rsidRDefault="00000000">
      <w:pPr>
        <w:pStyle w:val="2"/>
        <w:wordWrap w:val="0"/>
        <w:topLinePunct/>
        <w:ind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深入开展民族团结宣传教育，利用每周一开展群众性集体活动等时机，充分发挥村宣讲专班人员和草根宣讲员作用，加大对宪法、《新疆维吾尔自治区民族团结进步工作条例》《新疆维吾尔自治区民族团</w:t>
      </w:r>
      <w:r>
        <w:rPr>
          <w:rFonts w:asciiTheme="minorEastAsia" w:eastAsiaTheme="minorEastAsia" w:hAnsiTheme="minorEastAsia" w:cstheme="minorEastAsia" w:hint="eastAsia"/>
          <w:sz w:val="28"/>
          <w:szCs w:val="28"/>
        </w:rPr>
        <w:lastRenderedPageBreak/>
        <w:t>结进步模范区创建条例》的宣传，为民族团结进步事业营造良好的舆论氛围。每个村培养2名以上民族团结草根宣讲员，每季度开展1次民族团结进步模范村民评选活动。持续深入开展民族团结进步创建活动，坚持长期培养、挖掘民族团结先进典型，形成人人讲团结、护团结、争当模范的浓厚氛围。扎实推进“民族团结一家亲”、民族团结联谊和各级学校“三进两联一交友”活动，促进各民族交往交流交融，让各族群众学习在一起、生活在一起、工作在一起，像石榴籽一样紧紧抱在一起。</w:t>
      </w:r>
    </w:p>
    <w:p w14:paraId="0D707DA0"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三、积极开展各类文化活动</w:t>
      </w:r>
    </w:p>
    <w:p w14:paraId="2F9021D7" w14:textId="77777777" w:rsidR="00B5342F" w:rsidRDefault="00000000">
      <w:pPr>
        <w:pStyle w:val="2"/>
        <w:wordWrap w:val="0"/>
        <w:topLinePunct/>
        <w:ind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组织开展文化下乡、文化进社区、文化进校园等文化活动，每年全市送文化进基层活动不少于200场次，其中公益演出60-70场。广泛开展文化广场会演、群众歌咏比赛、百姓大舞台等系列文化活动。每年组织大型广场文化活动不少于3个月。在全市范围内组织挖掘、整理、推广民族民间音乐、舞蹈、美术、曲艺、雕塑、风俗技艺等民俗文化，提高全市各族群众文化艺术欣赏水平。积极开展市级文化示范乡镇、街道，示范村（社区）创建活动，深入开展特色文化之乡、特色文化之村等活动。</w:t>
      </w:r>
    </w:p>
    <w:p w14:paraId="476F1038"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四、健全农村文化服务体系</w:t>
      </w:r>
    </w:p>
    <w:p w14:paraId="0ACE0964" w14:textId="77777777" w:rsidR="00B5342F" w:rsidRDefault="00000000">
      <w:pPr>
        <w:pStyle w:val="2"/>
        <w:wordWrap w:val="0"/>
        <w:topLinePunct/>
        <w:ind w:firstLine="560"/>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完善农村公共文化发展资金保障体系，建立以政府投入为主、社会多渠道投入为辅的投入和奖励机制，加快推进各类社会资本和生产要素向农村公共文化服务领域合理流动。建立基层公共文化服务统一供给机制，有针对、按步骤、分阶段地为全市农村提供公共文化服务产品。完善乡镇、街道公共文化设施布局，配备完善相关设施，“十四五”期间，实现乡乡有文化站、文化广场，村村有活动室的总体目</w:t>
      </w:r>
      <w:r>
        <w:rPr>
          <w:rFonts w:asciiTheme="minorEastAsia" w:eastAsiaTheme="minorEastAsia" w:hAnsiTheme="minorEastAsia" w:cstheme="minorEastAsia" w:hint="eastAsia"/>
          <w:sz w:val="28"/>
          <w:szCs w:val="28"/>
        </w:rPr>
        <w:lastRenderedPageBreak/>
        <w:t>标。</w:t>
      </w:r>
    </w:p>
    <w:p w14:paraId="1D4AFB06"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五、深入开展移风易俗行动</w:t>
      </w:r>
    </w:p>
    <w:p w14:paraId="608CE9C6" w14:textId="77777777" w:rsidR="00B5342F" w:rsidRDefault="00000000">
      <w:pPr>
        <w:pStyle w:val="a4"/>
        <w:wordWrap w:val="0"/>
        <w:topLinePunct/>
        <w:ind w:firstLine="560"/>
        <w:rPr>
          <w:rFonts w:asciiTheme="minorEastAsia" w:eastAsiaTheme="minorEastAsia" w:hAnsiTheme="minorEastAsia" w:cstheme="minorEastAsia" w:hint="eastAsia"/>
          <w:szCs w:val="28"/>
        </w:rPr>
      </w:pPr>
      <w:r>
        <w:rPr>
          <w:rFonts w:asciiTheme="minorEastAsia" w:eastAsiaTheme="minorEastAsia" w:hAnsiTheme="minorEastAsia" w:cstheme="minorEastAsia" w:hint="eastAsia"/>
          <w:szCs w:val="28"/>
        </w:rPr>
        <w:t>重点在婚丧嫁娶、清明祭祀、节日期间方面，深入推进移风易俗，着力培育乡村文明新风。一是婚事新办，鼓励婚礼简朴、大方，不攀比、不铺张，推崇集体婚礼、公益婚礼等现代文明婚礼形式。二是丧事简办，倡导厚养薄葬、仪式从简、文明办理。三是文明祭祀，提倡网上祭祀、节俭祭祀，不搞封建迷信、非法仪式。四是勤俭过节，以文化活动、文明祝福等方式欢度各类大小节日，反对铺张浪费，严禁非法聚会、非法活动。</w:t>
      </w:r>
    </w:p>
    <w:p w14:paraId="18F12D8B" w14:textId="77777777" w:rsidR="00B5342F" w:rsidRDefault="00B5342F">
      <w:pPr>
        <w:pStyle w:val="a4"/>
        <w:wordWrap w:val="0"/>
        <w:topLinePunct/>
        <w:ind w:firstLine="560"/>
        <w:rPr>
          <w:rFonts w:asciiTheme="minorEastAsia" w:eastAsiaTheme="minorEastAsia" w:hAnsiTheme="minorEastAsia" w:cstheme="minorEastAsia" w:hint="eastAsia"/>
          <w:szCs w:val="28"/>
        </w:rPr>
      </w:pPr>
    </w:p>
    <w:p w14:paraId="776CF473"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213" w:name="_Toc18845"/>
      <w:bookmarkStart w:id="214" w:name="_Toc16951"/>
      <w:bookmarkStart w:id="215" w:name="_Toc21948"/>
      <w:bookmarkStart w:id="216" w:name="_Toc24288"/>
      <w:bookmarkStart w:id="217" w:name="_Toc24268"/>
      <w:r>
        <w:rPr>
          <w:rFonts w:ascii="黑体" w:eastAsia="黑体" w:hAnsi="黑体" w:cs="黑体" w:hint="eastAsia"/>
          <w:b w:val="0"/>
          <w:bCs w:val="0"/>
          <w:sz w:val="28"/>
          <w:szCs w:val="28"/>
        </w:rPr>
        <w:t>第五节  实施生态振兴行动</w:t>
      </w:r>
      <w:bookmarkEnd w:id="213"/>
      <w:bookmarkEnd w:id="214"/>
      <w:bookmarkEnd w:id="215"/>
      <w:bookmarkEnd w:id="216"/>
      <w:bookmarkEnd w:id="217"/>
    </w:p>
    <w:p w14:paraId="29EAE081"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牢固树立和践行“绿水青山就是金山银山”的理念，坚持尊重自然、顺应自然、保护自然，以防沙治沙保护生态绿洲为重点，转变生产生活方式，推动乡村生态振兴。</w:t>
      </w:r>
    </w:p>
    <w:p w14:paraId="32B3911A"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一、实施农村人居环境整治行动</w:t>
      </w:r>
    </w:p>
    <w:p w14:paraId="2DD25CED"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巩固农村人居环境整治成果，按照乡村振兴”十个好“标准，持续抓好村庄整洁、三区分离、厕所革命、产业入户”四位一体“专项行动，打造”一村一风景、一村一特点”乡村振兴示范点。</w:t>
      </w:r>
    </w:p>
    <w:p w14:paraId="7A43B8B3"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二、开展农业废弃物资源化利用</w:t>
      </w:r>
    </w:p>
    <w:p w14:paraId="1311AB9B"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农田废旧地膜和农药包装物等农业有机废弃物要依法治理或结合引进项目进行无害化处理和资源化利用，可采取回购等措施，减少农村面源污染。以玉米、小麦、棉花秸秆直接粉碎还田为重点，结合秸秆腐熟还田、堆沤还田及秸秆有机肥应用等方式，稳步推进秸秆肥料化利用。以种植大户、专业合作社、家庭农场为主体，鼓励农民使</w:t>
      </w:r>
      <w:r>
        <w:rPr>
          <w:rFonts w:asciiTheme="minorEastAsia" w:hAnsiTheme="minorEastAsia" w:cstheme="minorEastAsia" w:hint="eastAsia"/>
          <w:sz w:val="28"/>
          <w:szCs w:val="28"/>
        </w:rPr>
        <w:lastRenderedPageBreak/>
        <w:t>用测土配方施肥技术，通过精准施肥、调整肥料结构、改进施肥方式及有机肥替代等，减少化肥使用量，通过示范带动，扩大实施规模。大力推广应用高效低毒低残留农药和绿色统防统治技术。</w:t>
      </w:r>
    </w:p>
    <w:p w14:paraId="27F12776"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三、加强农村饮用水水源保护</w:t>
      </w:r>
    </w:p>
    <w:p w14:paraId="69839EA6"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在完成饮用水水源保护区划定基础上，开展全市城市集中式、农村集中式饮用水水源保护区界碑、交通警示牌、宣传牌和保护区内道路警示标志排查及设置。加强水源周边畜禽养殖废弃物的处理处置，综合治理农业面源污染。定期开展饮用水水源地周边环境安全隐患排查及饮用水水源地环境风险评估。完善水污染应急预案，按照水污染突发环境事件联防联控机制组织开展工作。</w:t>
      </w:r>
    </w:p>
    <w:p w14:paraId="796A3CC3"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四、加强生态文明建设</w:t>
      </w:r>
    </w:p>
    <w:p w14:paraId="7BAA0BB5" w14:textId="77777777" w:rsidR="00B5342F" w:rsidRDefault="00000000">
      <w:pPr>
        <w:pStyle w:val="a4"/>
        <w:numPr>
          <w:ilvl w:val="255"/>
          <w:numId w:val="0"/>
        </w:numPr>
        <w:wordWrap w:val="0"/>
        <w:topLinePunct/>
        <w:spacing w:line="580" w:lineRule="exact"/>
        <w:ind w:firstLine="640"/>
        <w:rPr>
          <w:rFonts w:asciiTheme="minorEastAsia" w:eastAsiaTheme="minorEastAsia" w:hAnsiTheme="minorEastAsia" w:cstheme="minorEastAsia" w:hint="eastAsia"/>
          <w:szCs w:val="28"/>
        </w:rPr>
      </w:pPr>
      <w:r>
        <w:rPr>
          <w:rFonts w:asciiTheme="minorEastAsia" w:eastAsiaTheme="minorEastAsia" w:hAnsiTheme="minorEastAsia" w:cstheme="minorEastAsia" w:hint="eastAsia"/>
          <w:szCs w:val="28"/>
        </w:rPr>
        <w:t>牢固树立绿水青山就是金山银山的理念，加大生态环境保护力度，坚定不移走生态优先、绿色发展之路，严禁玉石采挖，巩固“大棚房”专项治理成果。严守“三条红线”，加强耕地保护，启动水源地保护替代工程，合理调整水源地保护范围。</w:t>
      </w:r>
    </w:p>
    <w:p w14:paraId="45901D28" w14:textId="77777777" w:rsidR="00B5342F" w:rsidRDefault="00B5342F">
      <w:pPr>
        <w:pStyle w:val="a4"/>
        <w:numPr>
          <w:ilvl w:val="255"/>
          <w:numId w:val="0"/>
        </w:numPr>
        <w:wordWrap w:val="0"/>
        <w:topLinePunct/>
        <w:spacing w:line="580" w:lineRule="exact"/>
        <w:ind w:firstLine="641"/>
        <w:rPr>
          <w:rFonts w:asciiTheme="minorEastAsia" w:eastAsiaTheme="minorEastAsia" w:hAnsiTheme="minorEastAsia" w:cstheme="minorEastAsia" w:hint="eastAsia"/>
          <w:szCs w:val="28"/>
        </w:rPr>
      </w:pPr>
    </w:p>
    <w:p w14:paraId="44BB71DB"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218" w:name="_Toc17548"/>
      <w:bookmarkStart w:id="219" w:name="_Toc895"/>
      <w:bookmarkStart w:id="220" w:name="_Toc24436"/>
      <w:bookmarkStart w:id="221" w:name="_Toc5204"/>
      <w:bookmarkStart w:id="222" w:name="_Toc25974"/>
      <w:r>
        <w:rPr>
          <w:rFonts w:ascii="黑体" w:eastAsia="黑体" w:hAnsi="黑体" w:cs="黑体" w:hint="eastAsia"/>
          <w:b w:val="0"/>
          <w:bCs w:val="0"/>
          <w:sz w:val="28"/>
          <w:szCs w:val="28"/>
        </w:rPr>
        <w:t>第六节  实施组织振兴行动</w:t>
      </w:r>
      <w:bookmarkEnd w:id="218"/>
      <w:bookmarkEnd w:id="219"/>
      <w:bookmarkEnd w:id="220"/>
      <w:bookmarkEnd w:id="221"/>
      <w:bookmarkEnd w:id="222"/>
    </w:p>
    <w:p w14:paraId="660BAEBB"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建立健全党委领导、政府负责、社会协同、公众参与、法治保障的现代乡村社会治理体制，健全自治、法治、德治相结合的乡村治理体系，确保乡村社会充满活力、和谐有序。</w:t>
      </w:r>
    </w:p>
    <w:p w14:paraId="693B2368"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一、健全以党组织为核心的组织体系</w:t>
      </w:r>
    </w:p>
    <w:p w14:paraId="1CCA4711"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围绕发挥领导核心、政治核心作用，进一步完善上下贯通、执行有力的组织体系、领导体制和运行机制，不断增强创造力凝聚力战斗</w:t>
      </w:r>
      <w:r>
        <w:rPr>
          <w:rFonts w:asciiTheme="minorEastAsia" w:hAnsiTheme="minorEastAsia" w:cstheme="minorEastAsia" w:hint="eastAsia"/>
          <w:sz w:val="28"/>
          <w:szCs w:val="28"/>
        </w:rPr>
        <w:lastRenderedPageBreak/>
        <w:t>力，引领各类党组织聚焦中心任务、聚力全局工作，引导基层党组织和广大党员成为乡村振兴的主心骨。发挥党组织的战斗堡垒和党员的先锋模范作用，推动农村基层党组织和党员在乡村振兴中提高威信、提升影响。积极开展“星级化”创建，促进村级党组织管理制度化、科学化，创先争优、比学赶超，切实提升基层组织力，建强基层战斗堡垒。完善“一事一议”“四议两公开”、村级重大事项民主议事决策程序等基层民主制度，充分发挥村务监督委员会作用，确保权力在阳光下运行。</w:t>
      </w:r>
    </w:p>
    <w:p w14:paraId="17151B70"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二、加强农村基层党组织带头人队伍建设</w:t>
      </w:r>
    </w:p>
    <w:p w14:paraId="1FCA5D60"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好干部标准，选优配强村党组织书记，重点从本村优秀致富能手、外出务工经商返回人员、本乡本村大学毕业生、退役军人中培养选拔村党组织书记。重视农业农村干部的培养、以增强综合素质能力为目标，以提升国家通用语言文字水平为重点，压实乡镇党委、包村领导、第一书记责任等制度，着力提升村“两委”特别是党组织书记的学习力、理解力、执行力、落实力。通过本土人才回引、院校定向培养、市乡统筹招聘，以及从村民小组长和“十户长”等人员中优选等方式，扩大视野，拓宽渠道，按照每村3至5名标准建立村级骨干人才库，构建选才、育才、用才的选拔培养使用链。</w:t>
      </w:r>
    </w:p>
    <w:p w14:paraId="316CDC81"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三、完善“三治”结合的乡村治理体系</w:t>
      </w:r>
    </w:p>
    <w:p w14:paraId="38541648"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自治、法治、德治相结合的治理结构，充分发挥党组织、社会组织和自治组织的乡村治理功能。在基层党组织的领导下，完善群众自主议事、自治管理、自我服务机制，提高村民自治能力。加强农村法治宣传教育，增强基层干部法治观念，提高农民群众法治素养；</w:t>
      </w:r>
      <w:r>
        <w:rPr>
          <w:rFonts w:asciiTheme="minorEastAsia" w:hAnsiTheme="minorEastAsia" w:cstheme="minorEastAsia" w:hint="eastAsia"/>
          <w:sz w:val="28"/>
          <w:szCs w:val="28"/>
        </w:rPr>
        <w:lastRenderedPageBreak/>
        <w:t>强调道德教化作用，塑造尊老爱幼、济贫扶弱、维护公益的道德标准，打造充满活力、和谐有序的善治乡村。</w:t>
      </w:r>
      <w:bookmarkEnd w:id="200"/>
      <w:bookmarkEnd w:id="201"/>
      <w:bookmarkEnd w:id="202"/>
    </w:p>
    <w:tbl>
      <w:tblPr>
        <w:tblW w:w="8560" w:type="dxa"/>
        <w:jc w:val="center"/>
        <w:tblLayout w:type="fixed"/>
        <w:tblLook w:val="04A0" w:firstRow="1" w:lastRow="0" w:firstColumn="1" w:lastColumn="0" w:noHBand="0" w:noVBand="1"/>
      </w:tblPr>
      <w:tblGrid>
        <w:gridCol w:w="8560"/>
      </w:tblGrid>
      <w:tr w:rsidR="00B5342F" w14:paraId="2DA600A7" w14:textId="77777777">
        <w:trPr>
          <w:trHeight w:hRule="exact" w:val="562"/>
          <w:jc w:val="center"/>
        </w:trPr>
        <w:tc>
          <w:tcPr>
            <w:tcW w:w="8560" w:type="dxa"/>
            <w:tcBorders>
              <w:top w:val="single" w:sz="4" w:space="0" w:color="auto"/>
              <w:left w:val="single" w:sz="4" w:space="0" w:color="auto"/>
              <w:bottom w:val="single" w:sz="4" w:space="0" w:color="auto"/>
              <w:right w:val="single" w:sz="4" w:space="0" w:color="auto"/>
            </w:tcBorders>
            <w:vAlign w:val="center"/>
          </w:tcPr>
          <w:p w14:paraId="0CE7A4B2" w14:textId="77777777" w:rsidR="00B5342F" w:rsidRDefault="00000000">
            <w:pPr>
              <w:wordWrap w:val="0"/>
              <w:topLinePunct/>
              <w:spacing w:line="260" w:lineRule="exact"/>
              <w:ind w:rightChars="100" w:right="210"/>
              <w:rPr>
                <w:rFonts w:asciiTheme="minorEastAsia" w:hAnsiTheme="minorEastAsia" w:cstheme="minorEastAsia" w:hint="eastAsia"/>
                <w:color w:val="000000"/>
                <w:kern w:val="0"/>
                <w:sz w:val="24"/>
                <w:szCs w:val="24"/>
              </w:rPr>
            </w:pPr>
            <w:r>
              <w:rPr>
                <w:rFonts w:asciiTheme="minorEastAsia" w:hAnsiTheme="minorEastAsia" w:cstheme="minorEastAsia" w:hint="eastAsia"/>
                <w:color w:val="000000"/>
                <w:kern w:val="0"/>
                <w:sz w:val="24"/>
                <w:szCs w:val="24"/>
              </w:rPr>
              <w:t>专栏5-1                  乡村振兴重点工程项目</w:t>
            </w:r>
          </w:p>
        </w:tc>
      </w:tr>
      <w:tr w:rsidR="00B5342F" w14:paraId="4E79EFA7" w14:textId="77777777">
        <w:trPr>
          <w:trHeight w:val="7482"/>
          <w:jc w:val="center"/>
        </w:trPr>
        <w:tc>
          <w:tcPr>
            <w:tcW w:w="8560" w:type="dxa"/>
            <w:tcBorders>
              <w:top w:val="single" w:sz="4" w:space="0" w:color="auto"/>
              <w:left w:val="single" w:sz="4" w:space="0" w:color="auto"/>
              <w:bottom w:val="single" w:sz="4" w:space="0" w:color="auto"/>
              <w:right w:val="single" w:sz="4" w:space="0" w:color="auto"/>
            </w:tcBorders>
            <w:vAlign w:val="center"/>
          </w:tcPr>
          <w:p w14:paraId="5473E527" w14:textId="77777777" w:rsidR="00B5342F" w:rsidRDefault="00000000">
            <w:pPr>
              <w:numPr>
                <w:ilvl w:val="255"/>
                <w:numId w:val="0"/>
              </w:numPr>
              <w:wordWrap w:val="0"/>
              <w:topLinePunct/>
              <w:spacing w:line="440" w:lineRule="exact"/>
              <w:ind w:rightChars="100" w:right="210" w:firstLineChars="200" w:firstLine="482"/>
              <w:rPr>
                <w:rFonts w:asciiTheme="minorEastAsia" w:hAnsiTheme="minorEastAsia" w:cstheme="minorEastAsia" w:hint="eastAsia"/>
                <w:color w:val="000000"/>
                <w:kern w:val="0"/>
                <w:sz w:val="24"/>
                <w:szCs w:val="24"/>
              </w:rPr>
            </w:pPr>
            <w:r>
              <w:rPr>
                <w:rFonts w:asciiTheme="minorEastAsia" w:hAnsiTheme="minorEastAsia" w:cstheme="minorEastAsia" w:hint="eastAsia"/>
                <w:b/>
                <w:color w:val="000000"/>
                <w:sz w:val="24"/>
                <w:szCs w:val="24"/>
              </w:rPr>
              <w:t>1.产业振兴工程。</w:t>
            </w:r>
            <w:r>
              <w:rPr>
                <w:rFonts w:asciiTheme="minorEastAsia" w:hAnsiTheme="minorEastAsia" w:cstheme="minorEastAsia" w:hint="eastAsia"/>
                <w:color w:val="000000"/>
                <w:kern w:val="0"/>
                <w:sz w:val="24"/>
                <w:szCs w:val="24"/>
              </w:rPr>
              <w:t>实施畜牧业、林果业提质增效工程、和田市建档立卡系统户育肥羊、兔养殖项目、和田市养兔棚舍建设项目（四期）、和田市多胎肉羊养殖繁育基地建设项目、和田市肉鸡养殖基地建设项目、和田市2021年设施农业大棚（一、二期）建设项目、畜牧产业园基础设施配套建设项目、现代农业产业园配套基础设施建设项目。</w:t>
            </w:r>
          </w:p>
          <w:p w14:paraId="7D2AE4E0" w14:textId="77777777" w:rsidR="00B5342F" w:rsidRDefault="00000000">
            <w:pPr>
              <w:wordWrap w:val="0"/>
              <w:topLinePunct/>
              <w:spacing w:line="440" w:lineRule="exact"/>
              <w:ind w:rightChars="100" w:right="210" w:firstLineChars="200" w:firstLine="482"/>
              <w:rPr>
                <w:rFonts w:asciiTheme="minorEastAsia" w:hAnsiTheme="minorEastAsia" w:cstheme="minorEastAsia" w:hint="eastAsia"/>
                <w:color w:val="000000"/>
                <w:kern w:val="0"/>
                <w:sz w:val="24"/>
                <w:szCs w:val="24"/>
              </w:rPr>
            </w:pPr>
            <w:r>
              <w:rPr>
                <w:rFonts w:asciiTheme="minorEastAsia" w:hAnsiTheme="minorEastAsia" w:cstheme="minorEastAsia" w:hint="eastAsia"/>
                <w:b/>
                <w:bCs/>
                <w:color w:val="000000"/>
                <w:kern w:val="0"/>
                <w:sz w:val="24"/>
                <w:szCs w:val="24"/>
              </w:rPr>
              <w:t>2.人才振兴工程。</w:t>
            </w:r>
            <w:r>
              <w:rPr>
                <w:rFonts w:asciiTheme="minorEastAsia" w:hAnsiTheme="minorEastAsia" w:cstheme="minorEastAsia" w:hint="eastAsia"/>
                <w:color w:val="000000"/>
                <w:kern w:val="0"/>
                <w:sz w:val="24"/>
                <w:szCs w:val="24"/>
              </w:rPr>
              <w:t>实施农村科研杰出人才计划、乡土人才培育计划、城乡职业技能公共实训基地、返乡下乡创业行动、高校毕业生基层成长计划、农村劳动力就业技能培训、乡村公共就业服务体系建设。</w:t>
            </w:r>
          </w:p>
          <w:p w14:paraId="719B722A" w14:textId="77777777" w:rsidR="00B5342F" w:rsidRDefault="00000000">
            <w:pPr>
              <w:wordWrap w:val="0"/>
              <w:topLinePunct/>
              <w:spacing w:line="440" w:lineRule="exact"/>
              <w:ind w:rightChars="100" w:right="210" w:firstLineChars="200" w:firstLine="482"/>
              <w:rPr>
                <w:rFonts w:asciiTheme="minorEastAsia" w:hAnsiTheme="minorEastAsia" w:cstheme="minorEastAsia" w:hint="eastAsia"/>
                <w:color w:val="000000"/>
                <w:kern w:val="0"/>
                <w:sz w:val="24"/>
                <w:szCs w:val="24"/>
              </w:rPr>
            </w:pPr>
            <w:r>
              <w:rPr>
                <w:rFonts w:asciiTheme="minorEastAsia" w:hAnsiTheme="minorEastAsia" w:cstheme="minorEastAsia" w:hint="eastAsia"/>
                <w:b/>
                <w:bCs/>
                <w:color w:val="000000"/>
                <w:kern w:val="0"/>
                <w:sz w:val="24"/>
                <w:szCs w:val="24"/>
              </w:rPr>
              <w:t>3.文化振兴工程。</w:t>
            </w:r>
            <w:r>
              <w:rPr>
                <w:rFonts w:asciiTheme="minorEastAsia" w:hAnsiTheme="minorEastAsia" w:cstheme="minorEastAsia" w:hint="eastAsia"/>
                <w:color w:val="000000"/>
                <w:kern w:val="0"/>
                <w:sz w:val="24"/>
                <w:szCs w:val="24"/>
              </w:rPr>
              <w:t>加强传统村落保护利用，建成一批富民特色文化旅游村镇。</w:t>
            </w:r>
          </w:p>
          <w:p w14:paraId="73779AC8" w14:textId="77777777" w:rsidR="00B5342F" w:rsidRDefault="00000000">
            <w:pPr>
              <w:wordWrap w:val="0"/>
              <w:topLinePunct/>
              <w:spacing w:line="440" w:lineRule="exact"/>
              <w:ind w:rightChars="100" w:right="210" w:firstLineChars="200" w:firstLine="482"/>
              <w:rPr>
                <w:rFonts w:asciiTheme="minorEastAsia" w:hAnsiTheme="minorEastAsia" w:cstheme="minorEastAsia" w:hint="eastAsia"/>
                <w:color w:val="000000"/>
                <w:kern w:val="0"/>
                <w:sz w:val="24"/>
                <w:szCs w:val="24"/>
              </w:rPr>
            </w:pPr>
            <w:r>
              <w:rPr>
                <w:rFonts w:asciiTheme="minorEastAsia" w:hAnsiTheme="minorEastAsia" w:cstheme="minorEastAsia" w:hint="eastAsia"/>
                <w:b/>
                <w:bCs/>
                <w:color w:val="000000"/>
                <w:kern w:val="0"/>
                <w:sz w:val="24"/>
                <w:szCs w:val="24"/>
              </w:rPr>
              <w:t>4.生态振兴工程。</w:t>
            </w:r>
            <w:r>
              <w:rPr>
                <w:rFonts w:asciiTheme="minorEastAsia" w:hAnsiTheme="minorEastAsia" w:cstheme="minorEastAsia" w:hint="eastAsia"/>
                <w:color w:val="000000"/>
                <w:kern w:val="0"/>
                <w:sz w:val="24"/>
                <w:szCs w:val="24"/>
              </w:rPr>
              <w:t>实施农村垃圾治理、农村生活污水治理、厕所革命、村庄绿化、乡村水环境治理等工程。主要包括：水系连同及农村水系统综合整治项目；城乡供水一体化工程项目；农村安全饮水巩固提升工程项目；农村垃圾、生活污水处理项目；村容村貌整治项目。</w:t>
            </w:r>
          </w:p>
        </w:tc>
      </w:tr>
    </w:tbl>
    <w:p w14:paraId="36EBC365" w14:textId="77777777" w:rsidR="00B5342F" w:rsidRDefault="00B5342F">
      <w:pPr>
        <w:pStyle w:val="20"/>
        <w:keepNext w:val="0"/>
        <w:keepLines w:val="0"/>
        <w:wordWrap w:val="0"/>
        <w:topLinePunct/>
        <w:spacing w:before="0" w:after="0" w:line="540" w:lineRule="exact"/>
        <w:jc w:val="center"/>
        <w:rPr>
          <w:rFonts w:ascii="方正小标宋简体" w:eastAsia="方正小标宋简体" w:hAnsi="方正小标宋简体" w:cs="方正小标宋简体" w:hint="eastAsia"/>
          <w:b w:val="0"/>
          <w:bCs w:val="0"/>
        </w:rPr>
      </w:pPr>
      <w:bookmarkStart w:id="223" w:name="_Toc31243"/>
      <w:bookmarkStart w:id="224" w:name="_Toc20394"/>
      <w:bookmarkStart w:id="225" w:name="_Toc64715941"/>
      <w:bookmarkStart w:id="226" w:name="_Toc887"/>
      <w:bookmarkStart w:id="227" w:name="_Toc20660"/>
      <w:bookmarkStart w:id="228" w:name="_Toc24924"/>
      <w:bookmarkStart w:id="229" w:name="_Toc31557"/>
    </w:p>
    <w:p w14:paraId="0DB3B87C" w14:textId="77777777" w:rsidR="00B5342F" w:rsidRDefault="00000000">
      <w:pPr>
        <w:pStyle w:val="20"/>
        <w:keepNext w:val="0"/>
        <w:keepLines w:val="0"/>
        <w:wordWrap w:val="0"/>
        <w:topLinePunct/>
        <w:spacing w:before="0" w:after="0" w:line="530" w:lineRule="exact"/>
        <w:jc w:val="center"/>
        <w:rPr>
          <w:rFonts w:ascii="方正小标宋简体" w:eastAsia="方正小标宋简体" w:hAnsi="方正小标宋简体" w:cs="方正小标宋简体" w:hint="eastAsia"/>
          <w:b w:val="0"/>
          <w:bCs w:val="0"/>
        </w:rPr>
      </w:pPr>
      <w:r>
        <w:rPr>
          <w:rFonts w:ascii="方正小标宋简体" w:eastAsia="方正小标宋简体" w:hAnsi="方正小标宋简体" w:cs="方正小标宋简体" w:hint="eastAsia"/>
          <w:b w:val="0"/>
          <w:bCs w:val="0"/>
        </w:rPr>
        <w:t xml:space="preserve">第六章  </w:t>
      </w:r>
      <w:bookmarkEnd w:id="57"/>
      <w:r>
        <w:rPr>
          <w:rFonts w:ascii="方正小标宋简体" w:eastAsia="方正小标宋简体" w:hAnsi="方正小标宋简体" w:cs="方正小标宋简体" w:hint="eastAsia"/>
          <w:b w:val="0"/>
          <w:bCs w:val="0"/>
        </w:rPr>
        <w:t>推进文化润疆  铸牢共同团结奋斗的思想基础</w:t>
      </w:r>
      <w:bookmarkEnd w:id="223"/>
      <w:bookmarkEnd w:id="224"/>
      <w:bookmarkEnd w:id="225"/>
      <w:bookmarkEnd w:id="226"/>
      <w:bookmarkEnd w:id="227"/>
      <w:bookmarkEnd w:id="228"/>
      <w:bookmarkEnd w:id="229"/>
    </w:p>
    <w:p w14:paraId="42B928C4" w14:textId="77777777" w:rsidR="00B5342F" w:rsidRDefault="00000000">
      <w:pPr>
        <w:wordWrap w:val="0"/>
        <w:topLinePunct/>
        <w:spacing w:line="53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全面实施文化润疆工程，铸牢意识形态领域阵地。加强党对意识形态工作的领导，严格落实意识形态工作责任制，确保意识形态领域绝对安全。坚持以社会主义核心价值观为引领，坚定不移举旗帜、聚民心、育新人、兴文化、展形象，铸牢中华民族共同体意识，繁荣发展文化事业和文化产业，促进满足人民文化需求和增强人民精神力量相统一，更好地宣传教育群众、团结凝聚人心。</w:t>
      </w:r>
    </w:p>
    <w:p w14:paraId="545DB820" w14:textId="77777777" w:rsidR="00B5342F" w:rsidRDefault="00000000">
      <w:pPr>
        <w:pStyle w:val="20"/>
        <w:keepNext w:val="0"/>
        <w:keepLines w:val="0"/>
        <w:wordWrap w:val="0"/>
        <w:topLinePunct/>
        <w:spacing w:before="0" w:after="0" w:line="530" w:lineRule="exact"/>
        <w:jc w:val="center"/>
        <w:rPr>
          <w:rFonts w:ascii="黑体" w:eastAsia="黑体" w:hAnsi="黑体" w:cs="黑体" w:hint="eastAsia"/>
          <w:b w:val="0"/>
          <w:bCs w:val="0"/>
          <w:sz w:val="28"/>
          <w:szCs w:val="28"/>
        </w:rPr>
      </w:pPr>
      <w:bookmarkStart w:id="230" w:name="_Toc64715943"/>
      <w:bookmarkStart w:id="231" w:name="_Toc24818"/>
      <w:bookmarkStart w:id="232" w:name="_Toc25151"/>
      <w:bookmarkStart w:id="233" w:name="_Toc429"/>
      <w:bookmarkStart w:id="234" w:name="_Toc2657"/>
      <w:bookmarkStart w:id="235" w:name="_Toc10026"/>
      <w:bookmarkStart w:id="236" w:name="_Toc27788"/>
      <w:r>
        <w:rPr>
          <w:rFonts w:ascii="黑体" w:eastAsia="黑体" w:hAnsi="黑体" w:cs="黑体" w:hint="eastAsia"/>
          <w:b w:val="0"/>
          <w:bCs w:val="0"/>
          <w:sz w:val="28"/>
          <w:szCs w:val="28"/>
        </w:rPr>
        <w:lastRenderedPageBreak/>
        <w:t>第一节  铸牢中华民族共同体意识</w:t>
      </w:r>
      <w:bookmarkEnd w:id="230"/>
      <w:bookmarkEnd w:id="231"/>
      <w:bookmarkEnd w:id="232"/>
      <w:bookmarkEnd w:id="233"/>
      <w:bookmarkEnd w:id="234"/>
      <w:bookmarkEnd w:id="235"/>
      <w:bookmarkEnd w:id="236"/>
    </w:p>
    <w:p w14:paraId="2A6D840F" w14:textId="77777777" w:rsidR="00B5342F" w:rsidRDefault="00000000">
      <w:pPr>
        <w:wordWrap w:val="0"/>
        <w:topLinePunct/>
        <w:spacing w:line="53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坚持以铸牢中华民族共同体意识为主线做好民族工作，全面贯彻党的民族政策，巩固发展平等团结互助和谐的社会主义民族关系。</w:t>
      </w:r>
      <w:r>
        <w:rPr>
          <w:rFonts w:ascii="宋体" w:eastAsia="宋体" w:hAnsi="宋体" w:cs="宋体" w:hint="eastAsia"/>
          <w:sz w:val="28"/>
          <w:szCs w:val="28"/>
          <w:lang w:val="zh-CN"/>
        </w:rPr>
        <w:t>深入挖掘和有效运用各民族交往交流交融的历史事实、考古文物、文化遗存，有力宣传阐释新疆广袤土地是各民族共同开拓的、新疆悠久历史是各民族共同书写的、新疆灿烂文化是各民族共同创造的。增强各族干部群众对伟大祖国、中华民族、中华文化、中国共产党、中国特色社会主义的认同。深入挖掘红色档案资源，传承红色基因，充分发挥档案在理想信念教育中的重要作用。持续开展民族团结宣传教育和民族团结进步创建活动，积极创建自治区暨</w:t>
      </w:r>
      <w:r>
        <w:rPr>
          <w:rFonts w:ascii="宋体" w:eastAsia="宋体" w:hAnsi="宋体" w:cs="宋体" w:hint="eastAsia"/>
          <w:sz w:val="28"/>
          <w:szCs w:val="28"/>
        </w:rPr>
        <w:t>全国民族团结进步示范市</w:t>
      </w:r>
      <w:r>
        <w:rPr>
          <w:rFonts w:ascii="宋体" w:eastAsia="宋体" w:hAnsi="宋体" w:cs="宋体" w:hint="eastAsia"/>
          <w:sz w:val="28"/>
          <w:szCs w:val="28"/>
          <w:lang w:val="zh-CN"/>
        </w:rPr>
        <w:t>。深化</w:t>
      </w:r>
      <w:r>
        <w:rPr>
          <w:rFonts w:ascii="宋体" w:eastAsia="宋体" w:hAnsi="宋体" w:cs="宋体" w:hint="eastAsia"/>
          <w:sz w:val="28"/>
          <w:szCs w:val="28"/>
        </w:rPr>
        <w:t>“民族团结一家亲”和民族团结联谊活动，创新开展青少年民族融情实践活动，促进各民族广泛交往、全面交流、深度交融。全面加强国家通用语言文字教育。</w:t>
      </w:r>
    </w:p>
    <w:p w14:paraId="46700486" w14:textId="77777777" w:rsidR="00B5342F" w:rsidRDefault="00B5342F">
      <w:pPr>
        <w:pStyle w:val="2"/>
        <w:spacing w:line="530" w:lineRule="exact"/>
        <w:ind w:firstLine="640"/>
      </w:pPr>
    </w:p>
    <w:p w14:paraId="526A50AF" w14:textId="77777777" w:rsidR="00B5342F" w:rsidRDefault="00000000">
      <w:pPr>
        <w:pStyle w:val="20"/>
        <w:keepNext w:val="0"/>
        <w:keepLines w:val="0"/>
        <w:wordWrap w:val="0"/>
        <w:topLinePunct/>
        <w:spacing w:before="0" w:after="0" w:line="530" w:lineRule="exact"/>
        <w:jc w:val="center"/>
        <w:rPr>
          <w:rFonts w:ascii="黑体" w:eastAsia="黑体" w:hAnsi="黑体" w:cs="黑体" w:hint="eastAsia"/>
          <w:b w:val="0"/>
          <w:bCs w:val="0"/>
          <w:sz w:val="28"/>
          <w:szCs w:val="28"/>
        </w:rPr>
      </w:pPr>
      <w:bookmarkStart w:id="237" w:name="_Toc15921"/>
      <w:bookmarkStart w:id="238" w:name="_Toc64715942"/>
      <w:bookmarkStart w:id="239" w:name="_Toc22431"/>
      <w:bookmarkStart w:id="240" w:name="_Toc6568"/>
      <w:bookmarkStart w:id="241" w:name="_Toc19229"/>
      <w:bookmarkStart w:id="242" w:name="_Toc12250"/>
      <w:bookmarkStart w:id="243" w:name="_Toc12377"/>
      <w:r>
        <w:rPr>
          <w:rFonts w:ascii="黑体" w:eastAsia="黑体" w:hAnsi="黑体" w:cs="黑体" w:hint="eastAsia"/>
          <w:b w:val="0"/>
          <w:bCs w:val="0"/>
          <w:sz w:val="28"/>
          <w:szCs w:val="28"/>
        </w:rPr>
        <w:t>第二节  深入实施文化润疆工程</w:t>
      </w:r>
      <w:bookmarkEnd w:id="237"/>
      <w:bookmarkEnd w:id="238"/>
      <w:bookmarkEnd w:id="239"/>
      <w:bookmarkEnd w:id="240"/>
      <w:bookmarkEnd w:id="241"/>
      <w:bookmarkEnd w:id="242"/>
      <w:bookmarkEnd w:id="243"/>
    </w:p>
    <w:p w14:paraId="53A638C4" w14:textId="77777777" w:rsidR="00B5342F" w:rsidRDefault="00000000">
      <w:pPr>
        <w:wordWrap w:val="0"/>
        <w:topLinePunct/>
        <w:spacing w:line="53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开展“习近平新时代中国特色社会主义思想进万家”活动，推进“中华经典诵读工程”、“广电精品润疆工程”、“网络视听作品创作工程”，推动中华优秀传统文化进学校、进家庭、进社区、进头脑。推动中华文化元素和标志性符号进文化馆、博物馆、图书馆等公共文化机构、进基层文化阵地、进A级旅游景区，建设一批具有中华特征和中华民族视觉形象的重点工程和项目。加强历史文物遗址和文物古籍保护利用，推进重要文化和自然遗产、非物质文化遗产保护传承，强化博物馆、纪念馆等宣教阵地建设和作用，深入挖掘同新疆维吾尔自治区外各民族交往交流交融的历史内涵，还历史原貌、用文物发声。强化学校思想政治工作，把立德树人融入思想道德教育、文化知识教育、社会实践教育各环节。</w:t>
      </w:r>
    </w:p>
    <w:p w14:paraId="2ADCA653" w14:textId="77777777" w:rsidR="00B5342F" w:rsidRDefault="00000000">
      <w:pPr>
        <w:pStyle w:val="20"/>
        <w:keepNext w:val="0"/>
        <w:keepLines w:val="0"/>
        <w:wordWrap w:val="0"/>
        <w:topLinePunct/>
        <w:spacing w:before="0" w:after="0" w:line="530" w:lineRule="exact"/>
        <w:jc w:val="center"/>
        <w:rPr>
          <w:rFonts w:ascii="黑体" w:eastAsia="黑体" w:hAnsi="黑体" w:cs="黑体" w:hint="eastAsia"/>
          <w:b w:val="0"/>
          <w:bCs w:val="0"/>
          <w:sz w:val="28"/>
          <w:szCs w:val="28"/>
        </w:rPr>
      </w:pPr>
      <w:bookmarkStart w:id="244" w:name="_Toc13055"/>
      <w:bookmarkStart w:id="245" w:name="_Toc64715944"/>
      <w:bookmarkStart w:id="246" w:name="_Toc19987"/>
      <w:bookmarkStart w:id="247" w:name="_Toc8081"/>
      <w:bookmarkStart w:id="248" w:name="_Toc26383"/>
      <w:bookmarkStart w:id="249" w:name="_Toc4461"/>
      <w:bookmarkStart w:id="250" w:name="_Toc16440"/>
      <w:r>
        <w:rPr>
          <w:rFonts w:ascii="黑体" w:eastAsia="黑体" w:hAnsi="黑体" w:cs="黑体" w:hint="eastAsia"/>
          <w:b w:val="0"/>
          <w:bCs w:val="0"/>
          <w:sz w:val="28"/>
          <w:szCs w:val="28"/>
        </w:rPr>
        <w:lastRenderedPageBreak/>
        <w:t>第三节  促进宗教和睦和谐</w:t>
      </w:r>
      <w:bookmarkEnd w:id="244"/>
      <w:bookmarkEnd w:id="245"/>
      <w:bookmarkEnd w:id="246"/>
      <w:bookmarkEnd w:id="247"/>
      <w:bookmarkEnd w:id="248"/>
      <w:bookmarkEnd w:id="249"/>
      <w:bookmarkEnd w:id="250"/>
    </w:p>
    <w:p w14:paraId="6DE57FF0" w14:textId="77777777" w:rsidR="00B5342F" w:rsidRDefault="00000000">
      <w:pPr>
        <w:wordWrap w:val="0"/>
        <w:topLinePunct/>
        <w:spacing w:line="530" w:lineRule="exact"/>
        <w:ind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全面贯彻党的宗教工作基本方针，坚持保护合法、制止非法、遏制极端、抵御渗透、打击犯罪，更好引导宗教与社会主义社会相适应。加强爱国宗教界人士关爱培养，建设一支政治上靠得住、宗教上有造诣、品德上能服众、关键时起作用的宗教教职人员队伍。推进伊斯兰教中国化经学思想建设，引导信教群众正信正行。全面贯彻党的宗教信仰自由政策，依法保护宗教团体、宗教活动场所、宗教人士和信教群众的合法权益。尊重信教群众的习俗，保障正常宗教需求和合法宗教活动。依法管理宗教事务，教育引导信教群众牢固树立国家意识、公民意识、法治意识。依法打击宗教极端势力，持续深入推进去极端化。</w:t>
      </w:r>
    </w:p>
    <w:p w14:paraId="186A0676" w14:textId="77777777" w:rsidR="00B5342F" w:rsidRDefault="00B5342F">
      <w:pPr>
        <w:pStyle w:val="2"/>
        <w:spacing w:line="240" w:lineRule="exact"/>
        <w:ind w:firstLine="640"/>
      </w:pPr>
    </w:p>
    <w:p w14:paraId="3686A27A"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251" w:name="_Toc54868535"/>
      <w:bookmarkStart w:id="252" w:name="_Toc16775"/>
      <w:bookmarkStart w:id="253" w:name="_Toc3373"/>
      <w:bookmarkStart w:id="254" w:name="_Toc64715945"/>
      <w:bookmarkStart w:id="255" w:name="_Toc14677"/>
      <w:bookmarkStart w:id="256" w:name="_Toc17013"/>
      <w:bookmarkStart w:id="257" w:name="_Toc7165"/>
      <w:bookmarkStart w:id="258" w:name="_Toc22581"/>
      <w:r>
        <w:rPr>
          <w:rFonts w:ascii="黑体" w:eastAsia="黑体" w:hAnsi="黑体" w:cs="黑体" w:hint="eastAsia"/>
          <w:b w:val="0"/>
          <w:bCs w:val="0"/>
          <w:sz w:val="28"/>
          <w:szCs w:val="28"/>
        </w:rPr>
        <w:t xml:space="preserve">第四节  </w:t>
      </w:r>
      <w:bookmarkEnd w:id="251"/>
      <w:r>
        <w:rPr>
          <w:rFonts w:ascii="黑体" w:eastAsia="黑体" w:hAnsi="黑体" w:cs="黑体" w:hint="eastAsia"/>
          <w:b w:val="0"/>
          <w:bCs w:val="0"/>
          <w:sz w:val="28"/>
          <w:szCs w:val="28"/>
        </w:rPr>
        <w:t>提高社会文明程度</w:t>
      </w:r>
      <w:bookmarkEnd w:id="252"/>
      <w:bookmarkEnd w:id="253"/>
      <w:bookmarkEnd w:id="254"/>
      <w:bookmarkEnd w:id="255"/>
      <w:bookmarkEnd w:id="256"/>
      <w:bookmarkEnd w:id="257"/>
      <w:bookmarkEnd w:id="258"/>
    </w:p>
    <w:p w14:paraId="6613F257"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推动形成适应新时代要求的思想观念、精神面貌、文明风尚、行为规范，提高社会文明程度。推进理想信念教育常态化制度化，加强爱国主义、集体主义、社会主义教育，加强党史、新中国史、改革开放史、社会主义发展史宣传教育，加强新疆地方与祖国关系史宣传教育，引导各族群众感恩幸福生活、厚植爱国情怀。实施公民道德建设工程，积极发挥人民团体和社会组织的作用，大力推进世俗文化、现代文化发展，教育引导群众破除陈规陋俗。实施文明创建工程，建立完善文明实践中心、所、站、点四级联动机制。继续开展文明城市、文明乡镇、文明村（社区）、文明单位创建活动，在2023年前创建成全国文明城市。加强网络文明建设，实施网络文艺精品创作和传播计划，培育积极健康、向上向善的网络文化。健全志愿服务体系，广泛开展志愿服务关爱行动。弘扬诚信文化，提倡艰苦奋斗、勤俭节约，加强家庭、家教、家风建设。</w:t>
      </w:r>
    </w:p>
    <w:p w14:paraId="2644F383" w14:textId="77777777" w:rsidR="00B5342F" w:rsidRDefault="00000000">
      <w:pPr>
        <w:pStyle w:val="20"/>
        <w:keepNext w:val="0"/>
        <w:keepLines w:val="0"/>
        <w:wordWrap w:val="0"/>
        <w:topLinePunct/>
        <w:spacing w:before="0" w:after="0" w:line="520" w:lineRule="exact"/>
        <w:jc w:val="center"/>
        <w:rPr>
          <w:rFonts w:ascii="黑体" w:eastAsia="黑体" w:hAnsi="黑体" w:cs="黑体" w:hint="eastAsia"/>
          <w:b w:val="0"/>
          <w:bCs w:val="0"/>
          <w:sz w:val="28"/>
          <w:szCs w:val="28"/>
        </w:rPr>
      </w:pPr>
      <w:bookmarkStart w:id="259" w:name="_Toc13584"/>
      <w:bookmarkStart w:id="260" w:name="_Toc13809"/>
      <w:bookmarkStart w:id="261" w:name="_Toc3256"/>
      <w:bookmarkStart w:id="262" w:name="_Toc64715946"/>
      <w:bookmarkStart w:id="263" w:name="_Toc1409"/>
      <w:bookmarkStart w:id="264" w:name="_Toc18406"/>
      <w:bookmarkStart w:id="265" w:name="_Toc27939"/>
      <w:r>
        <w:rPr>
          <w:rFonts w:ascii="黑体" w:eastAsia="黑体" w:hAnsi="黑体" w:cs="黑体" w:hint="eastAsia"/>
          <w:b w:val="0"/>
          <w:bCs w:val="0"/>
          <w:sz w:val="28"/>
          <w:szCs w:val="28"/>
        </w:rPr>
        <w:lastRenderedPageBreak/>
        <w:t>第五节  提升公共文化服务水平</w:t>
      </w:r>
      <w:bookmarkEnd w:id="259"/>
      <w:bookmarkEnd w:id="260"/>
      <w:bookmarkEnd w:id="261"/>
      <w:bookmarkEnd w:id="262"/>
      <w:bookmarkEnd w:id="263"/>
      <w:bookmarkEnd w:id="264"/>
      <w:bookmarkEnd w:id="265"/>
    </w:p>
    <w:p w14:paraId="3E3E9E64"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按照公益性、基本性、均等性、便利性的要求，构建以市“四馆一场一中心”为龙头，以乡镇（街道）“一站一队一团”为桥梁，以行政村“一村一队一书屋”为基础，以各类文化流动服务车为补充的公共文化服务体系，加强公共文化产品和服务供给，更好地满足各族群众精神文化生活需要。</w:t>
      </w:r>
    </w:p>
    <w:p w14:paraId="034F25D8" w14:textId="77777777" w:rsidR="00B5342F" w:rsidRDefault="00000000">
      <w:pPr>
        <w:pStyle w:val="4"/>
        <w:keepNext w:val="0"/>
        <w:keepLines w:val="0"/>
        <w:wordWrap w:val="0"/>
        <w:topLinePunct/>
        <w:spacing w:before="0" w:after="0" w:line="520" w:lineRule="exact"/>
        <w:ind w:firstLineChars="200" w:firstLine="560"/>
        <w:rPr>
          <w:rFonts w:ascii="黑体" w:eastAsia="黑体" w:hAnsi="黑体" w:cs="黑体" w:hint="eastAsia"/>
          <w:b w:val="0"/>
          <w:bCs w:val="0"/>
        </w:rPr>
      </w:pPr>
      <w:r>
        <w:rPr>
          <w:rFonts w:ascii="黑体" w:eastAsia="黑体" w:hAnsi="黑体" w:cs="黑体" w:hint="eastAsia"/>
          <w:b w:val="0"/>
          <w:bCs w:val="0"/>
        </w:rPr>
        <w:t>一、增强公共文化服务能力</w:t>
      </w:r>
    </w:p>
    <w:p w14:paraId="0E6B75D6"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强公共文化设施建设，推动数字图书馆、数字文化馆和数字博物馆建设，实施文化信息资源共享工程，继续做好图书馆、文化馆（站）免费开放工作，深入开展“你读书，我买单”“书香门第、耕读人家”“书香农超”图书漂流等全民阅读活动。到2025年，图书馆基层流动服务次数不低于40次，文工团免费送戏下乡150场，文化馆组织开展各类文化培训活动20次以上、流动展览10场以上；加强镇村两级文化队伍建设，培训文化骨干和文化能人，乡镇综合文化站逐步达到3人，每村统筹配置宣传文化员1名，每个乡镇、街道经常开展活动的体育健身队或民间艺术团至少1个，社区经常性开展文化活动周、民间艺术大赛等文化活动，各乡镇举办大型综合性文化体育活动1次以上，力争创建自治区级文化艺术之乡1个；开展“送文化送关爱进特校”活动，以及农民工、老年人免费观影、免费看戏等服务项目和活动，保障特殊群体公共文化权益；做好非物质文化遗产保护工作，扎实推进“一乡一品”，积极申报各级非遗传承示范基地、非遗项目、代表性传承人，新建一批非遗传承基地、传承学校、传习所，开展非遗传承培训，出版系列非遗丛书1-2本（套），拍摄非遗项目成果纪录片1部，举办非物质文化遗产展览、展示、展演活动2次以上。</w:t>
      </w:r>
    </w:p>
    <w:p w14:paraId="4B944638" w14:textId="77777777" w:rsidR="00B5342F" w:rsidRDefault="00000000">
      <w:pPr>
        <w:pStyle w:val="4"/>
        <w:keepNext w:val="0"/>
        <w:keepLines w:val="0"/>
        <w:wordWrap w:val="0"/>
        <w:topLinePunct/>
        <w:spacing w:before="0" w:after="0" w:line="520" w:lineRule="exact"/>
        <w:ind w:firstLineChars="200" w:firstLine="560"/>
        <w:rPr>
          <w:rFonts w:ascii="黑体" w:eastAsia="黑体" w:hAnsi="黑体" w:cs="黑体" w:hint="eastAsia"/>
          <w:b w:val="0"/>
          <w:bCs w:val="0"/>
        </w:rPr>
      </w:pPr>
      <w:r>
        <w:rPr>
          <w:rFonts w:ascii="黑体" w:eastAsia="黑体" w:hAnsi="黑体" w:cs="黑体" w:hint="eastAsia"/>
          <w:b w:val="0"/>
          <w:bCs w:val="0"/>
        </w:rPr>
        <w:t>二、创新公共文化服务体制机制</w:t>
      </w:r>
    </w:p>
    <w:p w14:paraId="1256BB06" w14:textId="77777777" w:rsidR="00B5342F" w:rsidRDefault="00000000">
      <w:pPr>
        <w:wordWrap w:val="0"/>
        <w:topLinePunct/>
        <w:spacing w:line="52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不断完善和田市融媒体中心，设置以“中央厨房”为核心的全媒</w:t>
      </w:r>
      <w:r>
        <w:rPr>
          <w:rFonts w:asciiTheme="minorEastAsia" w:hAnsiTheme="minorEastAsia" w:cstheme="minorEastAsia" w:hint="eastAsia"/>
          <w:sz w:val="28"/>
          <w:szCs w:val="28"/>
        </w:rPr>
        <w:lastRenderedPageBreak/>
        <w:t>体指挥调度中心、全媒体采访中心、全媒体编辑中心。建立群众文化需求反馈机制、健全标准动态调整机制、定期监测机制，制定公共文化服务提供目录，规范公共文化机构服务项目和服务流程，开展“菜单式”、“订单式”服务；调动社会力量积极参与公共文化服务体系建设，大力发展文化志愿服务，培育文化类社会组织，促进文化消费。</w:t>
      </w:r>
    </w:p>
    <w:tbl>
      <w:tblPr>
        <w:tblStyle w:val="af5"/>
        <w:tblW w:w="8320" w:type="dxa"/>
        <w:jc w:val="center"/>
        <w:tblLayout w:type="fixed"/>
        <w:tblLook w:val="04A0" w:firstRow="1" w:lastRow="0" w:firstColumn="1" w:lastColumn="0" w:noHBand="0" w:noVBand="1"/>
      </w:tblPr>
      <w:tblGrid>
        <w:gridCol w:w="8320"/>
      </w:tblGrid>
      <w:tr w:rsidR="00B5342F" w14:paraId="65875720" w14:textId="77777777">
        <w:trPr>
          <w:trHeight w:val="742"/>
          <w:jc w:val="center"/>
        </w:trPr>
        <w:tc>
          <w:tcPr>
            <w:tcW w:w="8320" w:type="dxa"/>
            <w:vAlign w:val="center"/>
          </w:tcPr>
          <w:p w14:paraId="24517F24" w14:textId="77777777" w:rsidR="00B5342F" w:rsidRDefault="00000000">
            <w:pPr>
              <w:wordWrap w:val="0"/>
              <w:topLinePunct/>
              <w:jc w:val="lef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专栏6-1                文化事业发展项目</w:t>
            </w:r>
          </w:p>
        </w:tc>
      </w:tr>
      <w:tr w:rsidR="00B5342F" w14:paraId="3FD21893" w14:textId="77777777">
        <w:trPr>
          <w:trHeight w:val="3583"/>
          <w:jc w:val="center"/>
        </w:trPr>
        <w:tc>
          <w:tcPr>
            <w:tcW w:w="8320" w:type="dxa"/>
            <w:vAlign w:val="center"/>
          </w:tcPr>
          <w:p w14:paraId="142658AB" w14:textId="77777777" w:rsidR="00B5342F" w:rsidRDefault="00000000">
            <w:pPr>
              <w:wordWrap w:val="0"/>
              <w:topLinePunct/>
              <w:spacing w:line="56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1.公共图书馆建设项目；2.公共文化馆建设项目；</w:t>
            </w:r>
          </w:p>
          <w:p w14:paraId="1E245D22" w14:textId="77777777" w:rsidR="00B5342F" w:rsidRDefault="00000000">
            <w:pPr>
              <w:wordWrap w:val="0"/>
              <w:topLinePunct/>
              <w:spacing w:line="56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3.非物质文化传承保护中心建设项目；4.市融媒体中心5G综合运用项目；</w:t>
            </w:r>
          </w:p>
          <w:p w14:paraId="74159FFD" w14:textId="77777777" w:rsidR="00B5342F" w:rsidRDefault="00000000">
            <w:pPr>
              <w:wordWrap w:val="0"/>
              <w:topLinePunct/>
              <w:spacing w:line="560" w:lineRule="exact"/>
              <w:ind w:firstLineChars="200" w:firstLine="480"/>
              <w:rPr>
                <w:sz w:val="24"/>
                <w:szCs w:val="24"/>
              </w:rPr>
            </w:pPr>
            <w:r>
              <w:rPr>
                <w:rFonts w:asciiTheme="minorEastAsia" w:hAnsiTheme="minorEastAsia" w:cstheme="minorEastAsia" w:hint="eastAsia"/>
                <w:sz w:val="24"/>
                <w:szCs w:val="24"/>
              </w:rPr>
              <w:t>5.广播电视“村村通”、直播卫星“户户通”设备升级项目；</w:t>
            </w:r>
          </w:p>
          <w:p w14:paraId="7CA7A76A" w14:textId="77777777" w:rsidR="00B5342F" w:rsidRDefault="00000000">
            <w:pPr>
              <w:wordWrap w:val="0"/>
              <w:topLinePunct/>
              <w:spacing w:line="56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6.玉都风情书画院建设项目；7.地毯博物馆建设项目；</w:t>
            </w:r>
          </w:p>
          <w:p w14:paraId="46CE8D1C" w14:textId="77777777" w:rsidR="00B5342F" w:rsidRDefault="00000000">
            <w:pPr>
              <w:wordWrap w:val="0"/>
              <w:topLinePunct/>
              <w:spacing w:line="56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8.艾德莱斯绸博物馆建设项目；9.民族乐器博物馆建设项目；</w:t>
            </w:r>
          </w:p>
          <w:p w14:paraId="7D0851E5" w14:textId="77777777" w:rsidR="00B5342F" w:rsidRDefault="00000000">
            <w:pPr>
              <w:wordWrap w:val="0"/>
              <w:topLinePunct/>
              <w:spacing w:line="56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10.全民建设中心附属设施建设项目；11.文化软实力提升项目；</w:t>
            </w:r>
          </w:p>
          <w:p w14:paraId="433ABF85" w14:textId="77777777" w:rsidR="00B5342F" w:rsidRDefault="00000000">
            <w:pPr>
              <w:wordWrap w:val="0"/>
              <w:topLinePunct/>
              <w:spacing w:line="560" w:lineRule="exact"/>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12.公共美术馆建设项目；13.公共演出中心项目；14.影剧院建设项目。</w:t>
            </w:r>
          </w:p>
        </w:tc>
      </w:tr>
    </w:tbl>
    <w:p w14:paraId="7A058F46" w14:textId="77777777" w:rsidR="00B5342F" w:rsidRDefault="00B5342F">
      <w:pPr>
        <w:pStyle w:val="20"/>
        <w:keepNext w:val="0"/>
        <w:keepLines w:val="0"/>
        <w:wordWrap w:val="0"/>
        <w:topLinePunct/>
        <w:spacing w:before="0" w:after="0" w:line="240" w:lineRule="auto"/>
        <w:jc w:val="center"/>
        <w:rPr>
          <w:rFonts w:ascii="方正小标宋简体" w:eastAsia="方正小标宋简体" w:hAnsi="方正小标宋简体" w:cs="方正小标宋简体" w:hint="eastAsia"/>
          <w:b w:val="0"/>
          <w:bCs w:val="0"/>
        </w:rPr>
      </w:pPr>
      <w:bookmarkStart w:id="266" w:name="_Toc54868553"/>
      <w:bookmarkStart w:id="267" w:name="_Toc64715948"/>
      <w:bookmarkStart w:id="268" w:name="_Toc0"/>
      <w:bookmarkStart w:id="269" w:name="_Toc10264"/>
      <w:bookmarkStart w:id="270" w:name="_Toc1803"/>
      <w:bookmarkStart w:id="271" w:name="_Toc21463"/>
      <w:bookmarkStart w:id="272" w:name="_Toc5390"/>
      <w:bookmarkStart w:id="273" w:name="_Toc15514"/>
    </w:p>
    <w:p w14:paraId="42566265" w14:textId="77777777" w:rsidR="00B5342F" w:rsidRDefault="00000000">
      <w:pPr>
        <w:pStyle w:val="20"/>
        <w:keepNext w:val="0"/>
        <w:keepLines w:val="0"/>
        <w:wordWrap w:val="0"/>
        <w:topLinePunct/>
        <w:spacing w:before="0" w:after="0" w:line="240" w:lineRule="auto"/>
        <w:jc w:val="center"/>
        <w:rPr>
          <w:rFonts w:ascii="方正小标宋简体" w:eastAsia="方正小标宋简体" w:hAnsi="方正小标宋简体" w:cs="方正小标宋简体" w:hint="eastAsia"/>
          <w:b w:val="0"/>
          <w:bCs w:val="0"/>
        </w:rPr>
      </w:pPr>
      <w:r>
        <w:rPr>
          <w:rFonts w:ascii="方正小标宋简体" w:eastAsia="方正小标宋简体" w:hAnsi="方正小标宋简体" w:cs="方正小标宋简体" w:hint="eastAsia"/>
          <w:b w:val="0"/>
          <w:bCs w:val="0"/>
        </w:rPr>
        <w:t>第七章  加强生态文明建设  建设美丽和田</w:t>
      </w:r>
      <w:bookmarkEnd w:id="266"/>
      <w:bookmarkEnd w:id="267"/>
      <w:bookmarkEnd w:id="268"/>
      <w:bookmarkEnd w:id="269"/>
      <w:bookmarkEnd w:id="270"/>
      <w:bookmarkEnd w:id="271"/>
      <w:bookmarkEnd w:id="272"/>
      <w:bookmarkEnd w:id="273"/>
    </w:p>
    <w:p w14:paraId="0709A12D"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牢固树立和践行绿水青山就是金山银山的理念，坚定不移走生态优先、绿色发展之路，实行最严格的生态保护制度，打好蓝天、碧水、净土保卫战，努力建设蓝天白云、繁花绿树、碧波荡漾的美丽和田市。</w:t>
      </w:r>
    </w:p>
    <w:p w14:paraId="1778DEB7" w14:textId="77777777" w:rsidR="00B5342F" w:rsidRDefault="00B5342F">
      <w:pPr>
        <w:pStyle w:val="2"/>
        <w:ind w:firstLine="640"/>
      </w:pPr>
    </w:p>
    <w:p w14:paraId="1304E222"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274" w:name="_Toc3795"/>
      <w:bookmarkStart w:id="275" w:name="_Toc907"/>
      <w:bookmarkStart w:id="276" w:name="_Toc24714"/>
      <w:bookmarkStart w:id="277" w:name="_Toc64715949"/>
      <w:bookmarkStart w:id="278" w:name="_Toc7377"/>
      <w:bookmarkStart w:id="279" w:name="_Toc24537"/>
      <w:bookmarkStart w:id="280" w:name="_Toc29855"/>
      <w:r>
        <w:rPr>
          <w:rFonts w:ascii="黑体" w:eastAsia="黑体" w:hAnsi="黑体" w:cs="黑体" w:hint="eastAsia"/>
          <w:b w:val="0"/>
          <w:bCs w:val="0"/>
          <w:sz w:val="28"/>
          <w:szCs w:val="28"/>
        </w:rPr>
        <w:t>第一节  健全生态环境保护机制</w:t>
      </w:r>
      <w:bookmarkEnd w:id="274"/>
      <w:bookmarkEnd w:id="275"/>
      <w:bookmarkEnd w:id="276"/>
      <w:bookmarkEnd w:id="277"/>
      <w:bookmarkEnd w:id="278"/>
      <w:bookmarkEnd w:id="279"/>
      <w:bookmarkEnd w:id="280"/>
    </w:p>
    <w:p w14:paraId="3D63E90D"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实行最严格的生态保护制度，严禁“三高”项目进和田市，严格执行能源、矿产资源开发自治区政府“一支笔”审批制度，守住生态保护红线、环境质量底线和自然资源利用上线。实行最严格的水资源管理制度，严守水资源开发利用控制、用水效率控制和水功能区限制</w:t>
      </w:r>
      <w:r>
        <w:rPr>
          <w:rFonts w:asciiTheme="minorEastAsia" w:hAnsiTheme="minorEastAsia" w:cstheme="minorEastAsia" w:hint="eastAsia"/>
          <w:sz w:val="28"/>
          <w:szCs w:val="28"/>
        </w:rPr>
        <w:lastRenderedPageBreak/>
        <w:t>纳污“三条红线”。健全国土空间开发保护制度，严格国土空间规划和用途管控。加强生态环境保护综合执法体系和能力建设，加大生态环境监管力度，严格落实党政领导干部自然资源资产责任离任审计和生态环境损害终身责任追究制度。</w:t>
      </w:r>
    </w:p>
    <w:p w14:paraId="3CF06221" w14:textId="77777777" w:rsidR="00B5342F" w:rsidRDefault="00B5342F">
      <w:pPr>
        <w:pStyle w:val="2"/>
        <w:ind w:firstLine="640"/>
      </w:pPr>
    </w:p>
    <w:p w14:paraId="6CF14DA0"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281" w:name="_Toc64715950"/>
      <w:bookmarkStart w:id="282" w:name="_Toc21598"/>
      <w:bookmarkStart w:id="283" w:name="_Toc10272"/>
      <w:bookmarkStart w:id="284" w:name="_Toc12500"/>
      <w:bookmarkStart w:id="285" w:name="_Toc30366"/>
      <w:bookmarkStart w:id="286" w:name="_Toc14816"/>
      <w:bookmarkStart w:id="287" w:name="_Toc9670"/>
      <w:r>
        <w:rPr>
          <w:rFonts w:ascii="黑体" w:eastAsia="黑体" w:hAnsi="黑体" w:cs="黑体" w:hint="eastAsia"/>
          <w:b w:val="0"/>
          <w:bCs w:val="0"/>
          <w:sz w:val="28"/>
          <w:szCs w:val="28"/>
        </w:rPr>
        <w:t>第二节  推动绿色低碳发展</w:t>
      </w:r>
      <w:bookmarkEnd w:id="281"/>
      <w:bookmarkEnd w:id="282"/>
      <w:bookmarkEnd w:id="283"/>
      <w:bookmarkEnd w:id="284"/>
      <w:bookmarkEnd w:id="285"/>
      <w:bookmarkEnd w:id="286"/>
      <w:bookmarkEnd w:id="287"/>
    </w:p>
    <w:p w14:paraId="003BD177"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强能耗“双控”管理，严格控制能源消费增量和能耗强度。加快产业结构优化调整，加大落后产能淘汰力度，支持绿色技术创新，加快发展节能环保、清洁生产产业，推进重点行业和重要领域绿色化改造，促进企业清洁化升级转型和绿色工厂建设。制定碳排放达峰行动方案，加大温室气体排放控制力度，降低碳排放强度。加快绿色金融、绿色贸易、绿色流通等服务体系建设。开展绿色生活创建活动，倡导简约适度、绿色低碳生活方式，推进低碳城市、低碳园区、低碳社区和低碳企业试点示范。</w:t>
      </w:r>
    </w:p>
    <w:p w14:paraId="11DF69B9" w14:textId="77777777" w:rsidR="00B5342F" w:rsidRDefault="00B5342F">
      <w:pPr>
        <w:pStyle w:val="2"/>
        <w:ind w:firstLine="640"/>
      </w:pPr>
    </w:p>
    <w:p w14:paraId="42E7871F"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288" w:name="_Toc127"/>
      <w:bookmarkStart w:id="289" w:name="_Toc64715951"/>
      <w:bookmarkStart w:id="290" w:name="_Toc12906"/>
      <w:bookmarkStart w:id="291" w:name="_Toc20748"/>
      <w:bookmarkStart w:id="292" w:name="_Toc6392"/>
      <w:bookmarkStart w:id="293" w:name="_Toc18692"/>
      <w:bookmarkStart w:id="294" w:name="_Toc24923"/>
      <w:r>
        <w:rPr>
          <w:rFonts w:ascii="黑体" w:eastAsia="黑体" w:hAnsi="黑体" w:cs="黑体" w:hint="eastAsia"/>
          <w:b w:val="0"/>
          <w:bCs w:val="0"/>
          <w:sz w:val="28"/>
          <w:szCs w:val="28"/>
        </w:rPr>
        <w:t>第三节  持续加强生态环境保护</w:t>
      </w:r>
      <w:bookmarkEnd w:id="288"/>
      <w:bookmarkEnd w:id="289"/>
      <w:bookmarkEnd w:id="290"/>
      <w:bookmarkEnd w:id="291"/>
      <w:bookmarkEnd w:id="292"/>
      <w:bookmarkEnd w:id="293"/>
      <w:bookmarkEnd w:id="294"/>
    </w:p>
    <w:p w14:paraId="473778D9"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围绕“干净、整洁、平安、有序”城市环境建设目标，以“改善环境质量、保障环境安全”为核心，注重污染源头预防和全过程控制，坚决打好大气、水、土壤和固体废弃物污染防治“三大战役”，持续改善生态环境质量。</w:t>
      </w:r>
    </w:p>
    <w:p w14:paraId="3623FEEA"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一、持续开展大气污染防治</w:t>
      </w:r>
    </w:p>
    <w:p w14:paraId="1DF727EF"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华威和田发电有限公司燃煤电厂完成超低排放和节能改造。全面淘汰10蒸/吨以下燃煤锅炉，推进65蒸/吨以上燃煤锅炉超低排放，推进燃气锅炉低氮燃烧技术，持续推进涉气工业污染源全面达标排</w:t>
      </w:r>
      <w:r>
        <w:rPr>
          <w:rFonts w:asciiTheme="minorEastAsia" w:hAnsiTheme="minorEastAsia" w:cstheme="minorEastAsia" w:hint="eastAsia"/>
          <w:sz w:val="28"/>
          <w:szCs w:val="28"/>
        </w:rPr>
        <w:lastRenderedPageBreak/>
        <w:t>放，将烟气在线监测数据作为执法依据，加大超标处罚和联合惩戒力度，未达标排放的企业一律依法停产整治。加快农村煤改电项目的推进，城市建成区天然气入户率达到100%。</w:t>
      </w:r>
    </w:p>
    <w:p w14:paraId="2DC3B5E5"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二、持续开展水污染防治</w:t>
      </w:r>
    </w:p>
    <w:p w14:paraId="4825E343"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大河湖水体污染防治力度，加快河湖生态环境修复，加强水资源节约保护，全面实施节水工程，调整用水结构，开展集中式饮用水水源地环境保护专项行动，坚决禁止河道及沿边采砂、采矿，加大河湖违法圈圩和违法建设专项整治力度，加快城镇和工业园区污水处理提标改造，梯次推进农村生活污水治理，优先解决乡镇所在地、中心村生活污水问题，消除全市黑臭水体，到2025年底前工业废水达标率达到80%以上；集中式饮用水水源地水质达到或好于二级类。持续强化河湖管护，推动河湖长制由全面建立到全面见效。</w:t>
      </w:r>
    </w:p>
    <w:p w14:paraId="708C6FB5" w14:textId="77777777" w:rsidR="00B5342F" w:rsidRDefault="00000000">
      <w:pPr>
        <w:pStyle w:val="4"/>
        <w:keepNext w:val="0"/>
        <w:keepLines w:val="0"/>
        <w:wordWrap w:val="0"/>
        <w:topLinePunct/>
        <w:spacing w:before="0" w:after="0" w:line="560" w:lineRule="exact"/>
        <w:ind w:firstLineChars="200" w:firstLine="560"/>
        <w:rPr>
          <w:rFonts w:ascii="黑体" w:eastAsia="黑体" w:hAnsi="黑体" w:cs="黑体" w:hint="eastAsia"/>
          <w:b w:val="0"/>
          <w:bCs w:val="0"/>
        </w:rPr>
      </w:pPr>
      <w:r>
        <w:rPr>
          <w:rFonts w:ascii="黑体" w:eastAsia="黑体" w:hAnsi="黑体" w:cs="黑体" w:hint="eastAsia"/>
          <w:b w:val="0"/>
          <w:bCs w:val="0"/>
        </w:rPr>
        <w:t>三、持续开展土壤污染防治</w:t>
      </w:r>
    </w:p>
    <w:p w14:paraId="56A661F2"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实施土壤污染防治行动计划，建设土壤环境质量监测网络，实现监测点位市域全覆盖。实施生活垃圾分类投放、分类收集、分类运输、分类处置，实现生活垃圾无害化处置及餐厨垃圾分类收运和处理。推进生活垃圾资源化利用，开展非正规垃圾填埋场治理，促进垃圾回收利用。加强医疗废物、工业固废及社会源危险废物的收集、处置和利用，提高危险废物管控能力。全市废铅蓄电池规范收集率达到70%以上，所收集铅蓄电池全部得到安全利用处置。加强农业面源污染防治，推动农村秸秆、畜禽粪污等资源化利用。大力推进畜禽养殖污染防治，推动农村秸秆、畜禽粪污等资源化利用。到2025年，畜禽粪污综合利用率达到90%以上，主要农作物农药使用量减少5%，主要农作物农药利用率提高到70%，废弃农膜回收率达到90%。</w:t>
      </w:r>
    </w:p>
    <w:p w14:paraId="48087008" w14:textId="77777777" w:rsidR="00B5342F" w:rsidRDefault="00000000">
      <w:pPr>
        <w:pStyle w:val="4"/>
        <w:keepNext w:val="0"/>
        <w:keepLines w:val="0"/>
        <w:wordWrap w:val="0"/>
        <w:topLinePunct/>
        <w:spacing w:before="0" w:after="0" w:line="580" w:lineRule="exact"/>
        <w:ind w:firstLineChars="200" w:firstLine="560"/>
        <w:jc w:val="center"/>
        <w:rPr>
          <w:rFonts w:ascii="黑体" w:eastAsia="黑体" w:hAnsi="黑体" w:cs="黑体" w:hint="eastAsia"/>
          <w:b w:val="0"/>
          <w:bCs w:val="0"/>
        </w:rPr>
      </w:pPr>
      <w:bookmarkStart w:id="295" w:name="_Toc7842"/>
      <w:bookmarkStart w:id="296" w:name="_Toc29035"/>
      <w:bookmarkStart w:id="297" w:name="_Toc64715952"/>
      <w:bookmarkStart w:id="298" w:name="_Toc1752"/>
      <w:bookmarkStart w:id="299" w:name="_Toc5357"/>
      <w:bookmarkStart w:id="300" w:name="_Toc19831"/>
      <w:bookmarkStart w:id="301" w:name="_Toc30938"/>
      <w:r>
        <w:rPr>
          <w:rFonts w:ascii="黑体" w:eastAsia="黑体" w:hAnsi="黑体" w:cs="黑体" w:hint="eastAsia"/>
          <w:b w:val="0"/>
          <w:bCs w:val="0"/>
        </w:rPr>
        <w:lastRenderedPageBreak/>
        <w:t>第四节  加强生态环境建设</w:t>
      </w:r>
      <w:bookmarkEnd w:id="295"/>
      <w:bookmarkEnd w:id="296"/>
      <w:bookmarkEnd w:id="297"/>
      <w:bookmarkEnd w:id="298"/>
      <w:bookmarkEnd w:id="299"/>
      <w:bookmarkEnd w:id="300"/>
      <w:bookmarkEnd w:id="301"/>
    </w:p>
    <w:p w14:paraId="06BECB0F"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统筹开展山水林田湖草沙生态保护修复工程试点，实施沙漠胡杨天然林资源保护工程、三北防护林体系建设、新一轮退耕还林还草、退牧还草、退地还水、禁牧休牧和草蓄平衡、环塔里木盆地边缘绿洲区防沙治沙工程、水土流失治理、玉龙喀什河、和田河流域流域水生态修复和治理等工程，健全耕地休耕轮作制度。建立生态产品价值实现机制，依托生态保护开发优质的生态教育、游憩休闲、健康养生养老等生态服务产品。实施生物多样性保护工程，加强外来物种管控。</w:t>
      </w:r>
    </w:p>
    <w:tbl>
      <w:tblPr>
        <w:tblStyle w:val="af5"/>
        <w:tblW w:w="8899" w:type="dxa"/>
        <w:tblInd w:w="279" w:type="dxa"/>
        <w:tblLayout w:type="fixed"/>
        <w:tblLook w:val="04A0" w:firstRow="1" w:lastRow="0" w:firstColumn="1" w:lastColumn="0" w:noHBand="0" w:noVBand="1"/>
      </w:tblPr>
      <w:tblGrid>
        <w:gridCol w:w="8899"/>
      </w:tblGrid>
      <w:tr w:rsidR="00B5342F" w14:paraId="46F9C2F5" w14:textId="77777777">
        <w:trPr>
          <w:trHeight w:val="454"/>
        </w:trPr>
        <w:tc>
          <w:tcPr>
            <w:tcW w:w="8899" w:type="dxa"/>
            <w:vAlign w:val="center"/>
          </w:tcPr>
          <w:p w14:paraId="6080C45B" w14:textId="77777777" w:rsidR="00B5342F" w:rsidRDefault="00000000">
            <w:pPr>
              <w:wordWrap w:val="0"/>
              <w:topLinePunct/>
              <w:jc w:val="lef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专栏7-1                生态系统保护修复项目</w:t>
            </w:r>
          </w:p>
        </w:tc>
      </w:tr>
      <w:tr w:rsidR="00B5342F" w14:paraId="17937252" w14:textId="77777777">
        <w:tc>
          <w:tcPr>
            <w:tcW w:w="8899" w:type="dxa"/>
          </w:tcPr>
          <w:p w14:paraId="76B8FA0E"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1.退化林修复建设项目；2.退牧还草草原围栏建设项目</w:t>
            </w:r>
          </w:p>
          <w:p w14:paraId="315DEF1C"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3.三北防护林和防沙治沙工程项目；4.野生动物保护站建设项目；</w:t>
            </w:r>
          </w:p>
          <w:p w14:paraId="7BAAE11B"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5.水土保持综合治理工程建设项目；6.玉石滥采区矿山生态修复建设项目；</w:t>
            </w:r>
          </w:p>
          <w:p w14:paraId="658AC423" w14:textId="77777777" w:rsidR="00B5342F" w:rsidRDefault="00000000">
            <w:pPr>
              <w:wordWrap w:val="0"/>
              <w:topLinePunct/>
              <w:spacing w:line="360" w:lineRule="auto"/>
              <w:ind w:firstLineChars="200" w:firstLine="480"/>
              <w:rPr>
                <w:rFonts w:asciiTheme="minorEastAsia" w:hAnsiTheme="minorEastAsia" w:cstheme="minorEastAsia" w:hint="eastAsia"/>
                <w:color w:val="FF0000"/>
                <w:sz w:val="24"/>
                <w:szCs w:val="24"/>
              </w:rPr>
            </w:pPr>
            <w:r>
              <w:rPr>
                <w:rFonts w:asciiTheme="minorEastAsia" w:hAnsiTheme="minorEastAsia" w:cstheme="minorEastAsia" w:hint="eastAsia"/>
                <w:sz w:val="24"/>
                <w:szCs w:val="24"/>
              </w:rPr>
              <w:t>7.玉龙喀什河（和田市段）河岸生态修复工程。</w:t>
            </w:r>
          </w:p>
        </w:tc>
      </w:tr>
    </w:tbl>
    <w:p w14:paraId="0E957415" w14:textId="77777777" w:rsidR="00B5342F" w:rsidRDefault="00B5342F">
      <w:pPr>
        <w:pStyle w:val="20"/>
        <w:keepNext w:val="0"/>
        <w:keepLines w:val="0"/>
        <w:wordWrap w:val="0"/>
        <w:topLinePunct/>
        <w:spacing w:before="0" w:after="0" w:line="300" w:lineRule="exact"/>
        <w:jc w:val="center"/>
        <w:rPr>
          <w:rFonts w:ascii="黑体" w:eastAsia="黑体" w:hAnsi="黑体" w:cs="黑体" w:hint="eastAsia"/>
          <w:b w:val="0"/>
          <w:bCs w:val="0"/>
          <w:sz w:val="28"/>
          <w:szCs w:val="28"/>
        </w:rPr>
      </w:pPr>
      <w:bookmarkStart w:id="302" w:name="_Toc64715953"/>
      <w:bookmarkStart w:id="303" w:name="_Toc13832"/>
      <w:bookmarkStart w:id="304" w:name="_Toc7541"/>
      <w:bookmarkStart w:id="305" w:name="_Toc16852"/>
      <w:bookmarkStart w:id="306" w:name="_Toc17559"/>
      <w:bookmarkStart w:id="307" w:name="_Toc10497"/>
      <w:bookmarkStart w:id="308" w:name="_Toc31213"/>
      <w:bookmarkStart w:id="309" w:name="_Toc54868558"/>
    </w:p>
    <w:p w14:paraId="1692F743"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r>
        <w:rPr>
          <w:rFonts w:ascii="黑体" w:eastAsia="黑体" w:hAnsi="黑体" w:cs="黑体" w:hint="eastAsia"/>
          <w:b w:val="0"/>
          <w:bCs w:val="0"/>
          <w:sz w:val="28"/>
          <w:szCs w:val="28"/>
        </w:rPr>
        <w:t>第五节  推进资源节约高效利用</w:t>
      </w:r>
      <w:bookmarkEnd w:id="302"/>
      <w:bookmarkEnd w:id="303"/>
      <w:bookmarkEnd w:id="304"/>
      <w:bookmarkEnd w:id="305"/>
      <w:bookmarkEnd w:id="306"/>
      <w:bookmarkEnd w:id="307"/>
      <w:bookmarkEnd w:id="308"/>
    </w:p>
    <w:p w14:paraId="1F249092"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健全自然资源资产产权制度，加强自然资源调查评价检测和确权登记，完善市场化、多元化生态补偿，推进资源总量管理、科学配置、全面节约、循环利用。加强水资源集约节约利用，把水资源作为产业发展、城镇建设的刚性约束，以水定产、以水定地、以水定城，推动经济社会发展与水资源水环境承载能力相适应。调整用水结构推广节水灌溉、循环用水技术，强化农业用水管理。实施节水行动。加快构建废旧物资循环利用体系。</w:t>
      </w:r>
    </w:p>
    <w:p w14:paraId="58CAF29A" w14:textId="77777777" w:rsidR="00B5342F" w:rsidRDefault="00B5342F">
      <w:pPr>
        <w:pStyle w:val="2"/>
        <w:spacing w:line="300" w:lineRule="exact"/>
        <w:ind w:firstLine="640"/>
      </w:pPr>
    </w:p>
    <w:p w14:paraId="7CC9D54F"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310" w:name="_Toc25630"/>
      <w:bookmarkStart w:id="311" w:name="_Toc15085"/>
      <w:bookmarkStart w:id="312" w:name="_Toc64715954"/>
      <w:bookmarkStart w:id="313" w:name="_Toc5910"/>
      <w:bookmarkStart w:id="314" w:name="_Toc13499"/>
      <w:bookmarkStart w:id="315" w:name="_Toc3710"/>
      <w:bookmarkStart w:id="316" w:name="_Toc31327"/>
      <w:r>
        <w:rPr>
          <w:rFonts w:ascii="黑体" w:eastAsia="黑体" w:hAnsi="黑体" w:cs="黑体" w:hint="eastAsia"/>
          <w:b w:val="0"/>
          <w:bCs w:val="0"/>
          <w:sz w:val="28"/>
          <w:szCs w:val="28"/>
        </w:rPr>
        <w:t>第六节  实施精准监管和智慧监管</w:t>
      </w:r>
      <w:bookmarkEnd w:id="310"/>
      <w:bookmarkEnd w:id="311"/>
      <w:bookmarkEnd w:id="312"/>
      <w:bookmarkEnd w:id="313"/>
      <w:bookmarkEnd w:id="314"/>
      <w:bookmarkEnd w:id="315"/>
      <w:bookmarkEnd w:id="316"/>
    </w:p>
    <w:bookmarkEnd w:id="309"/>
    <w:p w14:paraId="66092FF5"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加强相关部门现有的监测系统、数据库和信息平台的共建共享，建立数据资源统筹管理和共享制度，建立统一规范的生态环境和自然</w:t>
      </w:r>
      <w:r>
        <w:rPr>
          <w:rFonts w:asciiTheme="minorEastAsia" w:hAnsiTheme="minorEastAsia" w:cstheme="minorEastAsia" w:hint="eastAsia"/>
          <w:sz w:val="28"/>
          <w:szCs w:val="28"/>
        </w:rPr>
        <w:lastRenderedPageBreak/>
        <w:t>资源基础数据库和标准体系。加强环境保护常态监管力度，充分运用物联网、大数据、云计算、互联网+等先进技术手段，完善大气、水环境质量的常态化监测，建立土壤环境质量常态化监测体系，实现环境监测、环境质量评估、环境风险预警和环保执法的综合集成，提高环保常态监管的水平。</w:t>
      </w:r>
    </w:p>
    <w:p w14:paraId="0981B860" w14:textId="77777777" w:rsidR="00B5342F" w:rsidRDefault="00B5342F">
      <w:pPr>
        <w:pStyle w:val="2"/>
        <w:ind w:firstLine="640"/>
      </w:pPr>
    </w:p>
    <w:p w14:paraId="508B03B4" w14:textId="77777777" w:rsidR="00B5342F" w:rsidRDefault="00000000">
      <w:pPr>
        <w:pStyle w:val="20"/>
        <w:keepNext w:val="0"/>
        <w:keepLines w:val="0"/>
        <w:wordWrap w:val="0"/>
        <w:topLinePunct/>
        <w:spacing w:before="0" w:after="0" w:line="540" w:lineRule="exact"/>
        <w:jc w:val="center"/>
        <w:rPr>
          <w:rFonts w:ascii="方正小标宋简体" w:eastAsia="方正小标宋简体" w:hAnsi="方正小标宋简体" w:cs="方正小标宋简体" w:hint="eastAsia"/>
          <w:b w:val="0"/>
          <w:bCs w:val="0"/>
        </w:rPr>
      </w:pPr>
      <w:bookmarkStart w:id="317" w:name="_Toc54868559"/>
      <w:bookmarkStart w:id="318" w:name="_Toc64715955"/>
      <w:bookmarkStart w:id="319" w:name="_Toc6592"/>
      <w:bookmarkStart w:id="320" w:name="_Toc17974"/>
      <w:bookmarkStart w:id="321" w:name="_Toc10317"/>
      <w:bookmarkStart w:id="322" w:name="_Toc7029"/>
      <w:bookmarkStart w:id="323" w:name="_Toc11497"/>
      <w:bookmarkStart w:id="324" w:name="_Toc20372"/>
      <w:r>
        <w:rPr>
          <w:rFonts w:ascii="方正小标宋简体" w:eastAsia="方正小标宋简体" w:hAnsi="方正小标宋简体" w:cs="方正小标宋简体" w:hint="eastAsia"/>
          <w:b w:val="0"/>
          <w:bCs w:val="0"/>
        </w:rPr>
        <w:t xml:space="preserve">第八章  </w:t>
      </w:r>
      <w:bookmarkEnd w:id="317"/>
      <w:r>
        <w:rPr>
          <w:rFonts w:ascii="方正小标宋简体" w:eastAsia="方正小标宋简体" w:hAnsi="方正小标宋简体" w:cs="方正小标宋简体" w:hint="eastAsia"/>
          <w:b w:val="0"/>
          <w:bCs w:val="0"/>
        </w:rPr>
        <w:t>大力保障和改善民生  增进各族群众福祉</w:t>
      </w:r>
      <w:bookmarkEnd w:id="318"/>
      <w:bookmarkEnd w:id="319"/>
      <w:bookmarkEnd w:id="320"/>
      <w:bookmarkEnd w:id="321"/>
      <w:bookmarkEnd w:id="322"/>
      <w:bookmarkEnd w:id="323"/>
      <w:bookmarkEnd w:id="324"/>
    </w:p>
    <w:p w14:paraId="0019FF83"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定不移落实以人民为中心的发展思想，全面落实共享发展理念，既注重加强普惠性、基础性、兜底性民生建设，深入实施就业、教育、卫生、文化、社会保障等惠民工程，又着力解决全社会反映强烈的热点难点问题，尽心竭力办好各族群众日常关注的操心事烦心事，让工作生活在和田的人们更加舒心、更加富足、更加幸福。</w:t>
      </w:r>
    </w:p>
    <w:p w14:paraId="006C0662" w14:textId="77777777" w:rsidR="00B5342F" w:rsidRDefault="00B5342F">
      <w:pPr>
        <w:pStyle w:val="20"/>
        <w:keepNext w:val="0"/>
        <w:keepLines w:val="0"/>
        <w:wordWrap w:val="0"/>
        <w:topLinePunct/>
        <w:spacing w:before="0" w:after="0" w:line="540" w:lineRule="exact"/>
        <w:jc w:val="center"/>
        <w:rPr>
          <w:rFonts w:ascii="黑体" w:eastAsia="黑体" w:hAnsi="黑体" w:cs="黑体" w:hint="eastAsia"/>
          <w:b w:val="0"/>
          <w:bCs w:val="0"/>
          <w:sz w:val="28"/>
          <w:szCs w:val="28"/>
        </w:rPr>
      </w:pPr>
      <w:bookmarkStart w:id="325" w:name="_Toc4531"/>
      <w:bookmarkStart w:id="326" w:name="_Toc9148"/>
      <w:bookmarkStart w:id="327" w:name="_Toc54868561"/>
      <w:bookmarkStart w:id="328" w:name="_Toc64715956"/>
      <w:bookmarkStart w:id="329" w:name="_Toc4972"/>
      <w:bookmarkStart w:id="330" w:name="_Toc28200"/>
      <w:bookmarkStart w:id="331" w:name="_Toc3831"/>
      <w:bookmarkStart w:id="332" w:name="_Toc7931"/>
    </w:p>
    <w:p w14:paraId="4B3D7D26" w14:textId="77777777" w:rsidR="00B5342F" w:rsidRDefault="00000000">
      <w:pPr>
        <w:pStyle w:val="20"/>
        <w:keepNext w:val="0"/>
        <w:keepLines w:val="0"/>
        <w:wordWrap w:val="0"/>
        <w:topLinePunct/>
        <w:spacing w:before="0" w:after="0" w:line="540" w:lineRule="exact"/>
        <w:jc w:val="center"/>
        <w:rPr>
          <w:rFonts w:ascii="黑体" w:eastAsia="黑体" w:hAnsi="黑体" w:cs="黑体" w:hint="eastAsia"/>
          <w:b w:val="0"/>
          <w:bCs w:val="0"/>
          <w:sz w:val="28"/>
          <w:szCs w:val="28"/>
        </w:rPr>
      </w:pPr>
      <w:r>
        <w:rPr>
          <w:rFonts w:ascii="黑体" w:eastAsia="黑体" w:hAnsi="黑体" w:cs="黑体" w:hint="eastAsia"/>
          <w:b w:val="0"/>
          <w:bCs w:val="0"/>
          <w:sz w:val="28"/>
          <w:szCs w:val="28"/>
        </w:rPr>
        <w:t>第一节  提高就业质量</w:t>
      </w:r>
      <w:bookmarkEnd w:id="325"/>
      <w:bookmarkEnd w:id="326"/>
      <w:bookmarkEnd w:id="327"/>
      <w:bookmarkEnd w:id="328"/>
      <w:bookmarkEnd w:id="329"/>
      <w:bookmarkEnd w:id="330"/>
      <w:bookmarkEnd w:id="331"/>
      <w:bookmarkEnd w:id="332"/>
    </w:p>
    <w:p w14:paraId="10F6EEB7"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以发展带动就业、以就业保障收入水平稳定提高。疫情防控常态化背景下，出台更加积极的政策措施，支持创业、帮扶中小微企业，实施创业孵化中心建设项目，通过保住更多市场主体保住就业岗位。突出园区企业就业、卫星工厂就业、创业扶持带动就业、一二三产业融合转移就业，发展电商、快递、休闲农业、乡村旅游等新产业、新业态，拓展就近就地转移就业的空间。针对不同就业群体的实际情况采取不同的帮扶手段，完善就业服务、提供就业援助、加强职业技能培训，逐步形成稳就业的长效机制。</w:t>
      </w:r>
      <w:bookmarkStart w:id="333" w:name="_Toc54868562"/>
      <w:r>
        <w:rPr>
          <w:rFonts w:asciiTheme="minorEastAsia" w:hAnsiTheme="minorEastAsia" w:cstheme="minorEastAsia" w:hint="eastAsia"/>
          <w:sz w:val="28"/>
          <w:szCs w:val="28"/>
        </w:rPr>
        <w:t>“十四五”期间，全市城镇实现新增就业3.2万人以上，城镇零就业家庭24小时动态清零，城镇登记失业率控制在4.5%以内，城镇富余劳动力转移就业34万人次以上，应届普通高校毕业生就业率达到90%以上。</w:t>
      </w:r>
    </w:p>
    <w:p w14:paraId="6C309B59"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334" w:name="_Toc64715957"/>
      <w:bookmarkStart w:id="335" w:name="_Toc4061"/>
      <w:bookmarkStart w:id="336" w:name="_Toc19879"/>
      <w:bookmarkStart w:id="337" w:name="_Toc12572"/>
      <w:bookmarkStart w:id="338" w:name="_Toc20955"/>
      <w:bookmarkStart w:id="339" w:name="_Toc23506"/>
      <w:bookmarkStart w:id="340" w:name="_Toc740"/>
      <w:r>
        <w:rPr>
          <w:rFonts w:ascii="黑体" w:eastAsia="黑体" w:hAnsi="黑体" w:cs="黑体" w:hint="eastAsia"/>
          <w:b w:val="0"/>
          <w:bCs w:val="0"/>
          <w:sz w:val="28"/>
          <w:szCs w:val="28"/>
        </w:rPr>
        <w:lastRenderedPageBreak/>
        <w:t>第二节  优先发展教育事业</w:t>
      </w:r>
      <w:bookmarkEnd w:id="333"/>
      <w:bookmarkEnd w:id="334"/>
      <w:bookmarkEnd w:id="335"/>
      <w:bookmarkEnd w:id="336"/>
      <w:bookmarkEnd w:id="337"/>
      <w:bookmarkEnd w:id="338"/>
      <w:bookmarkEnd w:id="339"/>
      <w:bookmarkEnd w:id="340"/>
    </w:p>
    <w:p w14:paraId="1FC4A05E"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全面贯彻党的教育方针，坚持社会主义办学方向，实施新时代立德树人工程，建设全民终身学习的教育体系，努力办好人民满意的教育。继续扩大国家通用语言文字教学覆盖面。巩固“应建尽建、应入尽入”农村学前教育成果，扩大城市普惠性学前教育资源供给。义务教育继续抓好控辍保学工作，优化学校资源配置，创建义务教育优质均衡市，普及残疾儿童少年义务教育。开展普通高中与职业高中融通改革试点，推进普通高中和职业教育协调发展。实施育才教育园区建设项目。提升职业教育办学层次，形成中高职衔接、职普协调发展的现代职业教育体系，“十四五”时期，力争和田市技工学校升级为高级技工学校。实施教师教育振兴行动计划，稳定教师队伍，加大教师招聘力度，补充教师1000名，提高教育教学水平。到2025年学前三年教育毛入园率保持在98%以上，义务教育入学率100%、巩固率100%，高中阶段教育毛入学率99%以上。</w:t>
      </w:r>
    </w:p>
    <w:tbl>
      <w:tblPr>
        <w:tblStyle w:val="af5"/>
        <w:tblW w:w="8360" w:type="dxa"/>
        <w:jc w:val="center"/>
        <w:tblLayout w:type="fixed"/>
        <w:tblLook w:val="04A0" w:firstRow="1" w:lastRow="0" w:firstColumn="1" w:lastColumn="0" w:noHBand="0" w:noVBand="1"/>
      </w:tblPr>
      <w:tblGrid>
        <w:gridCol w:w="8360"/>
      </w:tblGrid>
      <w:tr w:rsidR="00B5342F" w14:paraId="6AB2DFB9" w14:textId="77777777">
        <w:trPr>
          <w:trHeight w:val="480"/>
          <w:jc w:val="center"/>
        </w:trPr>
        <w:tc>
          <w:tcPr>
            <w:tcW w:w="8360" w:type="dxa"/>
            <w:vAlign w:val="center"/>
          </w:tcPr>
          <w:p w14:paraId="5548F384" w14:textId="77777777" w:rsidR="00B5342F" w:rsidRDefault="00000000">
            <w:pPr>
              <w:wordWrap w:val="0"/>
              <w:topLinePunct/>
              <w:jc w:val="left"/>
              <w:rPr>
                <w:rFonts w:asciiTheme="minorEastAsia" w:hAnsiTheme="minorEastAsia" w:cstheme="minorEastAsia" w:hint="eastAsia"/>
                <w:b/>
                <w:sz w:val="24"/>
                <w:szCs w:val="24"/>
              </w:rPr>
            </w:pPr>
            <w:r>
              <w:rPr>
                <w:rFonts w:asciiTheme="minorEastAsia" w:hAnsiTheme="minorEastAsia" w:cstheme="minorEastAsia" w:hint="eastAsia"/>
                <w:bCs/>
                <w:sz w:val="24"/>
                <w:szCs w:val="24"/>
              </w:rPr>
              <w:t>专栏8-1                教育事业发展重点工程</w:t>
            </w:r>
          </w:p>
        </w:tc>
      </w:tr>
      <w:tr w:rsidR="00B5342F" w14:paraId="1496ED43" w14:textId="77777777">
        <w:trPr>
          <w:trHeight w:val="1942"/>
          <w:jc w:val="center"/>
        </w:trPr>
        <w:tc>
          <w:tcPr>
            <w:tcW w:w="8360" w:type="dxa"/>
          </w:tcPr>
          <w:p w14:paraId="6B3DB510"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1.基础教育巩固提高工程项目（幼儿园、小学及中学建设）；</w:t>
            </w:r>
          </w:p>
          <w:p w14:paraId="3958267E"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2.高中教育普及攻坚建设项目；3.职业教育产教融合工程项目；</w:t>
            </w:r>
          </w:p>
          <w:p w14:paraId="05C97709"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4.特殊教育学校和教师能力提升基地等其他建设项目；</w:t>
            </w:r>
          </w:p>
          <w:p w14:paraId="1CE83DC8"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5.教师周转宿舍建设项目；6.育才教育园区。</w:t>
            </w:r>
          </w:p>
        </w:tc>
      </w:tr>
    </w:tbl>
    <w:p w14:paraId="7D18E161" w14:textId="77777777" w:rsidR="00B5342F" w:rsidRDefault="00B5342F">
      <w:pPr>
        <w:pStyle w:val="20"/>
        <w:keepNext w:val="0"/>
        <w:keepLines w:val="0"/>
        <w:wordWrap w:val="0"/>
        <w:topLinePunct/>
        <w:spacing w:before="0" w:after="0" w:line="560" w:lineRule="exact"/>
        <w:jc w:val="center"/>
        <w:rPr>
          <w:rFonts w:asciiTheme="minorEastAsia" w:eastAsiaTheme="minorEastAsia" w:hAnsiTheme="minorEastAsia" w:cstheme="minorEastAsia" w:hint="eastAsia"/>
          <w:sz w:val="28"/>
          <w:szCs w:val="28"/>
        </w:rPr>
      </w:pPr>
      <w:bookmarkStart w:id="341" w:name="_Toc54868564"/>
      <w:bookmarkStart w:id="342" w:name="_Toc64715958"/>
      <w:bookmarkStart w:id="343" w:name="_Toc26785"/>
      <w:bookmarkStart w:id="344" w:name="_Toc14719"/>
      <w:bookmarkStart w:id="345" w:name="_Toc16101"/>
      <w:bookmarkStart w:id="346" w:name="_Toc525"/>
      <w:bookmarkStart w:id="347" w:name="_Toc23389"/>
      <w:bookmarkStart w:id="348" w:name="_Toc25406"/>
      <w:bookmarkStart w:id="349" w:name="_Toc54868563"/>
    </w:p>
    <w:p w14:paraId="3E8B2F5D" w14:textId="77777777" w:rsidR="00B5342F" w:rsidRDefault="00000000">
      <w:pPr>
        <w:pStyle w:val="20"/>
        <w:keepNext w:val="0"/>
        <w:keepLines w:val="0"/>
        <w:wordWrap w:val="0"/>
        <w:topLinePunct/>
        <w:spacing w:before="0" w:after="0" w:line="570" w:lineRule="exact"/>
        <w:jc w:val="center"/>
        <w:rPr>
          <w:rFonts w:ascii="黑体" w:eastAsia="黑体" w:hAnsi="黑体" w:cs="黑体" w:hint="eastAsia"/>
          <w:b w:val="0"/>
          <w:bCs w:val="0"/>
          <w:sz w:val="28"/>
          <w:szCs w:val="28"/>
        </w:rPr>
      </w:pPr>
      <w:r>
        <w:rPr>
          <w:rFonts w:ascii="黑体" w:eastAsia="黑体" w:hAnsi="黑体" w:cs="黑体" w:hint="eastAsia"/>
          <w:b w:val="0"/>
          <w:bCs w:val="0"/>
          <w:sz w:val="28"/>
          <w:szCs w:val="28"/>
        </w:rPr>
        <w:t>第三节  推进健康和田建设</w:t>
      </w:r>
      <w:bookmarkEnd w:id="341"/>
      <w:bookmarkEnd w:id="342"/>
      <w:bookmarkEnd w:id="343"/>
      <w:bookmarkEnd w:id="344"/>
      <w:bookmarkEnd w:id="345"/>
      <w:bookmarkEnd w:id="346"/>
      <w:bookmarkEnd w:id="347"/>
      <w:bookmarkEnd w:id="348"/>
    </w:p>
    <w:p w14:paraId="7CA4D6A0" w14:textId="77777777" w:rsidR="00B5342F" w:rsidRDefault="00000000">
      <w:pPr>
        <w:wordWrap w:val="0"/>
        <w:topLinePunct/>
        <w:spacing w:line="57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以“健康中国”战略为统领，构建“政府主导、多部门合作、全社会共同参与”机制，将健康促进纳入医疗、卫生、文体、教育、城建、环保等多个领域统筹考虑，开展跨部门行动，动员全社会参与，全面提升居民健康水平。</w:t>
      </w:r>
    </w:p>
    <w:p w14:paraId="5ACAC224" w14:textId="77777777" w:rsidR="00B5342F" w:rsidRDefault="00000000">
      <w:pPr>
        <w:pStyle w:val="4"/>
        <w:keepNext w:val="0"/>
        <w:keepLines w:val="0"/>
        <w:wordWrap w:val="0"/>
        <w:topLinePunct/>
        <w:spacing w:before="0" w:after="0" w:line="570" w:lineRule="exact"/>
        <w:ind w:firstLineChars="200" w:firstLine="560"/>
        <w:rPr>
          <w:rFonts w:ascii="黑体" w:eastAsia="黑体" w:hAnsi="黑体" w:cs="黑体" w:hint="eastAsia"/>
          <w:b w:val="0"/>
          <w:bCs w:val="0"/>
        </w:rPr>
      </w:pPr>
      <w:r>
        <w:rPr>
          <w:rFonts w:ascii="黑体" w:eastAsia="黑体" w:hAnsi="黑体" w:cs="黑体" w:hint="eastAsia"/>
          <w:b w:val="0"/>
          <w:bCs w:val="0"/>
        </w:rPr>
        <w:lastRenderedPageBreak/>
        <w:t>一、加强公共卫生体系建设</w:t>
      </w:r>
    </w:p>
    <w:p w14:paraId="2F86CF66" w14:textId="77777777" w:rsidR="00B5342F" w:rsidRDefault="00000000">
      <w:pPr>
        <w:wordWrap w:val="0"/>
        <w:topLinePunct/>
        <w:spacing w:line="57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把以疾病防治为重点的公共卫生体系建设摆在突出位置，持续抓好常态化疫情防控，按照“补短板、堵漏洞、强弱项”的要求，加大重点地方病、传染病、职业病防治救治力度，实施重大疾病、老年病、慢性病预防控制、传染病隔离救治、医用物资筹备和院前急救等短板项目，坚持“平战结合”，从基础设施建设、人才队伍、教育培训等多个方面，加强以“白衣战士”为主体的公共卫生应急队伍建设。建立常态化重大疾病疫情防控机制，加强农村、社区等基层防控能力建设，织密筑牢第一道防线。加强新冠肺炎、结核病、艾滋病等重大传染病防控。强化人畜共患病防治、完善包虫病和布氏杆菌病防治机制。控制和消除碘缺乏病等重点地方病。力争到2025年，每千常住人口执业（助理）医师达到3.18人，每万人口全科医生数达到3人以上。</w:t>
      </w:r>
    </w:p>
    <w:p w14:paraId="61CF3A3E" w14:textId="77777777" w:rsidR="00B5342F" w:rsidRDefault="00000000">
      <w:pPr>
        <w:pStyle w:val="4"/>
        <w:keepNext w:val="0"/>
        <w:keepLines w:val="0"/>
        <w:wordWrap w:val="0"/>
        <w:topLinePunct/>
        <w:spacing w:before="0" w:after="0" w:line="570" w:lineRule="exact"/>
        <w:ind w:firstLineChars="200" w:firstLine="560"/>
        <w:rPr>
          <w:rFonts w:ascii="黑体" w:eastAsia="黑体" w:hAnsi="黑体" w:cs="黑体" w:hint="eastAsia"/>
          <w:b w:val="0"/>
          <w:bCs w:val="0"/>
        </w:rPr>
      </w:pPr>
      <w:r>
        <w:rPr>
          <w:rFonts w:ascii="黑体" w:eastAsia="黑体" w:hAnsi="黑体" w:cs="黑体" w:hint="eastAsia"/>
          <w:b w:val="0"/>
          <w:bCs w:val="0"/>
        </w:rPr>
        <w:t>二、提高医疗卫生服务水平</w:t>
      </w:r>
    </w:p>
    <w:p w14:paraId="65FA5395" w14:textId="77777777" w:rsidR="00B5342F" w:rsidRDefault="00000000">
      <w:pPr>
        <w:wordWrap w:val="0"/>
        <w:topLinePunct/>
        <w:spacing w:line="57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优化医疗卫生资源配置，促进维医、维药传承创新，强化基层医疗卫生服务保障，积极推进综合医院标准化规范化建设，大力发展社会办医，支持社会力量提供多层次多样化医疗卫生服务，不断完善医共体、分级诊疗、现代医院管理、全民医保和药品供应保障、综合监管等基本医疗卫生制度，关注“一老一小、妇幼健康”，建立和完善从生育到终老的全生命周期医疗卫生服务体系。</w:t>
      </w:r>
    </w:p>
    <w:p w14:paraId="4F656D05" w14:textId="77777777" w:rsidR="00B5342F" w:rsidRDefault="00000000">
      <w:pPr>
        <w:pStyle w:val="4"/>
        <w:keepNext w:val="0"/>
        <w:keepLines w:val="0"/>
        <w:wordWrap w:val="0"/>
        <w:topLinePunct/>
        <w:spacing w:before="0" w:after="0" w:line="570" w:lineRule="exact"/>
        <w:ind w:firstLineChars="200" w:firstLine="560"/>
        <w:rPr>
          <w:rFonts w:ascii="黑体" w:eastAsia="黑体" w:hAnsi="黑体" w:cs="黑体" w:hint="eastAsia"/>
          <w:b w:val="0"/>
          <w:bCs w:val="0"/>
        </w:rPr>
      </w:pPr>
      <w:r>
        <w:rPr>
          <w:rFonts w:ascii="黑体" w:eastAsia="黑体" w:hAnsi="黑体" w:cs="黑体" w:hint="eastAsia"/>
          <w:b w:val="0"/>
          <w:bCs w:val="0"/>
        </w:rPr>
        <w:t>三、倡导健康文明的生活方式</w:t>
      </w:r>
    </w:p>
    <w:p w14:paraId="01143642" w14:textId="77777777" w:rsidR="00B5342F" w:rsidRDefault="00000000">
      <w:pPr>
        <w:wordWrap w:val="0"/>
        <w:topLinePunct/>
        <w:spacing w:line="57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树立大卫生、大健康观念，把以治病为中心转变为以人民健康为中心，建立健全健康教育体系，提升全民健康素养；继承和发扬爱国卫生运动优良传统，持续开展城乡环境卫生整洁行动，加大农村人居环境治理力度，建设健康、宜居、美丽家园；贯彻食品安全法，完善</w:t>
      </w:r>
      <w:r>
        <w:rPr>
          <w:rFonts w:asciiTheme="minorEastAsia" w:hAnsiTheme="minorEastAsia" w:cstheme="minorEastAsia" w:hint="eastAsia"/>
          <w:sz w:val="28"/>
          <w:szCs w:val="28"/>
        </w:rPr>
        <w:lastRenderedPageBreak/>
        <w:t>食品安全体系，加强食品安全监管，严把从农田到餐桌的每一道防线。坚持体医结合，推动体育健身和休闲产业发展，拓展健康教育，普及膳食营养知识，加强心理健康服务体系建设，实施全民健身计划，推广全民健身生活化。</w:t>
      </w:r>
    </w:p>
    <w:p w14:paraId="7F72227E" w14:textId="77777777" w:rsidR="00B5342F" w:rsidRDefault="00000000">
      <w:pPr>
        <w:pStyle w:val="4"/>
        <w:keepNext w:val="0"/>
        <w:keepLines w:val="0"/>
        <w:wordWrap w:val="0"/>
        <w:topLinePunct/>
        <w:spacing w:before="0" w:after="0" w:line="570" w:lineRule="exact"/>
        <w:ind w:firstLineChars="200" w:firstLine="560"/>
        <w:rPr>
          <w:rFonts w:ascii="黑体" w:eastAsia="黑体" w:hAnsi="黑体" w:cs="黑体" w:hint="eastAsia"/>
          <w:b w:val="0"/>
          <w:bCs w:val="0"/>
        </w:rPr>
      </w:pPr>
      <w:r>
        <w:rPr>
          <w:rFonts w:ascii="黑体" w:eastAsia="黑体" w:hAnsi="黑体" w:cs="黑体" w:hint="eastAsia"/>
          <w:b w:val="0"/>
          <w:bCs w:val="0"/>
        </w:rPr>
        <w:t>四、促进人口长期均衡发展</w:t>
      </w:r>
    </w:p>
    <w:p w14:paraId="58A23588" w14:textId="77777777" w:rsidR="00B5342F" w:rsidRDefault="00000000">
      <w:pPr>
        <w:wordWrap w:val="0"/>
        <w:topLinePunct/>
        <w:spacing w:line="57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实施积极应对人口老龄化国家战略。加强孕产妇、婴幼儿死亡率。使全市人口出生率、人口自然增长率保持在合理水平，坚持男女平等基本国策，保障妇女儿童合法权益。制定实施青年、妇女、儿童发展规划，建立健全服务发展工作机制和政策体系。加快残疾人事业，提高服务保障水平。</w:t>
      </w:r>
    </w:p>
    <w:p w14:paraId="61EC8E3A" w14:textId="77777777" w:rsidR="00B5342F" w:rsidRDefault="00B5342F">
      <w:pPr>
        <w:pStyle w:val="2"/>
        <w:ind w:firstLine="640"/>
      </w:pPr>
    </w:p>
    <w:tbl>
      <w:tblPr>
        <w:tblStyle w:val="af5"/>
        <w:tblW w:w="8380" w:type="dxa"/>
        <w:jc w:val="center"/>
        <w:tblLayout w:type="fixed"/>
        <w:tblLook w:val="04A0" w:firstRow="1" w:lastRow="0" w:firstColumn="1" w:lastColumn="0" w:noHBand="0" w:noVBand="1"/>
      </w:tblPr>
      <w:tblGrid>
        <w:gridCol w:w="8380"/>
      </w:tblGrid>
      <w:tr w:rsidR="00B5342F" w14:paraId="2040E31A" w14:textId="77777777">
        <w:trPr>
          <w:trHeight w:val="454"/>
          <w:jc w:val="center"/>
        </w:trPr>
        <w:tc>
          <w:tcPr>
            <w:tcW w:w="8380" w:type="dxa"/>
            <w:vAlign w:val="center"/>
          </w:tcPr>
          <w:p w14:paraId="4B192F85" w14:textId="77777777" w:rsidR="00B5342F" w:rsidRDefault="00000000">
            <w:pPr>
              <w:wordWrap w:val="0"/>
              <w:topLinePunct/>
              <w:jc w:val="left"/>
              <w:rPr>
                <w:rFonts w:asciiTheme="minorEastAsia" w:hAnsiTheme="minorEastAsia" w:cstheme="minorEastAsia" w:hint="eastAsia"/>
                <w:b/>
                <w:sz w:val="24"/>
                <w:szCs w:val="24"/>
              </w:rPr>
            </w:pPr>
            <w:r>
              <w:rPr>
                <w:rFonts w:asciiTheme="minorEastAsia" w:hAnsiTheme="minorEastAsia" w:cstheme="minorEastAsia" w:hint="eastAsia"/>
                <w:b/>
                <w:sz w:val="24"/>
                <w:szCs w:val="24"/>
              </w:rPr>
              <w:t>专栏</w:t>
            </w:r>
            <w:r>
              <w:rPr>
                <w:rFonts w:asciiTheme="minorEastAsia" w:hAnsiTheme="minorEastAsia" w:cstheme="minorEastAsia" w:hint="eastAsia"/>
                <w:bCs/>
                <w:sz w:val="24"/>
                <w:szCs w:val="24"/>
              </w:rPr>
              <w:t>8-2</w:t>
            </w:r>
            <w:r>
              <w:rPr>
                <w:rFonts w:asciiTheme="minorEastAsia" w:hAnsiTheme="minorEastAsia" w:cstheme="minorEastAsia" w:hint="eastAsia"/>
                <w:b/>
                <w:sz w:val="24"/>
                <w:szCs w:val="24"/>
              </w:rPr>
              <w:t xml:space="preserve">                医疗卫生健康事业发展重点项目</w:t>
            </w:r>
          </w:p>
        </w:tc>
      </w:tr>
      <w:tr w:rsidR="00B5342F" w14:paraId="025C2BED" w14:textId="77777777">
        <w:trPr>
          <w:jc w:val="center"/>
        </w:trPr>
        <w:tc>
          <w:tcPr>
            <w:tcW w:w="8380" w:type="dxa"/>
          </w:tcPr>
          <w:p w14:paraId="7455117E"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1.人民医院急救中心及设备购置建设项目；</w:t>
            </w:r>
          </w:p>
          <w:p w14:paraId="7E8CFFB0"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2.和田市疾控中心能力提升项目；</w:t>
            </w:r>
          </w:p>
          <w:p w14:paraId="0239F8F4"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3.和田市维吾尔医医院发热门诊综合病房楼及设备购置建设项目；</w:t>
            </w:r>
          </w:p>
          <w:p w14:paraId="05105F6B"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4.和田市人民医院传染病综合楼及设备购置建设项目；</w:t>
            </w:r>
          </w:p>
          <w:p w14:paraId="602936E1"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5.和田市普惠性托育中心及附属设施、设备购置项目；</w:t>
            </w:r>
          </w:p>
          <w:p w14:paraId="282B509D"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6.和田市古江巴格街道社区服务中心建设项目；</w:t>
            </w:r>
          </w:p>
          <w:p w14:paraId="20C05D65"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7.和田市纳尔巴格街道社区服务中心建设项目；</w:t>
            </w:r>
          </w:p>
          <w:p w14:paraId="0ECBB4AD"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8.和田市妇幼保健站设备购置项目；</w:t>
            </w:r>
          </w:p>
          <w:p w14:paraId="37DF012D"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9.和田市维吾尔医医院设备采购项目；</w:t>
            </w:r>
          </w:p>
          <w:p w14:paraId="013CFB43"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10.和田市卫生监督所快速检测设备购置项目；</w:t>
            </w:r>
          </w:p>
          <w:p w14:paraId="1B7FD9A3"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11.和田市疾控中心实验检测能力提升项目；</w:t>
            </w:r>
          </w:p>
          <w:p w14:paraId="12CD00B6"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12.和田市乡镇卫生院及社区服务中心免疫规划数字化门诊建设项目；</w:t>
            </w:r>
          </w:p>
          <w:p w14:paraId="5DA0F176" w14:textId="77777777" w:rsidR="00B5342F" w:rsidRDefault="00000000">
            <w:pPr>
              <w:wordWrap w:val="0"/>
              <w:topLinePunct/>
              <w:spacing w:line="360" w:lineRule="auto"/>
              <w:ind w:firstLineChars="200" w:firstLine="480"/>
              <w:rPr>
                <w:rFonts w:asciiTheme="minorEastAsia" w:hAnsiTheme="minorEastAsia" w:cstheme="minorEastAsia" w:hint="eastAsia"/>
                <w:sz w:val="24"/>
                <w:szCs w:val="24"/>
              </w:rPr>
            </w:pPr>
            <w:r>
              <w:rPr>
                <w:rFonts w:asciiTheme="minorEastAsia" w:hAnsiTheme="minorEastAsia" w:cstheme="minorEastAsia" w:hint="eastAsia"/>
                <w:sz w:val="24"/>
                <w:szCs w:val="24"/>
              </w:rPr>
              <w:t>13.和田市人民医院内科综合楼建设项目。</w:t>
            </w:r>
          </w:p>
        </w:tc>
      </w:tr>
    </w:tbl>
    <w:p w14:paraId="250DDC0C" w14:textId="77777777" w:rsidR="00B5342F" w:rsidRDefault="00B5342F">
      <w:pPr>
        <w:pStyle w:val="20"/>
        <w:keepNext w:val="0"/>
        <w:keepLines w:val="0"/>
        <w:wordWrap w:val="0"/>
        <w:topLinePunct/>
        <w:spacing w:before="0" w:after="0" w:line="560" w:lineRule="exact"/>
        <w:jc w:val="center"/>
        <w:rPr>
          <w:rFonts w:asciiTheme="minorEastAsia" w:eastAsiaTheme="minorEastAsia" w:hAnsiTheme="minorEastAsia" w:cstheme="minorEastAsia" w:hint="eastAsia"/>
          <w:sz w:val="28"/>
          <w:szCs w:val="28"/>
        </w:rPr>
      </w:pPr>
      <w:bookmarkStart w:id="350" w:name="_Toc11476"/>
      <w:bookmarkStart w:id="351" w:name="_Toc21380"/>
      <w:bookmarkStart w:id="352" w:name="_Toc15068"/>
      <w:bookmarkStart w:id="353" w:name="_Toc5803"/>
      <w:bookmarkStart w:id="354" w:name="_Toc15945"/>
      <w:bookmarkStart w:id="355" w:name="_Toc64715959"/>
      <w:bookmarkStart w:id="356" w:name="_Toc22172"/>
    </w:p>
    <w:p w14:paraId="1FBF6DA3"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r>
        <w:rPr>
          <w:rFonts w:ascii="黑体" w:eastAsia="黑体" w:hAnsi="黑体" w:cs="黑体" w:hint="eastAsia"/>
          <w:b w:val="0"/>
          <w:bCs w:val="0"/>
          <w:sz w:val="28"/>
          <w:szCs w:val="28"/>
        </w:rPr>
        <w:lastRenderedPageBreak/>
        <w:t>第四节  加强社会保障体系建设</w:t>
      </w:r>
      <w:bookmarkEnd w:id="349"/>
      <w:bookmarkEnd w:id="350"/>
      <w:bookmarkEnd w:id="351"/>
      <w:bookmarkEnd w:id="352"/>
      <w:bookmarkEnd w:id="353"/>
      <w:bookmarkEnd w:id="354"/>
      <w:bookmarkEnd w:id="355"/>
      <w:bookmarkEnd w:id="356"/>
    </w:p>
    <w:p w14:paraId="0DDDD651"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按照兜底线、织密网、建机制的要求，健全覆盖全民、统筹城乡、公平统一、可持续的多层次社会保障体系。</w:t>
      </w:r>
    </w:p>
    <w:p w14:paraId="12739B93"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一、健全社会保险制度</w:t>
      </w:r>
    </w:p>
    <w:p w14:paraId="78240814"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实施全民参保计划，完善统一的城乡居民基本医疗保险、职工基本医疗保险制度，健全重特大疾病医疗保险和医疗救助制度，稳步扩大长期护理保险制度试点。发展多层次、多支柱养老保险体系，大力发展企业年金、职业年金、个人储蓄性养老保险和商业养老保险等补充养老保险。完善失业保险、工伤保险制度。“十四五”期间，全市城乡养老保险参保率达到95%以上，城乡居民基本医疗保险参保率达到100%。</w:t>
      </w:r>
    </w:p>
    <w:p w14:paraId="1956D184"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二、提升社会福利水平</w:t>
      </w:r>
    </w:p>
    <w:p w14:paraId="32B07E4F"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支持社会养老事业，积极引导社会资本进入养老服务业，培育医养结合、学习养老、旅居养老等新业态，多渠道增加优质养老供给，构建居家社区机构相协调、医养康养相结合的养老服务体系。“十四五”末，有意愿的农村“五保”老人全部实现集中供养。建立残疾人“两项补贴”动态调整机制，落实按比例安置等残疾人就业创业政策。推进“养治教康＋社会工作”一体化区域性养育机构建设，完善孤儿基本生活费补助标准增长机制，提升儿童福利保障水平。健全退役军人工作体系和保障制度，完善双拥优抚体系，提高退役军人事务工作水平，巩固发展军政军民团结。</w:t>
      </w:r>
    </w:p>
    <w:p w14:paraId="37EA6FDF" w14:textId="77777777" w:rsidR="00B5342F" w:rsidRDefault="00000000">
      <w:pPr>
        <w:pStyle w:val="4"/>
        <w:keepNext w:val="0"/>
        <w:keepLines w:val="0"/>
        <w:wordWrap w:val="0"/>
        <w:topLinePunct/>
        <w:spacing w:before="0" w:after="0" w:line="580" w:lineRule="exact"/>
        <w:ind w:firstLineChars="200" w:firstLine="560"/>
        <w:rPr>
          <w:rFonts w:ascii="黑体" w:eastAsia="黑体" w:hAnsi="黑体" w:cs="黑体" w:hint="eastAsia"/>
          <w:b w:val="0"/>
          <w:bCs w:val="0"/>
        </w:rPr>
      </w:pPr>
      <w:r>
        <w:rPr>
          <w:rFonts w:ascii="黑体" w:eastAsia="黑体" w:hAnsi="黑体" w:cs="黑体" w:hint="eastAsia"/>
          <w:b w:val="0"/>
          <w:bCs w:val="0"/>
        </w:rPr>
        <w:t>三、完善社会救助体系</w:t>
      </w:r>
    </w:p>
    <w:p w14:paraId="37D28951"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提升社会救助服务能力，建立源头治理和回归稳固机制。完善城</w:t>
      </w:r>
      <w:r>
        <w:rPr>
          <w:rFonts w:asciiTheme="minorEastAsia" w:hAnsiTheme="minorEastAsia" w:cstheme="minorEastAsia" w:hint="eastAsia"/>
          <w:sz w:val="28"/>
          <w:szCs w:val="28"/>
        </w:rPr>
        <w:lastRenderedPageBreak/>
        <w:t>乡低保动态调整机制，推动医疗、住房、教育等专项救助向低收入家庭和支出型贫困家庭延伸，研究建立城乡统筹的特困人员供养制度。探索建立特殊群体、特定疾病医药费豁免制度，减轻困难群众就医就诊后顾之忧。加大困难家庭学生帮扶力度，努力让每个孩子都能上得起学、上得了好学、享有公平而有质量的教育。加强精神病人等特殊群体救助，广泛开展精神障碍社区康复服务。</w:t>
      </w:r>
    </w:p>
    <w:p w14:paraId="22EAB0F5" w14:textId="77777777" w:rsidR="00B5342F" w:rsidRDefault="00B5342F">
      <w:pPr>
        <w:pStyle w:val="2"/>
        <w:spacing w:line="580" w:lineRule="exact"/>
        <w:ind w:firstLine="640"/>
      </w:pPr>
    </w:p>
    <w:p w14:paraId="20937A40"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357" w:name="_Toc32473"/>
      <w:bookmarkStart w:id="358" w:name="_Toc64715960"/>
      <w:bookmarkStart w:id="359" w:name="_Toc23966"/>
      <w:bookmarkStart w:id="360" w:name="_Toc16851"/>
      <w:bookmarkStart w:id="361" w:name="_Toc7470"/>
      <w:bookmarkStart w:id="362" w:name="_Toc219"/>
      <w:bookmarkStart w:id="363" w:name="_Toc21805"/>
      <w:bookmarkStart w:id="364" w:name="_Toc54868537"/>
      <w:bookmarkStart w:id="365" w:name="_Toc64715961"/>
      <w:r>
        <w:rPr>
          <w:rFonts w:ascii="黑体" w:eastAsia="黑体" w:hAnsi="黑体" w:cs="黑体" w:hint="eastAsia"/>
          <w:b w:val="0"/>
          <w:bCs w:val="0"/>
          <w:sz w:val="28"/>
          <w:szCs w:val="28"/>
        </w:rPr>
        <w:t>第五节  加大住房保障力度</w:t>
      </w:r>
      <w:bookmarkEnd w:id="357"/>
      <w:bookmarkEnd w:id="358"/>
      <w:bookmarkEnd w:id="359"/>
      <w:bookmarkEnd w:id="360"/>
      <w:bookmarkEnd w:id="361"/>
      <w:bookmarkEnd w:id="362"/>
      <w:bookmarkEnd w:id="363"/>
    </w:p>
    <w:p w14:paraId="54C5BB85"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房住不炒”，落实房地产长效管理机制。坚持尽力而为、量力而行，改善住房困难群众住房条件。加快建立租购并举的住房市场体系和保障体系。完善土地出让收入分配机制，探索支持利用集体建设用地按照规划建设租赁住房，完善长租政策，建立多主体供给、多渠道保障的住房供应体系。稳步实施城镇棚户区和城中村改造，加快培育发展住房租赁市场，保障城市居民住房需求。巩固提升农村安居，继续开展农村住房抗震防灾加固改造，加快补齐农村住房配套设施短板。</w:t>
      </w:r>
    </w:p>
    <w:p w14:paraId="40B7C817" w14:textId="77777777" w:rsidR="00B5342F" w:rsidRDefault="00B5342F">
      <w:pPr>
        <w:pStyle w:val="2"/>
        <w:spacing w:line="580" w:lineRule="exact"/>
        <w:ind w:firstLine="640"/>
      </w:pPr>
    </w:p>
    <w:p w14:paraId="6583EDF9"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366" w:name="_Toc16013"/>
      <w:bookmarkStart w:id="367" w:name="_Toc26450"/>
      <w:bookmarkStart w:id="368" w:name="_Toc5631"/>
      <w:bookmarkStart w:id="369" w:name="_Toc6516"/>
      <w:bookmarkStart w:id="370" w:name="_Toc16753"/>
      <w:bookmarkStart w:id="371" w:name="_Toc19885"/>
      <w:r>
        <w:rPr>
          <w:rFonts w:ascii="黑体" w:eastAsia="黑体" w:hAnsi="黑体" w:cs="黑体" w:hint="eastAsia"/>
          <w:b w:val="0"/>
          <w:bCs w:val="0"/>
          <w:sz w:val="28"/>
          <w:szCs w:val="28"/>
        </w:rPr>
        <w:t>第六节  健全公共安全</w:t>
      </w:r>
      <w:bookmarkEnd w:id="364"/>
      <w:r>
        <w:rPr>
          <w:rFonts w:ascii="黑体" w:eastAsia="黑体" w:hAnsi="黑体" w:cs="黑体" w:hint="eastAsia"/>
          <w:b w:val="0"/>
          <w:bCs w:val="0"/>
          <w:sz w:val="28"/>
          <w:szCs w:val="28"/>
        </w:rPr>
        <w:t>体系</w:t>
      </w:r>
      <w:bookmarkEnd w:id="365"/>
      <w:bookmarkEnd w:id="366"/>
      <w:bookmarkEnd w:id="367"/>
      <w:bookmarkEnd w:id="368"/>
      <w:bookmarkEnd w:id="369"/>
      <w:bookmarkEnd w:id="370"/>
      <w:bookmarkEnd w:id="371"/>
    </w:p>
    <w:p w14:paraId="114D5E93" w14:textId="77777777" w:rsidR="00B5342F" w:rsidRDefault="00000000">
      <w:pPr>
        <w:wordWrap w:val="0"/>
        <w:topLinePunct/>
        <w:spacing w:line="580" w:lineRule="exact"/>
        <w:ind w:firstLine="560"/>
        <w:rPr>
          <w:rFonts w:ascii="宋体" w:eastAsia="宋体" w:hAnsi="宋体" w:cs="宋体" w:hint="eastAsia"/>
          <w:sz w:val="28"/>
          <w:szCs w:val="28"/>
        </w:rPr>
      </w:pPr>
      <w:r>
        <w:rPr>
          <w:rFonts w:ascii="宋体" w:eastAsia="宋体" w:hAnsi="宋体" w:cs="宋体" w:hint="eastAsia"/>
          <w:sz w:val="28"/>
          <w:szCs w:val="28"/>
        </w:rPr>
        <w:t>牢固树立安全发展理念和底线思维，弘扬生命至上、安全第一的思想，健全公共安全隐患常态化排查整治机制，加强食品药品安全监管，强化网络信息安全监管，加强应急管理体系建设。加强应急队伍建设，组建“全灾种”“大应急”“大救援”的综合救援队伍，加强消防基础设施建设。加强道路交通、矿山、危险化学品、建筑施工、消</w:t>
      </w:r>
      <w:r>
        <w:rPr>
          <w:rFonts w:ascii="宋体" w:eastAsia="宋体" w:hAnsi="宋体" w:cs="宋体" w:hint="eastAsia"/>
          <w:sz w:val="28"/>
          <w:szCs w:val="28"/>
        </w:rPr>
        <w:lastRenderedPageBreak/>
        <w:t>防等行业领域安全生产，有效防范和遏制重特大事故。实施灾害风险调查和重点隐患排查等“八大工程”建设，全面提高综合防灾减灾救灾能力。加大气象监测范围，提升重大气象灾害预报、预警、监测能力。</w:t>
      </w:r>
    </w:p>
    <w:p w14:paraId="6031DD34" w14:textId="77777777" w:rsidR="00B5342F" w:rsidRDefault="00B5342F">
      <w:pPr>
        <w:pStyle w:val="2"/>
        <w:spacing w:line="580" w:lineRule="exact"/>
        <w:ind w:firstLine="640"/>
      </w:pPr>
    </w:p>
    <w:p w14:paraId="74000FBF" w14:textId="77777777" w:rsidR="00B5342F" w:rsidRDefault="00000000">
      <w:pPr>
        <w:pStyle w:val="20"/>
        <w:keepNext w:val="0"/>
        <w:keepLines w:val="0"/>
        <w:wordWrap w:val="0"/>
        <w:topLinePunct/>
        <w:spacing w:before="0" w:after="0" w:line="580" w:lineRule="exact"/>
        <w:jc w:val="center"/>
        <w:rPr>
          <w:rFonts w:ascii="方正小标宋简体" w:eastAsia="方正小标宋简体" w:hAnsi="方正小标宋简体" w:cs="方正小标宋简体" w:hint="eastAsia"/>
          <w:b w:val="0"/>
          <w:bCs w:val="0"/>
        </w:rPr>
      </w:pPr>
      <w:bookmarkStart w:id="372" w:name="_Toc188"/>
      <w:bookmarkStart w:id="373" w:name="_Toc19697"/>
      <w:bookmarkStart w:id="374" w:name="_Toc64715962"/>
      <w:bookmarkStart w:id="375" w:name="_Toc11706"/>
      <w:bookmarkStart w:id="376" w:name="_Toc7808"/>
      <w:bookmarkStart w:id="377" w:name="_Toc18402"/>
      <w:bookmarkStart w:id="378" w:name="_Toc19717"/>
      <w:r>
        <w:rPr>
          <w:rFonts w:ascii="方正小标宋简体" w:eastAsia="方正小标宋简体" w:hAnsi="方正小标宋简体" w:cs="方正小标宋简体" w:hint="eastAsia"/>
          <w:b w:val="0"/>
          <w:bCs w:val="0"/>
        </w:rPr>
        <w:t>第九章  推进社会治理体系和治理能力现代化  建设更高水平的平安和田</w:t>
      </w:r>
      <w:bookmarkEnd w:id="372"/>
      <w:bookmarkEnd w:id="373"/>
      <w:bookmarkEnd w:id="374"/>
      <w:bookmarkEnd w:id="375"/>
      <w:bookmarkEnd w:id="376"/>
      <w:bookmarkEnd w:id="377"/>
      <w:bookmarkEnd w:id="378"/>
    </w:p>
    <w:p w14:paraId="4168F5E4"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全面贯彻落实总体国家安全观，加强系统治理、依法治理、综合治理、源头治理，提高社会治理和防范风险挑战的能力水平，保持社会大局持续稳定长期稳定，为经济社会发展营造良好环境。</w:t>
      </w:r>
    </w:p>
    <w:p w14:paraId="72AE0E0E" w14:textId="77777777" w:rsidR="00B5342F" w:rsidRDefault="00B5342F">
      <w:pPr>
        <w:pStyle w:val="2"/>
        <w:ind w:firstLine="640"/>
      </w:pPr>
    </w:p>
    <w:p w14:paraId="1A5E3450"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379" w:name="_Toc54868532"/>
      <w:bookmarkStart w:id="380" w:name="_Toc22512"/>
      <w:bookmarkStart w:id="381" w:name="_Toc64715963"/>
      <w:bookmarkStart w:id="382" w:name="_Toc10177"/>
      <w:bookmarkStart w:id="383" w:name="_Toc23139"/>
      <w:bookmarkStart w:id="384" w:name="_Toc20657"/>
      <w:bookmarkStart w:id="385" w:name="_Toc8551"/>
      <w:bookmarkStart w:id="386" w:name="_Toc1061"/>
      <w:r>
        <w:rPr>
          <w:rFonts w:ascii="黑体" w:eastAsia="黑体" w:hAnsi="黑体" w:cs="黑体" w:hint="eastAsia"/>
          <w:b w:val="0"/>
          <w:bCs w:val="0"/>
          <w:sz w:val="28"/>
          <w:szCs w:val="28"/>
        </w:rPr>
        <w:t xml:space="preserve">第一节  </w:t>
      </w:r>
      <w:bookmarkEnd w:id="379"/>
      <w:r>
        <w:rPr>
          <w:rFonts w:ascii="黑体" w:eastAsia="黑体" w:hAnsi="黑体" w:cs="黑体" w:hint="eastAsia"/>
          <w:b w:val="0"/>
          <w:bCs w:val="0"/>
          <w:sz w:val="28"/>
          <w:szCs w:val="28"/>
        </w:rPr>
        <w:t>推进法治和田建设</w:t>
      </w:r>
      <w:bookmarkEnd w:id="380"/>
      <w:bookmarkEnd w:id="381"/>
      <w:bookmarkEnd w:id="382"/>
      <w:bookmarkEnd w:id="383"/>
      <w:bookmarkEnd w:id="384"/>
      <w:bookmarkEnd w:id="385"/>
      <w:bookmarkEnd w:id="386"/>
    </w:p>
    <w:p w14:paraId="2B09930B"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高举社会主义法治旗帜，弘扬法治精神，坚持法治和田、法治政府、法治社会一体建设。增强法治意识，坚决维护宪法权威和法律尊严，保障公民在法律面前人人平等，依法维护人民权益，维护社会公平正义。全面开展“八五”普法工作，加强以宪法为核心、民法典为重点的中国特色社会主义法律体系宣传教育，增强全社会尊法学法用法守法观念。加强法治工作队伍建设，为全面推进依法治市提供坚强有力的组织和人才保障。</w:t>
      </w:r>
    </w:p>
    <w:p w14:paraId="295AC665" w14:textId="77777777" w:rsidR="00B5342F" w:rsidRDefault="00B5342F">
      <w:pPr>
        <w:pStyle w:val="2"/>
        <w:spacing w:line="580" w:lineRule="exact"/>
        <w:ind w:firstLine="640"/>
      </w:pPr>
    </w:p>
    <w:p w14:paraId="1A79C96A"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387" w:name="_Toc54868533"/>
      <w:bookmarkStart w:id="388" w:name="_Toc12350"/>
      <w:bookmarkStart w:id="389" w:name="_Toc15872"/>
      <w:bookmarkStart w:id="390" w:name="_Toc10580"/>
      <w:bookmarkStart w:id="391" w:name="_Toc2634"/>
      <w:bookmarkStart w:id="392" w:name="_Toc16238"/>
      <w:bookmarkStart w:id="393" w:name="_Toc10824"/>
      <w:bookmarkStart w:id="394" w:name="_Toc64715964"/>
      <w:r>
        <w:rPr>
          <w:rFonts w:ascii="黑体" w:eastAsia="黑体" w:hAnsi="黑体" w:cs="黑体" w:hint="eastAsia"/>
          <w:b w:val="0"/>
          <w:bCs w:val="0"/>
          <w:sz w:val="28"/>
          <w:szCs w:val="28"/>
        </w:rPr>
        <w:t xml:space="preserve">第二节  </w:t>
      </w:r>
      <w:bookmarkEnd w:id="387"/>
      <w:r>
        <w:rPr>
          <w:rFonts w:ascii="黑体" w:eastAsia="黑体" w:hAnsi="黑体" w:cs="黑体" w:hint="eastAsia"/>
          <w:b w:val="0"/>
          <w:bCs w:val="0"/>
          <w:sz w:val="28"/>
          <w:szCs w:val="28"/>
        </w:rPr>
        <w:t>推进反恐维稳常态化</w:t>
      </w:r>
      <w:bookmarkEnd w:id="388"/>
      <w:bookmarkEnd w:id="389"/>
      <w:bookmarkEnd w:id="390"/>
      <w:bookmarkEnd w:id="391"/>
      <w:bookmarkEnd w:id="392"/>
      <w:bookmarkEnd w:id="393"/>
      <w:bookmarkEnd w:id="394"/>
    </w:p>
    <w:p w14:paraId="4D30AE3D" w14:textId="77777777" w:rsidR="00B5342F" w:rsidRDefault="00000000">
      <w:pPr>
        <w:wordWrap w:val="0"/>
        <w:topLinePunct/>
        <w:spacing w:line="580" w:lineRule="exact"/>
        <w:ind w:firstLineChars="200" w:firstLine="640"/>
        <w:rPr>
          <w:rFonts w:ascii="宋体" w:eastAsia="宋体" w:hAnsi="宋体" w:cs="宋体" w:hint="eastAsia"/>
          <w:sz w:val="28"/>
          <w:szCs w:val="28"/>
        </w:rPr>
      </w:pPr>
      <w:r>
        <w:rPr>
          <w:rFonts w:ascii="宋体" w:eastAsia="宋体" w:hAnsi="宋体" w:cs="宋体" w:hint="eastAsia"/>
          <w:sz w:val="32"/>
          <w:szCs w:val="32"/>
        </w:rPr>
        <w:t>坚持党政军警兵民协调联动，综合施策、标本兼治，推进反恐维稳工作向规范精细常态转变。坚持依法严打方针，</w:t>
      </w:r>
      <w:r>
        <w:rPr>
          <w:rFonts w:ascii="宋体" w:eastAsia="宋体" w:hAnsi="宋体" w:cs="宋体" w:hint="eastAsia"/>
          <w:sz w:val="32"/>
          <w:szCs w:val="32"/>
        </w:rPr>
        <w:lastRenderedPageBreak/>
        <w:t>保持严打高压态势不放松，严密防范和严厉打击境内外敌对势力、“三股势力”渗透颠覆破坏活动，确保社会大局持续稳定。</w:t>
      </w:r>
      <w:r>
        <w:rPr>
          <w:rFonts w:ascii="宋体" w:eastAsia="宋体" w:hAnsi="宋体" w:cs="宋体" w:hint="eastAsia"/>
          <w:sz w:val="28"/>
          <w:szCs w:val="28"/>
        </w:rPr>
        <w:t>坚持专群结合、群防群治，做好稳定工作。坚持网上网下联动，加强网络安全保障体系和能力建设，维护网络安全。</w:t>
      </w:r>
    </w:p>
    <w:p w14:paraId="5F9945FB" w14:textId="77777777" w:rsidR="00B5342F" w:rsidRDefault="00B5342F">
      <w:pPr>
        <w:pStyle w:val="2"/>
        <w:spacing w:line="580" w:lineRule="exact"/>
        <w:ind w:firstLine="640"/>
      </w:pPr>
    </w:p>
    <w:p w14:paraId="161E96A3" w14:textId="77777777" w:rsidR="00B5342F" w:rsidRDefault="00000000">
      <w:pPr>
        <w:pStyle w:val="20"/>
        <w:keepNext w:val="0"/>
        <w:keepLines w:val="0"/>
        <w:wordWrap w:val="0"/>
        <w:topLinePunct/>
        <w:spacing w:before="0" w:after="0" w:line="580" w:lineRule="exact"/>
        <w:jc w:val="center"/>
        <w:rPr>
          <w:rFonts w:ascii="黑体" w:eastAsia="黑体" w:hAnsi="黑体" w:cs="黑体" w:hint="eastAsia"/>
          <w:b w:val="0"/>
          <w:bCs w:val="0"/>
          <w:sz w:val="28"/>
          <w:szCs w:val="28"/>
        </w:rPr>
      </w:pPr>
      <w:bookmarkStart w:id="395" w:name="_Toc15088"/>
      <w:bookmarkStart w:id="396" w:name="_Toc4292"/>
      <w:bookmarkStart w:id="397" w:name="_Toc20283"/>
      <w:bookmarkStart w:id="398" w:name="_Toc64715965"/>
      <w:bookmarkStart w:id="399" w:name="_Toc30774"/>
      <w:bookmarkStart w:id="400" w:name="_Toc23982"/>
      <w:bookmarkStart w:id="401" w:name="_Toc9398"/>
      <w:bookmarkStart w:id="402" w:name="_Toc54868534"/>
      <w:r>
        <w:rPr>
          <w:rFonts w:ascii="黑体" w:eastAsia="黑体" w:hAnsi="黑体" w:cs="黑体" w:hint="eastAsia"/>
          <w:b w:val="0"/>
          <w:bCs w:val="0"/>
          <w:sz w:val="28"/>
          <w:szCs w:val="28"/>
        </w:rPr>
        <w:t>第三节  加强和创新社会治理</w:t>
      </w:r>
      <w:bookmarkEnd w:id="395"/>
      <w:bookmarkEnd w:id="396"/>
      <w:bookmarkEnd w:id="397"/>
      <w:bookmarkEnd w:id="398"/>
      <w:bookmarkEnd w:id="399"/>
      <w:bookmarkEnd w:id="400"/>
      <w:bookmarkEnd w:id="401"/>
    </w:p>
    <w:bookmarkEnd w:id="402"/>
    <w:p w14:paraId="2E85A6A2" w14:textId="77777777" w:rsidR="00B5342F" w:rsidRDefault="00000000">
      <w:pPr>
        <w:wordWrap w:val="0"/>
        <w:topLinePunct/>
        <w:spacing w:line="58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持续推进基层社会治理创新，全面形成党委领导、政府负责、民主协商、社会协同、公众参与、法治保障、科技支撑的社会治理体系，打造共建共治共享的社会治理格局。进一步畅通和规范群众诉求表达、利益协调、权益保障通道，健全基层矛盾风险多元排查化解机制，推动基层组织和政法机关依法及时就地解决矛盾问题。</w:t>
      </w:r>
    </w:p>
    <w:p w14:paraId="58567043" w14:textId="77777777" w:rsidR="00B5342F" w:rsidRDefault="00B5342F">
      <w:pPr>
        <w:pStyle w:val="20"/>
        <w:keepNext w:val="0"/>
        <w:keepLines w:val="0"/>
        <w:wordWrap w:val="0"/>
        <w:topLinePunct/>
        <w:spacing w:before="0" w:after="0" w:line="240" w:lineRule="auto"/>
        <w:jc w:val="center"/>
        <w:rPr>
          <w:sz w:val="30"/>
          <w:szCs w:val="30"/>
        </w:rPr>
      </w:pPr>
      <w:bookmarkStart w:id="403" w:name="_Toc4980"/>
      <w:bookmarkStart w:id="404" w:name="_Toc25655"/>
      <w:bookmarkStart w:id="405" w:name="_Toc64715967"/>
      <w:bookmarkStart w:id="406" w:name="_Toc19630"/>
      <w:bookmarkStart w:id="407" w:name="_Toc19933"/>
      <w:bookmarkStart w:id="408" w:name="_Toc2919"/>
      <w:bookmarkStart w:id="409" w:name="_Toc21877"/>
    </w:p>
    <w:p w14:paraId="071DAB43" w14:textId="77777777" w:rsidR="00B5342F" w:rsidRDefault="00000000">
      <w:pPr>
        <w:pStyle w:val="20"/>
        <w:keepNext w:val="0"/>
        <w:keepLines w:val="0"/>
        <w:wordWrap w:val="0"/>
        <w:topLinePunct/>
        <w:spacing w:before="0" w:after="0" w:line="600" w:lineRule="exact"/>
        <w:jc w:val="center"/>
        <w:rPr>
          <w:rFonts w:ascii="方正小标宋简体" w:eastAsia="方正小标宋简体" w:hAnsi="方正小标宋简体" w:cs="方正小标宋简体" w:hint="eastAsia"/>
          <w:b w:val="0"/>
          <w:bCs w:val="0"/>
        </w:rPr>
      </w:pPr>
      <w:r>
        <w:rPr>
          <w:rFonts w:ascii="方正小标宋简体" w:eastAsia="方正小标宋简体" w:hAnsi="方正小标宋简体" w:cs="方正小标宋简体" w:hint="eastAsia"/>
          <w:b w:val="0"/>
          <w:bCs w:val="0"/>
        </w:rPr>
        <w:t>第十章  深化对口援疆合作  提高援疆综合效益</w:t>
      </w:r>
      <w:bookmarkEnd w:id="403"/>
      <w:bookmarkEnd w:id="404"/>
      <w:bookmarkEnd w:id="405"/>
      <w:bookmarkEnd w:id="406"/>
      <w:bookmarkEnd w:id="407"/>
      <w:bookmarkEnd w:id="408"/>
      <w:bookmarkEnd w:id="409"/>
    </w:p>
    <w:p w14:paraId="183FD28E"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以凝聚人心为目的，坚持全面援疆、精准援疆、长期援疆，充分发挥和田市的主体作用和北京市对口支援的积极性，把输血与造血、硬件建设与软件建设、物质支持与文化交流结合起来，着力提升援疆综合效益。</w:t>
      </w:r>
    </w:p>
    <w:p w14:paraId="637D4150" w14:textId="77777777" w:rsidR="00B5342F" w:rsidRDefault="00B5342F">
      <w:pPr>
        <w:pStyle w:val="2"/>
        <w:spacing w:line="600" w:lineRule="exact"/>
        <w:ind w:firstLine="640"/>
      </w:pPr>
    </w:p>
    <w:p w14:paraId="573F8EF3" w14:textId="77777777" w:rsidR="00B5342F" w:rsidRDefault="00000000">
      <w:pPr>
        <w:pStyle w:val="20"/>
        <w:keepNext w:val="0"/>
        <w:keepLines w:val="0"/>
        <w:wordWrap w:val="0"/>
        <w:topLinePunct/>
        <w:spacing w:before="0" w:after="0" w:line="600" w:lineRule="exact"/>
        <w:jc w:val="center"/>
        <w:rPr>
          <w:rFonts w:ascii="黑体" w:eastAsia="黑体" w:hAnsi="黑体" w:cs="黑体" w:hint="eastAsia"/>
          <w:b w:val="0"/>
          <w:bCs w:val="0"/>
          <w:sz w:val="28"/>
          <w:szCs w:val="28"/>
        </w:rPr>
      </w:pPr>
      <w:bookmarkStart w:id="410" w:name="_Toc5256"/>
      <w:bookmarkStart w:id="411" w:name="_Toc15594"/>
      <w:bookmarkStart w:id="412" w:name="_Toc64715968"/>
      <w:bookmarkStart w:id="413" w:name="_Toc26389"/>
      <w:bookmarkStart w:id="414" w:name="_Toc24560"/>
      <w:bookmarkStart w:id="415" w:name="_Toc21603"/>
      <w:bookmarkStart w:id="416" w:name="_Toc28534"/>
      <w:r>
        <w:rPr>
          <w:rFonts w:ascii="黑体" w:eastAsia="黑体" w:hAnsi="黑体" w:cs="黑体" w:hint="eastAsia"/>
          <w:b w:val="0"/>
          <w:bCs w:val="0"/>
          <w:sz w:val="28"/>
          <w:szCs w:val="28"/>
        </w:rPr>
        <w:t>第一节  突出抓好智力支援</w:t>
      </w:r>
      <w:bookmarkEnd w:id="410"/>
      <w:bookmarkEnd w:id="411"/>
      <w:bookmarkEnd w:id="412"/>
      <w:bookmarkEnd w:id="413"/>
      <w:bookmarkEnd w:id="414"/>
      <w:bookmarkEnd w:id="415"/>
      <w:bookmarkEnd w:id="416"/>
    </w:p>
    <w:p w14:paraId="3C5BE7E7" w14:textId="77777777" w:rsidR="00B5342F" w:rsidRDefault="00000000">
      <w:pPr>
        <w:wordWrap w:val="0"/>
        <w:topLinePunct/>
        <w:spacing w:line="60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把引进和培养人才作为援疆工作的重点，加强教师、医疗卫生、农技、产业园区运营管理、金融等人才精准对接，进一步加大优秀专业人才援疆力度，科学管理使用援疆干部人才，把援疆干部安排在最适合、最能发挥才干的岗位上任实职、担实责，让各类援疆干部</w:t>
      </w:r>
      <w:r>
        <w:rPr>
          <w:rFonts w:asciiTheme="minorEastAsia" w:hAnsiTheme="minorEastAsia" w:cstheme="minorEastAsia" w:hint="eastAsia"/>
          <w:sz w:val="28"/>
          <w:szCs w:val="28"/>
        </w:rPr>
        <w:lastRenderedPageBreak/>
        <w:t>人才释放潜能、大显身手。充分发挥专业技术人才的聪明才智和传帮带作用，加大对骨干人才的培养。</w:t>
      </w:r>
    </w:p>
    <w:p w14:paraId="2CDC6AC7" w14:textId="77777777" w:rsidR="00B5342F" w:rsidRDefault="00B5342F">
      <w:pPr>
        <w:pStyle w:val="2"/>
        <w:spacing w:line="600" w:lineRule="exact"/>
        <w:ind w:firstLine="640"/>
      </w:pPr>
    </w:p>
    <w:p w14:paraId="1EF91050" w14:textId="77777777" w:rsidR="00B5342F" w:rsidRDefault="00000000">
      <w:pPr>
        <w:pStyle w:val="20"/>
        <w:keepNext w:val="0"/>
        <w:keepLines w:val="0"/>
        <w:wordWrap w:val="0"/>
        <w:topLinePunct/>
        <w:spacing w:before="0" w:after="0" w:line="600" w:lineRule="exact"/>
        <w:jc w:val="center"/>
        <w:rPr>
          <w:rFonts w:ascii="黑体" w:eastAsia="黑体" w:hAnsi="黑体" w:cs="黑体" w:hint="eastAsia"/>
          <w:b w:val="0"/>
          <w:bCs w:val="0"/>
          <w:sz w:val="28"/>
          <w:szCs w:val="28"/>
        </w:rPr>
      </w:pPr>
      <w:bookmarkStart w:id="417" w:name="_Toc28717"/>
      <w:bookmarkStart w:id="418" w:name="_Toc14566"/>
      <w:bookmarkStart w:id="419" w:name="_Toc16507"/>
      <w:bookmarkStart w:id="420" w:name="_Toc64715969"/>
      <w:bookmarkStart w:id="421" w:name="_Toc8915"/>
      <w:bookmarkStart w:id="422" w:name="_Toc22956"/>
      <w:bookmarkStart w:id="423" w:name="_Toc22697"/>
      <w:r>
        <w:rPr>
          <w:rFonts w:ascii="黑体" w:eastAsia="黑体" w:hAnsi="黑体" w:cs="黑体" w:hint="eastAsia"/>
          <w:b w:val="0"/>
          <w:bCs w:val="0"/>
          <w:sz w:val="28"/>
          <w:szCs w:val="28"/>
        </w:rPr>
        <w:t>第二节  务实推进产业支援</w:t>
      </w:r>
      <w:bookmarkEnd w:id="417"/>
      <w:bookmarkEnd w:id="418"/>
      <w:bookmarkEnd w:id="419"/>
      <w:bookmarkEnd w:id="420"/>
      <w:bookmarkEnd w:id="421"/>
      <w:bookmarkEnd w:id="422"/>
      <w:bookmarkEnd w:id="423"/>
    </w:p>
    <w:p w14:paraId="53F3937F" w14:textId="77777777" w:rsidR="00B5342F" w:rsidRDefault="00000000">
      <w:pPr>
        <w:wordWrap w:val="0"/>
        <w:topLinePunct/>
        <w:spacing w:line="60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围绕巩固脱贫成果、增强自我发展能力，坚持把产业援疆作为增强“造血”功能的根本途径，积极承接东部产业转移，共同探索采取托管、代管等方式，依托既有产业园区，创新合作机制、有序推进合作共建产业园区</w:t>
      </w:r>
      <w:r>
        <w:rPr>
          <w:rFonts w:ascii="宋体" w:eastAsia="宋体" w:hAnsi="宋体" w:cs="宋体" w:hint="eastAsia"/>
          <w:color w:val="FFC000"/>
          <w:sz w:val="28"/>
          <w:szCs w:val="28"/>
        </w:rPr>
        <w:t>，</w:t>
      </w:r>
      <w:r>
        <w:rPr>
          <w:rFonts w:ascii="宋体" w:eastAsia="宋体" w:hAnsi="宋体" w:cs="宋体" w:hint="eastAsia"/>
          <w:sz w:val="28"/>
          <w:szCs w:val="28"/>
        </w:rPr>
        <w:t>加强与北京市的经济技术交流合作，深化企业间合作，鼓励和引导北京市各类所有制企业和社会资本，到和田市投资兴业，以独资、控股、参股等多种方式参与产业发展，形成主导产业、配套产业相互衔接的产业集群。</w:t>
      </w:r>
    </w:p>
    <w:p w14:paraId="426E3F16" w14:textId="77777777" w:rsidR="00B5342F" w:rsidRDefault="00B5342F">
      <w:pPr>
        <w:pStyle w:val="2"/>
        <w:ind w:firstLine="640"/>
      </w:pPr>
    </w:p>
    <w:p w14:paraId="1A770191"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424" w:name="_Toc28816"/>
      <w:bookmarkStart w:id="425" w:name="_Toc15072"/>
      <w:bookmarkStart w:id="426" w:name="_Toc9691"/>
      <w:bookmarkStart w:id="427" w:name="_Toc64715970"/>
      <w:bookmarkStart w:id="428" w:name="_Toc6216"/>
      <w:bookmarkStart w:id="429" w:name="_Toc25860"/>
      <w:bookmarkStart w:id="430" w:name="_Toc928"/>
      <w:r>
        <w:rPr>
          <w:rFonts w:ascii="黑体" w:eastAsia="黑体" w:hAnsi="黑体" w:cs="黑体" w:hint="eastAsia"/>
          <w:b w:val="0"/>
          <w:bCs w:val="0"/>
          <w:sz w:val="28"/>
          <w:szCs w:val="28"/>
        </w:rPr>
        <w:t>第三节  持续保障和改善民生</w:t>
      </w:r>
      <w:bookmarkEnd w:id="424"/>
      <w:bookmarkEnd w:id="425"/>
      <w:bookmarkEnd w:id="426"/>
      <w:bookmarkEnd w:id="427"/>
      <w:bookmarkEnd w:id="428"/>
      <w:bookmarkEnd w:id="429"/>
      <w:bookmarkEnd w:id="430"/>
    </w:p>
    <w:p w14:paraId="6283D198"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把保障和改善民生放在突出优先位置。坚持就业优先，健全完善劳务输出常态化合作机制、高校毕业生就业创业培养机制，继续推进初高中未就业毕业生职业技术培训全覆盖，探索推广订单式就业技能培训。充分发挥医疗人才“组团式”援疆作用，加大本地医务人员的帮带培训力度，推进“互联网+医疗健康”，提高和田市医疗卫生服务水平。</w:t>
      </w:r>
    </w:p>
    <w:p w14:paraId="760C9DB7" w14:textId="77777777" w:rsidR="00B5342F" w:rsidRDefault="00B5342F">
      <w:pPr>
        <w:pStyle w:val="2"/>
        <w:ind w:firstLine="640"/>
      </w:pPr>
    </w:p>
    <w:p w14:paraId="5D0B6C17"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431" w:name="_Toc20907"/>
      <w:bookmarkStart w:id="432" w:name="_Toc6717"/>
      <w:bookmarkStart w:id="433" w:name="_Toc16705"/>
      <w:bookmarkStart w:id="434" w:name="_Toc32141"/>
      <w:bookmarkStart w:id="435" w:name="_Toc27257"/>
      <w:r>
        <w:rPr>
          <w:rFonts w:ascii="黑体" w:eastAsia="黑体" w:hAnsi="黑体" w:cs="黑体" w:hint="eastAsia"/>
          <w:b w:val="0"/>
          <w:bCs w:val="0"/>
          <w:sz w:val="28"/>
          <w:szCs w:val="28"/>
        </w:rPr>
        <w:t>第四节  完善对口支援与乡村振兴机制</w:t>
      </w:r>
      <w:bookmarkEnd w:id="431"/>
      <w:bookmarkEnd w:id="432"/>
      <w:bookmarkEnd w:id="433"/>
      <w:bookmarkEnd w:id="434"/>
      <w:bookmarkEnd w:id="435"/>
    </w:p>
    <w:p w14:paraId="1A3E9CE1"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坚持“以人民为中心”的援疆工作理念，将巩固脱贫攻坚成果作为新生活、新奋斗的起点，针对基础短板亟需领域加大援疆资金及项目的支持力度，不断完善农村公共服务体系、基层治理体系，改善村</w:t>
      </w:r>
      <w:r>
        <w:rPr>
          <w:rFonts w:asciiTheme="minorEastAsia" w:hAnsiTheme="minorEastAsia" w:cstheme="minorEastAsia" w:hint="eastAsia"/>
          <w:sz w:val="28"/>
          <w:szCs w:val="28"/>
        </w:rPr>
        <w:lastRenderedPageBreak/>
        <w:t>容村貌，打造乡村振兴示范村镇、提升基层群众的获得感，实现巩固脱贫攻坚成果同乡村振兴战略有效衔接。</w:t>
      </w:r>
    </w:p>
    <w:p w14:paraId="6F151424" w14:textId="77777777" w:rsidR="00B5342F" w:rsidRDefault="00B5342F">
      <w:pPr>
        <w:pStyle w:val="2"/>
        <w:spacing w:line="540" w:lineRule="exact"/>
        <w:ind w:firstLine="640"/>
      </w:pPr>
    </w:p>
    <w:p w14:paraId="16B28FF5" w14:textId="77777777" w:rsidR="00B5342F" w:rsidRDefault="00000000">
      <w:pPr>
        <w:pStyle w:val="20"/>
        <w:keepNext w:val="0"/>
        <w:keepLines w:val="0"/>
        <w:wordWrap w:val="0"/>
        <w:topLinePunct/>
        <w:spacing w:before="0" w:after="0" w:line="540" w:lineRule="exact"/>
        <w:jc w:val="center"/>
        <w:rPr>
          <w:rFonts w:ascii="黑体" w:eastAsia="黑体" w:hAnsi="黑体" w:cs="黑体" w:hint="eastAsia"/>
          <w:b w:val="0"/>
          <w:bCs w:val="0"/>
          <w:sz w:val="28"/>
          <w:szCs w:val="28"/>
        </w:rPr>
      </w:pPr>
      <w:bookmarkStart w:id="436" w:name="_Toc28419"/>
      <w:bookmarkStart w:id="437" w:name="_Toc4864"/>
      <w:bookmarkStart w:id="438" w:name="_Toc64715971"/>
      <w:bookmarkStart w:id="439" w:name="_Toc17470"/>
      <w:bookmarkStart w:id="440" w:name="_Toc7996"/>
      <w:bookmarkStart w:id="441" w:name="_Toc8115"/>
      <w:bookmarkStart w:id="442" w:name="_Toc27744"/>
      <w:r>
        <w:rPr>
          <w:rFonts w:ascii="黑体" w:eastAsia="黑体" w:hAnsi="黑体" w:cs="黑体" w:hint="eastAsia"/>
          <w:b w:val="0"/>
          <w:bCs w:val="0"/>
          <w:sz w:val="28"/>
          <w:szCs w:val="28"/>
        </w:rPr>
        <w:t>第五节  着力促进各民族交往交流交融</w:t>
      </w:r>
      <w:bookmarkEnd w:id="436"/>
      <w:bookmarkEnd w:id="437"/>
      <w:bookmarkEnd w:id="438"/>
      <w:bookmarkEnd w:id="439"/>
      <w:bookmarkEnd w:id="440"/>
      <w:bookmarkEnd w:id="441"/>
      <w:bookmarkEnd w:id="442"/>
    </w:p>
    <w:p w14:paraId="5B496C9D" w14:textId="77777777" w:rsidR="00B5342F" w:rsidRDefault="00000000">
      <w:pPr>
        <w:wordWrap w:val="0"/>
        <w:topLinePunct/>
        <w:spacing w:line="540" w:lineRule="exact"/>
        <w:ind w:firstLineChars="200" w:firstLine="560"/>
        <w:rPr>
          <w:rFonts w:ascii="宋体" w:eastAsia="宋体" w:hAnsi="宋体" w:cs="宋体" w:hint="eastAsia"/>
          <w:sz w:val="28"/>
          <w:szCs w:val="28"/>
        </w:rPr>
      </w:pPr>
      <w:r>
        <w:rPr>
          <w:rFonts w:ascii="宋体" w:eastAsia="宋体" w:hAnsi="宋体" w:cs="宋体" w:hint="eastAsia"/>
          <w:sz w:val="28"/>
          <w:szCs w:val="28"/>
        </w:rPr>
        <w:t>充分发挥桥梁纽带作用，搭建多层次的交往交流交融平台。组织优秀青少年、乡村干部、致富带头人、民族团结模范、社会各界代表人士等到支援省市参观学习、交往交流，创新形式和平台载体，推动开展“交朋友”“手拉手”以及学习团、参观团、夏令营等多层次、多形式的交往交流活动。</w:t>
      </w:r>
    </w:p>
    <w:p w14:paraId="2AD8AF3C" w14:textId="77777777" w:rsidR="00B5342F" w:rsidRDefault="00B5342F">
      <w:pPr>
        <w:pStyle w:val="2"/>
        <w:spacing w:line="540" w:lineRule="exact"/>
        <w:ind w:firstLine="640"/>
      </w:pPr>
    </w:p>
    <w:p w14:paraId="55C74F5C" w14:textId="77777777" w:rsidR="00B5342F" w:rsidRDefault="00000000">
      <w:pPr>
        <w:pStyle w:val="20"/>
        <w:keepNext w:val="0"/>
        <w:keepLines w:val="0"/>
        <w:wordWrap w:val="0"/>
        <w:topLinePunct/>
        <w:spacing w:before="0" w:after="0" w:line="540" w:lineRule="exact"/>
        <w:jc w:val="center"/>
        <w:rPr>
          <w:rFonts w:ascii="黑体" w:eastAsia="黑体" w:hAnsi="黑体" w:cs="黑体" w:hint="eastAsia"/>
          <w:b w:val="0"/>
          <w:bCs w:val="0"/>
          <w:sz w:val="28"/>
          <w:szCs w:val="28"/>
        </w:rPr>
      </w:pPr>
      <w:bookmarkStart w:id="443" w:name="_Toc15516"/>
      <w:bookmarkStart w:id="444" w:name="_Toc12732"/>
      <w:bookmarkStart w:id="445" w:name="_Toc64715972"/>
      <w:bookmarkStart w:id="446" w:name="_Toc28907"/>
      <w:bookmarkStart w:id="447" w:name="_Toc23494"/>
      <w:bookmarkStart w:id="448" w:name="_Toc25523"/>
      <w:bookmarkStart w:id="449" w:name="_Toc14919"/>
      <w:r>
        <w:rPr>
          <w:rFonts w:ascii="黑体" w:eastAsia="黑体" w:hAnsi="黑体" w:cs="黑体" w:hint="eastAsia"/>
          <w:b w:val="0"/>
          <w:bCs w:val="0"/>
          <w:sz w:val="28"/>
          <w:szCs w:val="28"/>
        </w:rPr>
        <w:t>第六节  扎实推进文化教育支援</w:t>
      </w:r>
      <w:bookmarkEnd w:id="443"/>
      <w:bookmarkEnd w:id="444"/>
      <w:bookmarkEnd w:id="445"/>
      <w:bookmarkEnd w:id="446"/>
      <w:bookmarkEnd w:id="447"/>
      <w:bookmarkEnd w:id="448"/>
      <w:bookmarkEnd w:id="449"/>
    </w:p>
    <w:p w14:paraId="5A3C6FF6"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大力实施文化润疆工程，巩固扩大教育援疆成果。深入挖掘爱国文化资源，继续加强和完善基层公共文化服务设施建设，大力弘扬传播中华文化，传承少数民族优秀传统文化，不断满足各族群众的精神文化需求。探索建立以促进就业和适应产业发展为导向的职业教育体系，广泛开展校企合作、发展职业教育联盟。</w:t>
      </w:r>
    </w:p>
    <w:p w14:paraId="5BA00DA7" w14:textId="77777777" w:rsidR="00B5342F" w:rsidRDefault="00B5342F">
      <w:pPr>
        <w:pStyle w:val="2"/>
        <w:spacing w:line="540" w:lineRule="exact"/>
        <w:ind w:firstLine="640"/>
      </w:pPr>
    </w:p>
    <w:p w14:paraId="26389EFB" w14:textId="77777777" w:rsidR="00B5342F" w:rsidRDefault="00000000">
      <w:pPr>
        <w:pStyle w:val="20"/>
        <w:keepNext w:val="0"/>
        <w:keepLines w:val="0"/>
        <w:wordWrap w:val="0"/>
        <w:topLinePunct/>
        <w:spacing w:before="0" w:after="0" w:line="540" w:lineRule="exact"/>
        <w:jc w:val="center"/>
        <w:rPr>
          <w:rFonts w:ascii="方正小标宋简体" w:eastAsia="方正小标宋简体" w:hAnsi="方正小标宋简体" w:cs="方正小标宋简体" w:hint="eastAsia"/>
          <w:b w:val="0"/>
          <w:bCs w:val="0"/>
        </w:rPr>
      </w:pPr>
      <w:bookmarkStart w:id="450" w:name="_Toc2819"/>
      <w:bookmarkStart w:id="451" w:name="_Toc14201"/>
      <w:bookmarkStart w:id="452" w:name="_Toc64715973"/>
      <w:bookmarkStart w:id="453" w:name="_Toc720"/>
      <w:bookmarkStart w:id="454" w:name="_Toc16163"/>
      <w:bookmarkStart w:id="455" w:name="_Toc3919"/>
      <w:bookmarkStart w:id="456" w:name="_Toc12523"/>
      <w:r>
        <w:rPr>
          <w:rFonts w:ascii="方正小标宋简体" w:eastAsia="方正小标宋简体" w:hAnsi="方正小标宋简体" w:cs="方正小标宋简体" w:hint="eastAsia"/>
          <w:b w:val="0"/>
          <w:bCs w:val="0"/>
        </w:rPr>
        <w:t>第十一章  促进兵地融合发展  发挥兵团特殊作用</w:t>
      </w:r>
      <w:bookmarkEnd w:id="450"/>
      <w:bookmarkEnd w:id="451"/>
      <w:bookmarkEnd w:id="452"/>
      <w:bookmarkEnd w:id="453"/>
      <w:bookmarkEnd w:id="454"/>
      <w:bookmarkEnd w:id="455"/>
      <w:bookmarkEnd w:id="456"/>
    </w:p>
    <w:p w14:paraId="6537B875"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坚持兵地一盘棋、兵地是一家，为兵团十四师师部改革发展各项工作创造良好外部环境，促进兵地深度融合，切实发挥兵团稳定器、大熔炉、示范区的特殊作用。</w:t>
      </w:r>
    </w:p>
    <w:p w14:paraId="25AC3FF7" w14:textId="77777777" w:rsidR="00B5342F" w:rsidRDefault="00B5342F">
      <w:pPr>
        <w:pStyle w:val="2"/>
        <w:spacing w:line="540" w:lineRule="exact"/>
        <w:ind w:firstLine="640"/>
      </w:pPr>
    </w:p>
    <w:p w14:paraId="5C1EA9F1" w14:textId="77777777" w:rsidR="00B5342F" w:rsidRDefault="00000000">
      <w:pPr>
        <w:pStyle w:val="20"/>
        <w:keepNext w:val="0"/>
        <w:keepLines w:val="0"/>
        <w:wordWrap w:val="0"/>
        <w:topLinePunct/>
        <w:spacing w:before="0" w:after="0" w:line="540" w:lineRule="exact"/>
        <w:jc w:val="center"/>
        <w:rPr>
          <w:rFonts w:ascii="黑体" w:eastAsia="黑体" w:hAnsi="黑体" w:cs="黑体" w:hint="eastAsia"/>
          <w:b w:val="0"/>
          <w:bCs w:val="0"/>
          <w:sz w:val="28"/>
          <w:szCs w:val="28"/>
        </w:rPr>
      </w:pPr>
      <w:bookmarkStart w:id="457" w:name="_Toc64715974"/>
      <w:bookmarkStart w:id="458" w:name="_Toc26985"/>
      <w:bookmarkStart w:id="459" w:name="_Toc23450"/>
      <w:bookmarkStart w:id="460" w:name="_Toc18768"/>
      <w:bookmarkStart w:id="461" w:name="_Toc13518"/>
      <w:bookmarkStart w:id="462" w:name="_Toc211"/>
      <w:bookmarkStart w:id="463" w:name="_Toc23142"/>
      <w:r>
        <w:rPr>
          <w:rFonts w:ascii="黑体" w:eastAsia="黑体" w:hAnsi="黑体" w:cs="黑体" w:hint="eastAsia"/>
          <w:b w:val="0"/>
          <w:bCs w:val="0"/>
          <w:sz w:val="28"/>
          <w:szCs w:val="28"/>
        </w:rPr>
        <w:t>第一节  支持兵团改革稳定</w:t>
      </w:r>
      <w:bookmarkEnd w:id="457"/>
      <w:bookmarkEnd w:id="458"/>
      <w:bookmarkEnd w:id="459"/>
      <w:bookmarkEnd w:id="460"/>
      <w:bookmarkEnd w:id="461"/>
      <w:bookmarkEnd w:id="462"/>
      <w:bookmarkEnd w:id="463"/>
    </w:p>
    <w:p w14:paraId="1F6A59C5"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支持十四师落实关于兵团深化改革的若干意见，健全和转变“政”的职能，不断激发发展的内生动力和活力。完善兵地联合维稳常态化</w:t>
      </w:r>
      <w:r>
        <w:rPr>
          <w:rFonts w:asciiTheme="minorEastAsia" w:hAnsiTheme="minorEastAsia" w:cstheme="minorEastAsia" w:hint="eastAsia"/>
          <w:sz w:val="28"/>
          <w:szCs w:val="28"/>
        </w:rPr>
        <w:lastRenderedPageBreak/>
        <w:t>机制，形成兵地维稳合力。既维护兵团辖区稳定，又为地方社会大局稳定作贡献。</w:t>
      </w:r>
    </w:p>
    <w:p w14:paraId="4E029E87" w14:textId="77777777" w:rsidR="00B5342F" w:rsidRDefault="00B5342F">
      <w:pPr>
        <w:pStyle w:val="2"/>
        <w:spacing w:line="540" w:lineRule="exact"/>
        <w:ind w:firstLine="640"/>
      </w:pPr>
    </w:p>
    <w:p w14:paraId="55887137" w14:textId="77777777" w:rsidR="00B5342F" w:rsidRDefault="00000000">
      <w:pPr>
        <w:pStyle w:val="20"/>
        <w:keepNext w:val="0"/>
        <w:keepLines w:val="0"/>
        <w:wordWrap w:val="0"/>
        <w:topLinePunct/>
        <w:spacing w:before="0" w:after="0" w:line="540" w:lineRule="exact"/>
        <w:jc w:val="center"/>
        <w:rPr>
          <w:rFonts w:ascii="黑体" w:eastAsia="黑体" w:hAnsi="黑体" w:cs="黑体" w:hint="eastAsia"/>
          <w:b w:val="0"/>
          <w:bCs w:val="0"/>
          <w:sz w:val="28"/>
          <w:szCs w:val="28"/>
        </w:rPr>
      </w:pPr>
      <w:bookmarkStart w:id="464" w:name="_Toc25561"/>
      <w:bookmarkStart w:id="465" w:name="_Toc64715975"/>
      <w:bookmarkStart w:id="466" w:name="_Toc4081"/>
      <w:bookmarkStart w:id="467" w:name="_Toc25372"/>
      <w:bookmarkStart w:id="468" w:name="_Toc29823"/>
      <w:bookmarkStart w:id="469" w:name="_Toc32172"/>
      <w:bookmarkStart w:id="470" w:name="_Toc27252"/>
      <w:r>
        <w:rPr>
          <w:rFonts w:ascii="黑体" w:eastAsia="黑体" w:hAnsi="黑体" w:cs="黑体" w:hint="eastAsia"/>
          <w:b w:val="0"/>
          <w:bCs w:val="0"/>
          <w:sz w:val="28"/>
          <w:szCs w:val="28"/>
        </w:rPr>
        <w:t>第二节  推进兵地融合发展</w:t>
      </w:r>
      <w:bookmarkEnd w:id="464"/>
      <w:bookmarkEnd w:id="465"/>
      <w:bookmarkEnd w:id="466"/>
      <w:bookmarkEnd w:id="467"/>
      <w:bookmarkEnd w:id="468"/>
      <w:bookmarkEnd w:id="469"/>
      <w:bookmarkEnd w:id="470"/>
    </w:p>
    <w:p w14:paraId="6E6C3274" w14:textId="77777777" w:rsidR="00B5342F" w:rsidRDefault="00000000">
      <w:pPr>
        <w:wordWrap w:val="0"/>
        <w:topLinePunct/>
        <w:spacing w:line="54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强兵地发展规划衔接协调，全面落实《加强兵地融合促进兵团向南发展规划》，统筹重大生产力布局、市场体系、基础设施、公共服务等领域，实现统一规划、同步建设、共同受益。支持十四师发展纺织服装业、农副产品加工业，并落户北京工业园区。推进兵地交通、水利、能源、通信等重大基础设施和公共服务设施建设互联互通、共建共管共享，加强兵地双方在经济、文化、社会、干部人才、维护稳定等方面的融合，形成经济融合发展、文化交融共建、维稳责任共担、民族团结共创的局面。</w:t>
      </w:r>
    </w:p>
    <w:p w14:paraId="47D8866C" w14:textId="77777777" w:rsidR="00B5342F" w:rsidRDefault="00B5342F">
      <w:pPr>
        <w:pStyle w:val="2"/>
        <w:ind w:firstLine="640"/>
      </w:pPr>
    </w:p>
    <w:p w14:paraId="58A9C7DB" w14:textId="77777777" w:rsidR="00B5342F" w:rsidRDefault="00000000">
      <w:pPr>
        <w:pStyle w:val="20"/>
        <w:keepNext w:val="0"/>
        <w:keepLines w:val="0"/>
        <w:wordWrap w:val="0"/>
        <w:topLinePunct/>
        <w:spacing w:before="0" w:after="0" w:line="240" w:lineRule="auto"/>
        <w:jc w:val="center"/>
        <w:rPr>
          <w:rFonts w:ascii="方正小标宋简体" w:eastAsia="方正小标宋简体" w:hAnsi="方正小标宋简体" w:cs="方正小标宋简体" w:hint="eastAsia"/>
          <w:b w:val="0"/>
          <w:bCs w:val="0"/>
        </w:rPr>
      </w:pPr>
      <w:bookmarkStart w:id="471" w:name="_Toc18339"/>
      <w:bookmarkStart w:id="472" w:name="_Toc29985"/>
      <w:bookmarkStart w:id="473" w:name="_Toc64715976"/>
      <w:bookmarkStart w:id="474" w:name="_Toc54868572"/>
      <w:bookmarkStart w:id="475" w:name="_Toc7251"/>
      <w:bookmarkStart w:id="476" w:name="_Toc397"/>
      <w:bookmarkStart w:id="477" w:name="_Toc4997"/>
      <w:bookmarkStart w:id="478" w:name="_Toc14011"/>
      <w:r>
        <w:rPr>
          <w:rFonts w:ascii="方正小标宋简体" w:eastAsia="方正小标宋简体" w:hAnsi="方正小标宋简体" w:cs="方正小标宋简体" w:hint="eastAsia"/>
          <w:b w:val="0"/>
          <w:bCs w:val="0"/>
        </w:rPr>
        <w:t>第十二章  切实加强党的领导  保障规划顺利实施</w:t>
      </w:r>
      <w:bookmarkEnd w:id="471"/>
      <w:bookmarkEnd w:id="472"/>
      <w:bookmarkEnd w:id="473"/>
      <w:bookmarkEnd w:id="474"/>
      <w:bookmarkEnd w:id="475"/>
      <w:bookmarkEnd w:id="476"/>
      <w:bookmarkEnd w:id="477"/>
      <w:bookmarkEnd w:id="478"/>
    </w:p>
    <w:p w14:paraId="0465089C"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坚决维护党中央权威，把党的领导落实到经济社会发展的各领域各方面各环节，落实责任、有序推进、形成合力、凝聚共识，为“十四五”规划顺利实施提供坚强政治保障。</w:t>
      </w:r>
    </w:p>
    <w:p w14:paraId="3307F94D" w14:textId="77777777" w:rsidR="00B5342F" w:rsidRDefault="00B5342F">
      <w:pPr>
        <w:pStyle w:val="2"/>
        <w:ind w:firstLine="640"/>
      </w:pPr>
    </w:p>
    <w:p w14:paraId="53F3D464"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479" w:name="_Toc54868573"/>
      <w:bookmarkStart w:id="480" w:name="_Toc28268"/>
      <w:bookmarkStart w:id="481" w:name="_Toc378"/>
      <w:bookmarkStart w:id="482" w:name="_Toc64715977"/>
      <w:bookmarkStart w:id="483" w:name="_Toc27364"/>
      <w:bookmarkStart w:id="484" w:name="_Toc7064"/>
      <w:bookmarkStart w:id="485" w:name="_Toc18991"/>
      <w:bookmarkStart w:id="486" w:name="_Toc14019"/>
      <w:r>
        <w:rPr>
          <w:rFonts w:ascii="黑体" w:eastAsia="黑体" w:hAnsi="黑体" w:cs="黑体" w:hint="eastAsia"/>
          <w:b w:val="0"/>
          <w:bCs w:val="0"/>
          <w:sz w:val="28"/>
          <w:szCs w:val="28"/>
        </w:rPr>
        <w:t xml:space="preserve">第一节  </w:t>
      </w:r>
      <w:bookmarkEnd w:id="479"/>
      <w:r>
        <w:rPr>
          <w:rFonts w:ascii="黑体" w:eastAsia="黑体" w:hAnsi="黑体" w:cs="黑体" w:hint="eastAsia"/>
          <w:b w:val="0"/>
          <w:bCs w:val="0"/>
          <w:sz w:val="28"/>
          <w:szCs w:val="28"/>
        </w:rPr>
        <w:t>坚持和加强党的全面领导</w:t>
      </w:r>
      <w:bookmarkEnd w:id="480"/>
      <w:bookmarkEnd w:id="481"/>
      <w:bookmarkEnd w:id="482"/>
      <w:bookmarkEnd w:id="483"/>
      <w:bookmarkEnd w:id="484"/>
      <w:bookmarkEnd w:id="485"/>
      <w:bookmarkEnd w:id="486"/>
    </w:p>
    <w:p w14:paraId="4C27DCDD"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切实增强“四个意识”、坚定“四个自信”、做到“两个维护”，在思想上政治上行动上同以习近平同志为核心的党中央保持高度一致。充分发挥党委总揽全局、协调各方作用，提高把方向、谋大局、定政策、促改革能力，推动各级党组织和党员干部深入学习贯彻习近平新时代中国特色社会主义思想，学习贯彻新时代党的治疆方略，完善上下贯通、执行有力的组织体系，着力加强党的基层组织建设，确</w:t>
      </w:r>
      <w:r>
        <w:rPr>
          <w:rFonts w:asciiTheme="minorEastAsia" w:hAnsiTheme="minorEastAsia" w:cstheme="minorEastAsia" w:hint="eastAsia"/>
          <w:sz w:val="28"/>
          <w:szCs w:val="28"/>
        </w:rPr>
        <w:lastRenderedPageBreak/>
        <w:t>保党中央决策部署有效落实。落实全面从严治党主体责任、监督责任，提高党的建设质量。全面贯彻新时代党的组织路线，坚持好干部标准和民族地区干部政治标准，加强各级领导班子和干部队伍建设，加大培养培训力度，着力建设忠诚干净担当的高素质专业化干部队伍。加强对干部的关心关爱，树立正确用人导向，落实有为有位、能上能下有人机制和精准考核、奖惩分明激励约束机制，激励干部人才大胆工作、担当行为。完善人才工作体系，培养造就大批德才兼备的高素质人才。强化理想信念教育，大力弘扬民族精神和时代精神，践行胡杨精神和兵团精神，激励干部人才在新时代扎根边疆、奉献边疆。坚持把严的主基调长期坚持下去，不断增强自我净化、自我完善、自我革新、自我提高能力。完善监督体系、强化政府监督，强化对公权力运行的制约和监督。坚持一手抓反分裂斗争、一手抓党风廉政建设和反腐败斗争，坚持无禁区、全覆盖、零容忍，一体推进不敢腐、不能腐、不想腐体制机制，巩固发展维护反分裂斗争纪律重要阶段性成果和反腐败斗争压倒性胜利，营造风清气正的良好政治生态。</w:t>
      </w:r>
    </w:p>
    <w:p w14:paraId="3050F0A3" w14:textId="77777777" w:rsidR="00B5342F" w:rsidRDefault="00B5342F">
      <w:pPr>
        <w:pStyle w:val="2"/>
        <w:ind w:firstLine="640"/>
      </w:pPr>
    </w:p>
    <w:p w14:paraId="2C2C7BB3"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487" w:name="_Toc54868574"/>
      <w:bookmarkStart w:id="488" w:name="_Toc21619"/>
      <w:bookmarkStart w:id="489" w:name="_Toc294"/>
      <w:bookmarkStart w:id="490" w:name="_Toc64715979"/>
      <w:bookmarkStart w:id="491" w:name="_Toc18860"/>
      <w:bookmarkStart w:id="492" w:name="_Toc5536"/>
      <w:bookmarkStart w:id="493" w:name="_Toc31592"/>
      <w:bookmarkStart w:id="494" w:name="_Toc14721"/>
      <w:r>
        <w:rPr>
          <w:rFonts w:ascii="黑体" w:eastAsia="黑体" w:hAnsi="黑体" w:cs="黑体" w:hint="eastAsia"/>
          <w:b w:val="0"/>
          <w:bCs w:val="0"/>
          <w:sz w:val="28"/>
          <w:szCs w:val="28"/>
        </w:rPr>
        <w:t>第二节  强化资金投入和项目</w:t>
      </w:r>
      <w:bookmarkEnd w:id="487"/>
      <w:r>
        <w:rPr>
          <w:rFonts w:ascii="黑体" w:eastAsia="黑体" w:hAnsi="黑体" w:cs="黑体" w:hint="eastAsia"/>
          <w:b w:val="0"/>
          <w:bCs w:val="0"/>
          <w:sz w:val="28"/>
          <w:szCs w:val="28"/>
        </w:rPr>
        <w:t>支撑</w:t>
      </w:r>
      <w:bookmarkEnd w:id="488"/>
      <w:bookmarkEnd w:id="489"/>
      <w:bookmarkEnd w:id="490"/>
      <w:bookmarkEnd w:id="491"/>
      <w:bookmarkEnd w:id="492"/>
      <w:bookmarkEnd w:id="493"/>
      <w:bookmarkEnd w:id="494"/>
    </w:p>
    <w:p w14:paraId="41925DBD"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加大财政投入力度，把民生类项目建设资金纳入年度财政预算，保证逐年有所增长；建立多元化融资渠道，发挥市场机制配置资源的基础性作用，支持产业类项目进行设备融资、债券融资等；推进建设项目市场化、产业化进程，充分发挥市场机制在资源配置中决定性作用。积极争取国家、自治区投资，扩大民间投资，调整优化投资结构，提高投资质量效益。建立重大项目专家咨询论证制度，建立健全重大项目推进机制，确保重点项目有效实施。严格建设程序，强化项目建</w:t>
      </w:r>
      <w:r>
        <w:rPr>
          <w:rFonts w:asciiTheme="minorEastAsia" w:hAnsiTheme="minorEastAsia" w:cstheme="minorEastAsia" w:hint="eastAsia"/>
          <w:sz w:val="28"/>
          <w:szCs w:val="28"/>
        </w:rPr>
        <w:lastRenderedPageBreak/>
        <w:t>设过程监督。加大项目前期工作推进力度。加强项目储备，建立和完善项目库。加大跑办力度，开工建设一批事关稳定和发展的重大基础设施工程和重大产业促进项目。强化项目绩效评价，加大对重大项目稽察检查力度，建立重大项目后评估机制，提高重大项目的组织建设水平。加强政府投资的重点建设项目审计监督，提高政府投资项目资金的使用效益。</w:t>
      </w:r>
    </w:p>
    <w:p w14:paraId="27230217" w14:textId="77777777" w:rsidR="00B5342F" w:rsidRDefault="00B5342F">
      <w:pPr>
        <w:pStyle w:val="2"/>
        <w:ind w:firstLine="640"/>
      </w:pPr>
    </w:p>
    <w:p w14:paraId="0513EB73" w14:textId="77777777" w:rsidR="00B5342F" w:rsidRDefault="00000000">
      <w:pPr>
        <w:pStyle w:val="20"/>
        <w:keepNext w:val="0"/>
        <w:keepLines w:val="0"/>
        <w:wordWrap w:val="0"/>
        <w:topLinePunct/>
        <w:spacing w:before="0" w:after="0" w:line="560" w:lineRule="exact"/>
        <w:jc w:val="center"/>
        <w:rPr>
          <w:rFonts w:ascii="黑体" w:eastAsia="黑体" w:hAnsi="黑体" w:cs="黑体" w:hint="eastAsia"/>
          <w:b w:val="0"/>
          <w:bCs w:val="0"/>
          <w:sz w:val="28"/>
          <w:szCs w:val="28"/>
        </w:rPr>
      </w:pPr>
      <w:bookmarkStart w:id="495" w:name="_Toc54868575"/>
      <w:bookmarkStart w:id="496" w:name="_Toc2476"/>
      <w:bookmarkStart w:id="497" w:name="_Toc2016"/>
      <w:bookmarkStart w:id="498" w:name="_Toc64715980"/>
      <w:bookmarkStart w:id="499" w:name="_Toc502"/>
      <w:bookmarkStart w:id="500" w:name="_Toc27570"/>
      <w:bookmarkStart w:id="501" w:name="_Toc28307"/>
      <w:bookmarkStart w:id="502" w:name="_Toc22285"/>
      <w:r>
        <w:rPr>
          <w:rFonts w:ascii="黑体" w:eastAsia="黑体" w:hAnsi="黑体" w:cs="黑体" w:hint="eastAsia"/>
          <w:b w:val="0"/>
          <w:bCs w:val="0"/>
          <w:sz w:val="28"/>
          <w:szCs w:val="28"/>
        </w:rPr>
        <w:t>第三节  建立健全规划</w:t>
      </w:r>
      <w:bookmarkEnd w:id="495"/>
      <w:r>
        <w:rPr>
          <w:rFonts w:ascii="黑体" w:eastAsia="黑体" w:hAnsi="黑体" w:cs="黑体" w:hint="eastAsia"/>
          <w:b w:val="0"/>
          <w:bCs w:val="0"/>
          <w:sz w:val="28"/>
          <w:szCs w:val="28"/>
        </w:rPr>
        <w:t>落实机制</w:t>
      </w:r>
      <w:bookmarkEnd w:id="496"/>
      <w:bookmarkEnd w:id="497"/>
      <w:bookmarkEnd w:id="498"/>
      <w:bookmarkEnd w:id="499"/>
      <w:bookmarkEnd w:id="500"/>
      <w:bookmarkEnd w:id="501"/>
      <w:bookmarkEnd w:id="502"/>
    </w:p>
    <w:p w14:paraId="683C4C01" w14:textId="77777777" w:rsidR="00B5342F" w:rsidRDefault="00000000">
      <w:pPr>
        <w:wordWrap w:val="0"/>
        <w:topLinePunct/>
        <w:spacing w:line="560" w:lineRule="exact"/>
        <w:ind w:firstLineChars="200" w:firstLine="560"/>
        <w:rPr>
          <w:rFonts w:asciiTheme="minorEastAsia" w:hAnsiTheme="minorEastAsia" w:cstheme="minorEastAsia" w:hint="eastAsia"/>
          <w:sz w:val="28"/>
          <w:szCs w:val="28"/>
        </w:rPr>
      </w:pPr>
      <w:r>
        <w:rPr>
          <w:rFonts w:asciiTheme="minorEastAsia" w:hAnsiTheme="minorEastAsia" w:cstheme="minorEastAsia" w:hint="eastAsia"/>
          <w:sz w:val="28"/>
          <w:szCs w:val="28"/>
        </w:rPr>
        <w:t>建立规划实施情况年度调度机制，细化规划实施的考核评估机制。将规划目标和主要任务纳入各乡镇（街道）、各有关部门考核内容。2022年和2025年底组织第三方评估机构对规划实施情况分别进行评估。其中，依据中期评估结果可对规划目标任务进行科学调整，评估结果作为考核依据并向社会及时公布。畅通监督渠道，发挥行政监察、组织人事、统计审计等部门的监督作用，完善政府向人大、政协的报告和沟通机制。发挥社会各界对规划实施情况的监督作用，积极开展公众评价。加强规划宣传，增强公众对规划的认知、认可和认同，营造全社会共同参与和支持规划实施的良好氛围，全面推进规划的落地实施。</w:t>
      </w:r>
    </w:p>
    <w:p w14:paraId="6C3CA92A" w14:textId="77777777" w:rsidR="00B5342F" w:rsidRDefault="00B5342F">
      <w:pPr>
        <w:wordWrap w:val="0"/>
        <w:topLinePunct/>
        <w:rPr>
          <w:rFonts w:asciiTheme="minorEastAsia" w:hAnsiTheme="minorEastAsia" w:cstheme="minorEastAsia" w:hint="eastAsia"/>
          <w:sz w:val="28"/>
          <w:szCs w:val="28"/>
          <w:shd w:val="clear" w:color="FFFFFF" w:fill="D9D9D9"/>
        </w:rPr>
      </w:pPr>
    </w:p>
    <w:sectPr w:rsidR="00B5342F">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7A0A8" w14:textId="77777777" w:rsidR="00E85A61" w:rsidRDefault="00E85A61">
      <w:r>
        <w:separator/>
      </w:r>
    </w:p>
  </w:endnote>
  <w:endnote w:type="continuationSeparator" w:id="0">
    <w:p w14:paraId="26290AA1" w14:textId="77777777" w:rsidR="00E85A61" w:rsidRDefault="00E8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7107" w14:textId="77777777" w:rsidR="00B5342F" w:rsidRDefault="00B5342F">
    <w:pPr>
      <w:pStyle w:val="ae"/>
      <w:jc w:val="center"/>
    </w:pPr>
  </w:p>
  <w:p w14:paraId="2C30C8F9" w14:textId="77777777" w:rsidR="00B5342F" w:rsidRDefault="00B5342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0B4" w14:textId="77777777" w:rsidR="00B5342F" w:rsidRDefault="00000000">
    <w:pPr>
      <w:pStyle w:val="ae"/>
      <w:jc w:val="center"/>
    </w:pPr>
    <w:r>
      <w:rPr>
        <w:noProof/>
      </w:rPr>
      <mc:AlternateContent>
        <mc:Choice Requires="wps">
          <w:drawing>
            <wp:anchor distT="0" distB="0" distL="114300" distR="114300" simplePos="0" relativeHeight="251660288" behindDoc="0" locked="0" layoutInCell="1" allowOverlap="1" wp14:anchorId="498DB056" wp14:editId="5BB2AAC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F44EDF" w14:textId="77777777" w:rsidR="00B5342F" w:rsidRDefault="00000000">
                          <w:pPr>
                            <w:pStyle w:val="ae"/>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- 1 -</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98DB056"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75F44EDF" w14:textId="77777777" w:rsidR="00B5342F" w:rsidRDefault="00000000">
                    <w:pPr>
                      <w:pStyle w:val="ae"/>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- 1 -</w:t>
                    </w:r>
                    <w:r>
                      <w:rPr>
                        <w:rFonts w:ascii="Times New Roman" w:hAnsi="Times New Roman" w:cs="Times New Roman"/>
                        <w:sz w:val="28"/>
                        <w:szCs w:val="28"/>
                      </w:rPr>
                      <w:fldChar w:fldCharType="end"/>
                    </w:r>
                  </w:p>
                </w:txbxContent>
              </v:textbox>
              <w10:wrap anchorx="margin"/>
            </v:shape>
          </w:pict>
        </mc:Fallback>
      </mc:AlternateContent>
    </w:r>
  </w:p>
  <w:p w14:paraId="585339BF" w14:textId="77777777" w:rsidR="00B5342F" w:rsidRDefault="00B5342F">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D51AF" w14:textId="77777777" w:rsidR="00B5342F" w:rsidRDefault="00000000">
    <w:pPr>
      <w:pStyle w:val="ae"/>
      <w:jc w:val="center"/>
    </w:pPr>
    <w:r>
      <w:rPr>
        <w:noProof/>
      </w:rPr>
      <mc:AlternateContent>
        <mc:Choice Requires="wps">
          <w:drawing>
            <wp:anchor distT="0" distB="0" distL="114300" distR="114300" simplePos="0" relativeHeight="251659264" behindDoc="0" locked="0" layoutInCell="1" allowOverlap="1" wp14:anchorId="704DB44F" wp14:editId="700B20C0">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553714" w14:textId="77777777" w:rsidR="00B5342F" w:rsidRDefault="00000000">
                          <w:pPr>
                            <w:pStyle w:val="ae"/>
                            <w:rPr>
                              <w:rFonts w:ascii="Times New Roman" w:hAnsi="Times New Roman" w:cs="Times New Roman"/>
                              <w:sz w:val="28"/>
                              <w:szCs w:val="28"/>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- 2 -</w:t>
                          </w:r>
                          <w:r>
                            <w:rPr>
                              <w:rFonts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04DB44F" id="_x0000_t202" coordsize="21600,21600" o:spt="202" path="m,l,21600r21600,l21600,xe">
              <v:stroke joinstyle="miter"/>
              <v:path gradientshapeok="t" o:connecttype="rect"/>
            </v:shapetype>
            <v:shape id="文本框 31"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A553714" w14:textId="77777777" w:rsidR="00B5342F" w:rsidRDefault="00000000">
                    <w:pPr>
                      <w:pStyle w:val="ae"/>
                      <w:rPr>
                        <w:rFonts w:ascii="Times New Roman" w:hAnsi="Times New Roman" w:cs="Times New Roman"/>
                        <w:sz w:val="28"/>
                        <w:szCs w:val="28"/>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Pr>
                        <w:rFonts w:ascii="Times New Roman" w:hAnsi="Times New Roman" w:cs="Times New Roman"/>
                        <w:sz w:val="24"/>
                        <w:szCs w:val="24"/>
                      </w:rPr>
                      <w:t>- 2 -</w:t>
                    </w:r>
                    <w:r>
                      <w:rPr>
                        <w:rFonts w:ascii="Times New Roman" w:hAnsi="Times New Roman" w:cs="Times New Roman"/>
                        <w:sz w:val="24"/>
                        <w:szCs w:val="24"/>
                      </w:rPr>
                      <w:fldChar w:fldCharType="end"/>
                    </w:r>
                  </w:p>
                </w:txbxContent>
              </v:textbox>
              <w10:wrap anchorx="margin"/>
            </v:shape>
          </w:pict>
        </mc:Fallback>
      </mc:AlternateContent>
    </w:r>
    <w:sdt>
      <w:sdtPr>
        <w:id w:val="7786281"/>
      </w:sdtPr>
      <w:sdtEndPr>
        <w:rPr>
          <w:rFonts w:ascii="Times New Roman" w:hAnsi="Times New Roman" w:cs="Times New Roman"/>
          <w:sz w:val="28"/>
          <w:szCs w:val="28"/>
        </w:rPr>
      </w:sdtEndPr>
      <w:sdtContent/>
    </w:sdt>
  </w:p>
  <w:p w14:paraId="2C639565" w14:textId="77777777" w:rsidR="00B5342F" w:rsidRDefault="00B5342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CEC31" w14:textId="77777777" w:rsidR="00E85A61" w:rsidRDefault="00E85A61">
      <w:r>
        <w:separator/>
      </w:r>
    </w:p>
  </w:footnote>
  <w:footnote w:type="continuationSeparator" w:id="0">
    <w:p w14:paraId="20D9E30B" w14:textId="77777777" w:rsidR="00E85A61" w:rsidRDefault="00E85A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033D"/>
    <w:rsid w:val="00000B4F"/>
    <w:rsid w:val="0000470F"/>
    <w:rsid w:val="00004D55"/>
    <w:rsid w:val="000051F4"/>
    <w:rsid w:val="00010432"/>
    <w:rsid w:val="00015649"/>
    <w:rsid w:val="00015D1B"/>
    <w:rsid w:val="00016F15"/>
    <w:rsid w:val="0002036D"/>
    <w:rsid w:val="00021A0B"/>
    <w:rsid w:val="00025A00"/>
    <w:rsid w:val="00026831"/>
    <w:rsid w:val="00026C1D"/>
    <w:rsid w:val="00031F10"/>
    <w:rsid w:val="00033614"/>
    <w:rsid w:val="00035912"/>
    <w:rsid w:val="0003602C"/>
    <w:rsid w:val="00036871"/>
    <w:rsid w:val="0004047D"/>
    <w:rsid w:val="000433AC"/>
    <w:rsid w:val="000438C6"/>
    <w:rsid w:val="00044328"/>
    <w:rsid w:val="00044584"/>
    <w:rsid w:val="00046FB1"/>
    <w:rsid w:val="00052540"/>
    <w:rsid w:val="00055A58"/>
    <w:rsid w:val="00056613"/>
    <w:rsid w:val="00056841"/>
    <w:rsid w:val="00056FD0"/>
    <w:rsid w:val="000570F4"/>
    <w:rsid w:val="0005768B"/>
    <w:rsid w:val="00061085"/>
    <w:rsid w:val="00061483"/>
    <w:rsid w:val="0006154E"/>
    <w:rsid w:val="00061DB1"/>
    <w:rsid w:val="00061F1D"/>
    <w:rsid w:val="00065CD3"/>
    <w:rsid w:val="000665E9"/>
    <w:rsid w:val="00067107"/>
    <w:rsid w:val="00067836"/>
    <w:rsid w:val="000703FA"/>
    <w:rsid w:val="00070681"/>
    <w:rsid w:val="00070A47"/>
    <w:rsid w:val="00071737"/>
    <w:rsid w:val="0007205F"/>
    <w:rsid w:val="00073C5D"/>
    <w:rsid w:val="00073D1A"/>
    <w:rsid w:val="00075A13"/>
    <w:rsid w:val="00076DB3"/>
    <w:rsid w:val="00077058"/>
    <w:rsid w:val="00081FFF"/>
    <w:rsid w:val="00082379"/>
    <w:rsid w:val="0008305F"/>
    <w:rsid w:val="000847F2"/>
    <w:rsid w:val="00085C3E"/>
    <w:rsid w:val="00086AB7"/>
    <w:rsid w:val="0008779A"/>
    <w:rsid w:val="000903AF"/>
    <w:rsid w:val="00092713"/>
    <w:rsid w:val="00092C12"/>
    <w:rsid w:val="000943D5"/>
    <w:rsid w:val="000A15EE"/>
    <w:rsid w:val="000A23B9"/>
    <w:rsid w:val="000A2C7E"/>
    <w:rsid w:val="000A3ACD"/>
    <w:rsid w:val="000A445D"/>
    <w:rsid w:val="000A6196"/>
    <w:rsid w:val="000B1A60"/>
    <w:rsid w:val="000B1E68"/>
    <w:rsid w:val="000B2427"/>
    <w:rsid w:val="000B3ACD"/>
    <w:rsid w:val="000B476B"/>
    <w:rsid w:val="000B7CDA"/>
    <w:rsid w:val="000B7DF0"/>
    <w:rsid w:val="000C087B"/>
    <w:rsid w:val="000C098C"/>
    <w:rsid w:val="000C0BEE"/>
    <w:rsid w:val="000C1D2C"/>
    <w:rsid w:val="000C25FF"/>
    <w:rsid w:val="000C27C5"/>
    <w:rsid w:val="000C2C70"/>
    <w:rsid w:val="000C5584"/>
    <w:rsid w:val="000D2B0E"/>
    <w:rsid w:val="000D3B61"/>
    <w:rsid w:val="000D627B"/>
    <w:rsid w:val="000E0A4E"/>
    <w:rsid w:val="000E0DF1"/>
    <w:rsid w:val="000E6502"/>
    <w:rsid w:val="000E6C8C"/>
    <w:rsid w:val="000E73AE"/>
    <w:rsid w:val="000E75E5"/>
    <w:rsid w:val="000F3475"/>
    <w:rsid w:val="000F48B3"/>
    <w:rsid w:val="000F56C4"/>
    <w:rsid w:val="000F5EB1"/>
    <w:rsid w:val="001011D3"/>
    <w:rsid w:val="001013D0"/>
    <w:rsid w:val="00102004"/>
    <w:rsid w:val="00102088"/>
    <w:rsid w:val="001020FF"/>
    <w:rsid w:val="00103E5A"/>
    <w:rsid w:val="00104C80"/>
    <w:rsid w:val="0010537D"/>
    <w:rsid w:val="00106FCE"/>
    <w:rsid w:val="0010714F"/>
    <w:rsid w:val="00116654"/>
    <w:rsid w:val="00117260"/>
    <w:rsid w:val="00120540"/>
    <w:rsid w:val="00121AA8"/>
    <w:rsid w:val="00122E8F"/>
    <w:rsid w:val="001238EC"/>
    <w:rsid w:val="001305D7"/>
    <w:rsid w:val="001334C5"/>
    <w:rsid w:val="00133805"/>
    <w:rsid w:val="00135413"/>
    <w:rsid w:val="0013703F"/>
    <w:rsid w:val="00137F87"/>
    <w:rsid w:val="001405A3"/>
    <w:rsid w:val="00140637"/>
    <w:rsid w:val="00140E00"/>
    <w:rsid w:val="00140E77"/>
    <w:rsid w:val="00141969"/>
    <w:rsid w:val="00141A75"/>
    <w:rsid w:val="00141C7B"/>
    <w:rsid w:val="001420A8"/>
    <w:rsid w:val="0014211E"/>
    <w:rsid w:val="001439C1"/>
    <w:rsid w:val="00144ACE"/>
    <w:rsid w:val="00144AF5"/>
    <w:rsid w:val="0014524D"/>
    <w:rsid w:val="001452C7"/>
    <w:rsid w:val="00146153"/>
    <w:rsid w:val="001506DA"/>
    <w:rsid w:val="00150774"/>
    <w:rsid w:val="00150D84"/>
    <w:rsid w:val="00151194"/>
    <w:rsid w:val="001524A5"/>
    <w:rsid w:val="001528EC"/>
    <w:rsid w:val="00155030"/>
    <w:rsid w:val="00160ACD"/>
    <w:rsid w:val="0016252B"/>
    <w:rsid w:val="00163F7D"/>
    <w:rsid w:val="0016438A"/>
    <w:rsid w:val="00167A45"/>
    <w:rsid w:val="00172A31"/>
    <w:rsid w:val="00174206"/>
    <w:rsid w:val="00175F19"/>
    <w:rsid w:val="001760EF"/>
    <w:rsid w:val="001800AD"/>
    <w:rsid w:val="00181A7A"/>
    <w:rsid w:val="001826B5"/>
    <w:rsid w:val="00182797"/>
    <w:rsid w:val="00182D52"/>
    <w:rsid w:val="001836FB"/>
    <w:rsid w:val="00184EC9"/>
    <w:rsid w:val="00185C71"/>
    <w:rsid w:val="0018621A"/>
    <w:rsid w:val="001873F4"/>
    <w:rsid w:val="00192310"/>
    <w:rsid w:val="001928D5"/>
    <w:rsid w:val="001931DE"/>
    <w:rsid w:val="00195204"/>
    <w:rsid w:val="00195CA7"/>
    <w:rsid w:val="00196497"/>
    <w:rsid w:val="00196F3A"/>
    <w:rsid w:val="00197237"/>
    <w:rsid w:val="00197878"/>
    <w:rsid w:val="00197C47"/>
    <w:rsid w:val="001A1D04"/>
    <w:rsid w:val="001A330F"/>
    <w:rsid w:val="001A3794"/>
    <w:rsid w:val="001A3921"/>
    <w:rsid w:val="001A39D9"/>
    <w:rsid w:val="001A6623"/>
    <w:rsid w:val="001A66FE"/>
    <w:rsid w:val="001A7856"/>
    <w:rsid w:val="001B07DC"/>
    <w:rsid w:val="001B1B53"/>
    <w:rsid w:val="001B50C1"/>
    <w:rsid w:val="001C0B44"/>
    <w:rsid w:val="001C0DFF"/>
    <w:rsid w:val="001C28E6"/>
    <w:rsid w:val="001C3493"/>
    <w:rsid w:val="001C531D"/>
    <w:rsid w:val="001C7D92"/>
    <w:rsid w:val="001D1B1C"/>
    <w:rsid w:val="001D1F7F"/>
    <w:rsid w:val="001D2576"/>
    <w:rsid w:val="001D315E"/>
    <w:rsid w:val="001D31A2"/>
    <w:rsid w:val="001D382A"/>
    <w:rsid w:val="001D6488"/>
    <w:rsid w:val="001E4F50"/>
    <w:rsid w:val="001E5423"/>
    <w:rsid w:val="001F073C"/>
    <w:rsid w:val="001F1746"/>
    <w:rsid w:val="001F4EA1"/>
    <w:rsid w:val="001F67FC"/>
    <w:rsid w:val="001F6C4D"/>
    <w:rsid w:val="00200CAE"/>
    <w:rsid w:val="00200EAD"/>
    <w:rsid w:val="00202AD5"/>
    <w:rsid w:val="00203656"/>
    <w:rsid w:val="0020415B"/>
    <w:rsid w:val="002056A6"/>
    <w:rsid w:val="00210354"/>
    <w:rsid w:val="0021191A"/>
    <w:rsid w:val="00212281"/>
    <w:rsid w:val="002131C7"/>
    <w:rsid w:val="00213965"/>
    <w:rsid w:val="00213BFE"/>
    <w:rsid w:val="00216819"/>
    <w:rsid w:val="00216870"/>
    <w:rsid w:val="00220C8F"/>
    <w:rsid w:val="00221C48"/>
    <w:rsid w:val="0022559E"/>
    <w:rsid w:val="002257EE"/>
    <w:rsid w:val="00225C7B"/>
    <w:rsid w:val="00227676"/>
    <w:rsid w:val="00227AB3"/>
    <w:rsid w:val="00227E98"/>
    <w:rsid w:val="00231262"/>
    <w:rsid w:val="0023164A"/>
    <w:rsid w:val="002321C1"/>
    <w:rsid w:val="00240F68"/>
    <w:rsid w:val="0024220D"/>
    <w:rsid w:val="00242DF2"/>
    <w:rsid w:val="00243098"/>
    <w:rsid w:val="00244327"/>
    <w:rsid w:val="00250B71"/>
    <w:rsid w:val="00251719"/>
    <w:rsid w:val="00251D2B"/>
    <w:rsid w:val="00252F34"/>
    <w:rsid w:val="0025332C"/>
    <w:rsid w:val="00253B94"/>
    <w:rsid w:val="002542B3"/>
    <w:rsid w:val="00255C27"/>
    <w:rsid w:val="0025645D"/>
    <w:rsid w:val="002579BC"/>
    <w:rsid w:val="00261E57"/>
    <w:rsid w:val="002624CC"/>
    <w:rsid w:val="00262755"/>
    <w:rsid w:val="00262FD9"/>
    <w:rsid w:val="002643BB"/>
    <w:rsid w:val="00265225"/>
    <w:rsid w:val="00265EF5"/>
    <w:rsid w:val="00266096"/>
    <w:rsid w:val="002664BD"/>
    <w:rsid w:val="00267B9D"/>
    <w:rsid w:val="00267DE9"/>
    <w:rsid w:val="00267E8B"/>
    <w:rsid w:val="002722FA"/>
    <w:rsid w:val="002729ED"/>
    <w:rsid w:val="0027455F"/>
    <w:rsid w:val="00274739"/>
    <w:rsid w:val="00274A88"/>
    <w:rsid w:val="00274C6A"/>
    <w:rsid w:val="00275BDD"/>
    <w:rsid w:val="002761C7"/>
    <w:rsid w:val="00276EFC"/>
    <w:rsid w:val="002777C0"/>
    <w:rsid w:val="002813DC"/>
    <w:rsid w:val="0028337E"/>
    <w:rsid w:val="002844C9"/>
    <w:rsid w:val="00284A45"/>
    <w:rsid w:val="0028648A"/>
    <w:rsid w:val="002865A7"/>
    <w:rsid w:val="002900E2"/>
    <w:rsid w:val="00290A28"/>
    <w:rsid w:val="0029203E"/>
    <w:rsid w:val="00294641"/>
    <w:rsid w:val="0029472E"/>
    <w:rsid w:val="00296C46"/>
    <w:rsid w:val="002A1614"/>
    <w:rsid w:val="002A191C"/>
    <w:rsid w:val="002A3678"/>
    <w:rsid w:val="002A51F9"/>
    <w:rsid w:val="002B218B"/>
    <w:rsid w:val="002B706F"/>
    <w:rsid w:val="002B7188"/>
    <w:rsid w:val="002C1B9B"/>
    <w:rsid w:val="002C2A35"/>
    <w:rsid w:val="002C2AC4"/>
    <w:rsid w:val="002C41B2"/>
    <w:rsid w:val="002C458D"/>
    <w:rsid w:val="002C4742"/>
    <w:rsid w:val="002C49BE"/>
    <w:rsid w:val="002C7933"/>
    <w:rsid w:val="002D42A3"/>
    <w:rsid w:val="002D66F7"/>
    <w:rsid w:val="002D7B44"/>
    <w:rsid w:val="002E1B30"/>
    <w:rsid w:val="002E1E43"/>
    <w:rsid w:val="002E3207"/>
    <w:rsid w:val="002E3A18"/>
    <w:rsid w:val="002E511D"/>
    <w:rsid w:val="002F0E39"/>
    <w:rsid w:val="002F34BD"/>
    <w:rsid w:val="002F365D"/>
    <w:rsid w:val="002F3752"/>
    <w:rsid w:val="002F3BDF"/>
    <w:rsid w:val="002F405A"/>
    <w:rsid w:val="002F5D78"/>
    <w:rsid w:val="003004FB"/>
    <w:rsid w:val="00306457"/>
    <w:rsid w:val="003070EF"/>
    <w:rsid w:val="003129F9"/>
    <w:rsid w:val="00314702"/>
    <w:rsid w:val="00314F81"/>
    <w:rsid w:val="003205DA"/>
    <w:rsid w:val="00321908"/>
    <w:rsid w:val="003232D4"/>
    <w:rsid w:val="00323857"/>
    <w:rsid w:val="003247BA"/>
    <w:rsid w:val="00325C9E"/>
    <w:rsid w:val="003264C1"/>
    <w:rsid w:val="00331E55"/>
    <w:rsid w:val="00333EB0"/>
    <w:rsid w:val="00334B9D"/>
    <w:rsid w:val="00336A33"/>
    <w:rsid w:val="00337B6E"/>
    <w:rsid w:val="00343047"/>
    <w:rsid w:val="00343F92"/>
    <w:rsid w:val="00345759"/>
    <w:rsid w:val="003466EF"/>
    <w:rsid w:val="0035265C"/>
    <w:rsid w:val="00352D3F"/>
    <w:rsid w:val="00353292"/>
    <w:rsid w:val="00354FE9"/>
    <w:rsid w:val="0035525A"/>
    <w:rsid w:val="00356A32"/>
    <w:rsid w:val="0035701B"/>
    <w:rsid w:val="0035752D"/>
    <w:rsid w:val="0036075C"/>
    <w:rsid w:val="00363396"/>
    <w:rsid w:val="00363C35"/>
    <w:rsid w:val="003642F0"/>
    <w:rsid w:val="00366BC7"/>
    <w:rsid w:val="003672D7"/>
    <w:rsid w:val="003673A7"/>
    <w:rsid w:val="00367596"/>
    <w:rsid w:val="00367F61"/>
    <w:rsid w:val="003718A5"/>
    <w:rsid w:val="0037418D"/>
    <w:rsid w:val="00374726"/>
    <w:rsid w:val="00375CEA"/>
    <w:rsid w:val="00380910"/>
    <w:rsid w:val="00381B65"/>
    <w:rsid w:val="00382C09"/>
    <w:rsid w:val="00382D0C"/>
    <w:rsid w:val="003832B2"/>
    <w:rsid w:val="00385F0D"/>
    <w:rsid w:val="00386069"/>
    <w:rsid w:val="00391770"/>
    <w:rsid w:val="003920B8"/>
    <w:rsid w:val="00394511"/>
    <w:rsid w:val="003970DE"/>
    <w:rsid w:val="003978CE"/>
    <w:rsid w:val="00397EC1"/>
    <w:rsid w:val="00397F94"/>
    <w:rsid w:val="003A0B64"/>
    <w:rsid w:val="003A1C17"/>
    <w:rsid w:val="003A25CF"/>
    <w:rsid w:val="003A4C57"/>
    <w:rsid w:val="003A5EE0"/>
    <w:rsid w:val="003A6677"/>
    <w:rsid w:val="003A6CE9"/>
    <w:rsid w:val="003A716E"/>
    <w:rsid w:val="003A742C"/>
    <w:rsid w:val="003B0B3D"/>
    <w:rsid w:val="003B2B90"/>
    <w:rsid w:val="003B6398"/>
    <w:rsid w:val="003B6C7A"/>
    <w:rsid w:val="003C0004"/>
    <w:rsid w:val="003C1A80"/>
    <w:rsid w:val="003C1F5B"/>
    <w:rsid w:val="003C25A8"/>
    <w:rsid w:val="003C375F"/>
    <w:rsid w:val="003C508D"/>
    <w:rsid w:val="003C6AFB"/>
    <w:rsid w:val="003C6F22"/>
    <w:rsid w:val="003C7307"/>
    <w:rsid w:val="003C7B16"/>
    <w:rsid w:val="003D1A02"/>
    <w:rsid w:val="003D3214"/>
    <w:rsid w:val="003D3B48"/>
    <w:rsid w:val="003D4041"/>
    <w:rsid w:val="003D4E88"/>
    <w:rsid w:val="003D581C"/>
    <w:rsid w:val="003D617F"/>
    <w:rsid w:val="003D7DC5"/>
    <w:rsid w:val="003E0F20"/>
    <w:rsid w:val="003E1CBA"/>
    <w:rsid w:val="003E2158"/>
    <w:rsid w:val="003E2957"/>
    <w:rsid w:val="003E60D0"/>
    <w:rsid w:val="003E67EC"/>
    <w:rsid w:val="003F2B5A"/>
    <w:rsid w:val="003F488F"/>
    <w:rsid w:val="003F4D0E"/>
    <w:rsid w:val="003F6DC0"/>
    <w:rsid w:val="003F7A08"/>
    <w:rsid w:val="004019D3"/>
    <w:rsid w:val="00407CA5"/>
    <w:rsid w:val="004103BB"/>
    <w:rsid w:val="00410C31"/>
    <w:rsid w:val="00411A0C"/>
    <w:rsid w:val="00415C19"/>
    <w:rsid w:val="004163C5"/>
    <w:rsid w:val="00416572"/>
    <w:rsid w:val="0041703E"/>
    <w:rsid w:val="00417AA5"/>
    <w:rsid w:val="00417CFE"/>
    <w:rsid w:val="00417E4E"/>
    <w:rsid w:val="00420338"/>
    <w:rsid w:val="004206D3"/>
    <w:rsid w:val="004225CC"/>
    <w:rsid w:val="0042270B"/>
    <w:rsid w:val="00432B29"/>
    <w:rsid w:val="00434411"/>
    <w:rsid w:val="00440120"/>
    <w:rsid w:val="0044468E"/>
    <w:rsid w:val="0045043E"/>
    <w:rsid w:val="00451128"/>
    <w:rsid w:val="00451A54"/>
    <w:rsid w:val="004578AD"/>
    <w:rsid w:val="00457FCC"/>
    <w:rsid w:val="004609FC"/>
    <w:rsid w:val="004616B7"/>
    <w:rsid w:val="0046297C"/>
    <w:rsid w:val="00462DB0"/>
    <w:rsid w:val="004678EC"/>
    <w:rsid w:val="00471587"/>
    <w:rsid w:val="00471A9E"/>
    <w:rsid w:val="00471F00"/>
    <w:rsid w:val="00472370"/>
    <w:rsid w:val="00472BE9"/>
    <w:rsid w:val="00475CEC"/>
    <w:rsid w:val="00476582"/>
    <w:rsid w:val="00476E4C"/>
    <w:rsid w:val="004779C6"/>
    <w:rsid w:val="0048030B"/>
    <w:rsid w:val="004806DD"/>
    <w:rsid w:val="00480916"/>
    <w:rsid w:val="00481F89"/>
    <w:rsid w:val="00482C2E"/>
    <w:rsid w:val="004838C1"/>
    <w:rsid w:val="00486343"/>
    <w:rsid w:val="00486F96"/>
    <w:rsid w:val="00487512"/>
    <w:rsid w:val="00490CC7"/>
    <w:rsid w:val="004928DA"/>
    <w:rsid w:val="0049318A"/>
    <w:rsid w:val="004962EE"/>
    <w:rsid w:val="0049678E"/>
    <w:rsid w:val="00496968"/>
    <w:rsid w:val="004A00A4"/>
    <w:rsid w:val="004A064B"/>
    <w:rsid w:val="004A086A"/>
    <w:rsid w:val="004A0D60"/>
    <w:rsid w:val="004A3E99"/>
    <w:rsid w:val="004A4255"/>
    <w:rsid w:val="004A446F"/>
    <w:rsid w:val="004A5666"/>
    <w:rsid w:val="004A58BC"/>
    <w:rsid w:val="004A5CA2"/>
    <w:rsid w:val="004A6C55"/>
    <w:rsid w:val="004A6D88"/>
    <w:rsid w:val="004B2637"/>
    <w:rsid w:val="004B2CBF"/>
    <w:rsid w:val="004B6333"/>
    <w:rsid w:val="004B638C"/>
    <w:rsid w:val="004B668F"/>
    <w:rsid w:val="004C0028"/>
    <w:rsid w:val="004C2D91"/>
    <w:rsid w:val="004C48CA"/>
    <w:rsid w:val="004C4B87"/>
    <w:rsid w:val="004C6247"/>
    <w:rsid w:val="004C6FED"/>
    <w:rsid w:val="004D0B12"/>
    <w:rsid w:val="004D0B97"/>
    <w:rsid w:val="004D163B"/>
    <w:rsid w:val="004D1BAE"/>
    <w:rsid w:val="004D20F9"/>
    <w:rsid w:val="004D5057"/>
    <w:rsid w:val="004D578E"/>
    <w:rsid w:val="004D5A95"/>
    <w:rsid w:val="004D66A2"/>
    <w:rsid w:val="004D6C5D"/>
    <w:rsid w:val="004E0291"/>
    <w:rsid w:val="004E19EE"/>
    <w:rsid w:val="004E32AD"/>
    <w:rsid w:val="004E3CEA"/>
    <w:rsid w:val="004E63DD"/>
    <w:rsid w:val="004E702A"/>
    <w:rsid w:val="004E7FFD"/>
    <w:rsid w:val="004F0236"/>
    <w:rsid w:val="004F25D9"/>
    <w:rsid w:val="004F5F99"/>
    <w:rsid w:val="0050025C"/>
    <w:rsid w:val="0050471F"/>
    <w:rsid w:val="0050481A"/>
    <w:rsid w:val="00504848"/>
    <w:rsid w:val="00505C36"/>
    <w:rsid w:val="00505E66"/>
    <w:rsid w:val="0051333D"/>
    <w:rsid w:val="0051428D"/>
    <w:rsid w:val="00515475"/>
    <w:rsid w:val="00515919"/>
    <w:rsid w:val="00515D92"/>
    <w:rsid w:val="005200D3"/>
    <w:rsid w:val="00520B38"/>
    <w:rsid w:val="005219C6"/>
    <w:rsid w:val="005230BD"/>
    <w:rsid w:val="0052475E"/>
    <w:rsid w:val="00524D1F"/>
    <w:rsid w:val="005257C1"/>
    <w:rsid w:val="00525EE3"/>
    <w:rsid w:val="005314F5"/>
    <w:rsid w:val="00531DEE"/>
    <w:rsid w:val="005322E2"/>
    <w:rsid w:val="00533695"/>
    <w:rsid w:val="0053453A"/>
    <w:rsid w:val="0053494B"/>
    <w:rsid w:val="00535985"/>
    <w:rsid w:val="0053701F"/>
    <w:rsid w:val="00541EA5"/>
    <w:rsid w:val="0054341D"/>
    <w:rsid w:val="0054384F"/>
    <w:rsid w:val="005438E4"/>
    <w:rsid w:val="00544130"/>
    <w:rsid w:val="005453CC"/>
    <w:rsid w:val="005456BB"/>
    <w:rsid w:val="00550BA6"/>
    <w:rsid w:val="005513AA"/>
    <w:rsid w:val="0055246D"/>
    <w:rsid w:val="00552972"/>
    <w:rsid w:val="00553258"/>
    <w:rsid w:val="00553296"/>
    <w:rsid w:val="005555F2"/>
    <w:rsid w:val="0055596F"/>
    <w:rsid w:val="00556249"/>
    <w:rsid w:val="00556734"/>
    <w:rsid w:val="00564EDD"/>
    <w:rsid w:val="00566D1F"/>
    <w:rsid w:val="00567AC1"/>
    <w:rsid w:val="00574E2E"/>
    <w:rsid w:val="005750F9"/>
    <w:rsid w:val="00576203"/>
    <w:rsid w:val="00577A64"/>
    <w:rsid w:val="00582232"/>
    <w:rsid w:val="0058326B"/>
    <w:rsid w:val="00585018"/>
    <w:rsid w:val="005857BA"/>
    <w:rsid w:val="00586C99"/>
    <w:rsid w:val="0059390B"/>
    <w:rsid w:val="00593C9D"/>
    <w:rsid w:val="005A1DCF"/>
    <w:rsid w:val="005A729F"/>
    <w:rsid w:val="005B0392"/>
    <w:rsid w:val="005B2D03"/>
    <w:rsid w:val="005B34A7"/>
    <w:rsid w:val="005B4A24"/>
    <w:rsid w:val="005B6B59"/>
    <w:rsid w:val="005C22CD"/>
    <w:rsid w:val="005C330A"/>
    <w:rsid w:val="005C3CFB"/>
    <w:rsid w:val="005C3FBF"/>
    <w:rsid w:val="005D015A"/>
    <w:rsid w:val="005D3DA0"/>
    <w:rsid w:val="005D48DF"/>
    <w:rsid w:val="005D53B6"/>
    <w:rsid w:val="005D6224"/>
    <w:rsid w:val="005D7BD3"/>
    <w:rsid w:val="005E1818"/>
    <w:rsid w:val="005E2A96"/>
    <w:rsid w:val="005E2C2C"/>
    <w:rsid w:val="005E394E"/>
    <w:rsid w:val="005E3FEE"/>
    <w:rsid w:val="005E4867"/>
    <w:rsid w:val="005E6938"/>
    <w:rsid w:val="005F1397"/>
    <w:rsid w:val="005F1B75"/>
    <w:rsid w:val="005F614B"/>
    <w:rsid w:val="006045AD"/>
    <w:rsid w:val="006050C7"/>
    <w:rsid w:val="006064E8"/>
    <w:rsid w:val="00607CF5"/>
    <w:rsid w:val="006102D1"/>
    <w:rsid w:val="0061061A"/>
    <w:rsid w:val="00620538"/>
    <w:rsid w:val="006224D5"/>
    <w:rsid w:val="00625099"/>
    <w:rsid w:val="00625ADC"/>
    <w:rsid w:val="006272BE"/>
    <w:rsid w:val="00637D70"/>
    <w:rsid w:val="0064115C"/>
    <w:rsid w:val="0064121C"/>
    <w:rsid w:val="00641800"/>
    <w:rsid w:val="00642AE4"/>
    <w:rsid w:val="00645409"/>
    <w:rsid w:val="006462DB"/>
    <w:rsid w:val="00650696"/>
    <w:rsid w:val="00657194"/>
    <w:rsid w:val="00660B08"/>
    <w:rsid w:val="006626E8"/>
    <w:rsid w:val="006647A1"/>
    <w:rsid w:val="00667280"/>
    <w:rsid w:val="00671AA3"/>
    <w:rsid w:val="0067385B"/>
    <w:rsid w:val="00675F60"/>
    <w:rsid w:val="0067664E"/>
    <w:rsid w:val="00677A07"/>
    <w:rsid w:val="0068299E"/>
    <w:rsid w:val="00684DA6"/>
    <w:rsid w:val="006853BA"/>
    <w:rsid w:val="00685818"/>
    <w:rsid w:val="00690F6C"/>
    <w:rsid w:val="00691393"/>
    <w:rsid w:val="006934AA"/>
    <w:rsid w:val="0069452F"/>
    <w:rsid w:val="006A484C"/>
    <w:rsid w:val="006A58E1"/>
    <w:rsid w:val="006A76C7"/>
    <w:rsid w:val="006A785F"/>
    <w:rsid w:val="006B47B4"/>
    <w:rsid w:val="006B4B21"/>
    <w:rsid w:val="006B59D1"/>
    <w:rsid w:val="006B5F14"/>
    <w:rsid w:val="006B63DA"/>
    <w:rsid w:val="006C221A"/>
    <w:rsid w:val="006C2BA2"/>
    <w:rsid w:val="006C374D"/>
    <w:rsid w:val="006C3910"/>
    <w:rsid w:val="006C490B"/>
    <w:rsid w:val="006C490C"/>
    <w:rsid w:val="006C4F5A"/>
    <w:rsid w:val="006C68E1"/>
    <w:rsid w:val="006D0273"/>
    <w:rsid w:val="006D0F5D"/>
    <w:rsid w:val="006D264B"/>
    <w:rsid w:val="006D561A"/>
    <w:rsid w:val="006E0109"/>
    <w:rsid w:val="006E0C97"/>
    <w:rsid w:val="006E2C5A"/>
    <w:rsid w:val="006E2D6F"/>
    <w:rsid w:val="006E3A33"/>
    <w:rsid w:val="006E44DE"/>
    <w:rsid w:val="006E6520"/>
    <w:rsid w:val="006E7280"/>
    <w:rsid w:val="006E791F"/>
    <w:rsid w:val="006F146A"/>
    <w:rsid w:val="006F313C"/>
    <w:rsid w:val="006F3F78"/>
    <w:rsid w:val="006F4126"/>
    <w:rsid w:val="006F4575"/>
    <w:rsid w:val="006F76E4"/>
    <w:rsid w:val="006F78EA"/>
    <w:rsid w:val="00701556"/>
    <w:rsid w:val="00701DC6"/>
    <w:rsid w:val="00705332"/>
    <w:rsid w:val="00706CD3"/>
    <w:rsid w:val="00707305"/>
    <w:rsid w:val="007078AC"/>
    <w:rsid w:val="0071019C"/>
    <w:rsid w:val="0071042B"/>
    <w:rsid w:val="00710DA9"/>
    <w:rsid w:val="0071409B"/>
    <w:rsid w:val="00717FFD"/>
    <w:rsid w:val="00720280"/>
    <w:rsid w:val="00720A1F"/>
    <w:rsid w:val="00720A5E"/>
    <w:rsid w:val="007212A6"/>
    <w:rsid w:val="00722710"/>
    <w:rsid w:val="00724DE8"/>
    <w:rsid w:val="00725A5D"/>
    <w:rsid w:val="00726508"/>
    <w:rsid w:val="007269AF"/>
    <w:rsid w:val="00727051"/>
    <w:rsid w:val="007273EB"/>
    <w:rsid w:val="00727CCE"/>
    <w:rsid w:val="0073108D"/>
    <w:rsid w:val="0073487A"/>
    <w:rsid w:val="00736907"/>
    <w:rsid w:val="00736B53"/>
    <w:rsid w:val="007415B2"/>
    <w:rsid w:val="007422F9"/>
    <w:rsid w:val="00744B1C"/>
    <w:rsid w:val="00750BC7"/>
    <w:rsid w:val="007514C1"/>
    <w:rsid w:val="00756255"/>
    <w:rsid w:val="007618F2"/>
    <w:rsid w:val="00761E60"/>
    <w:rsid w:val="00763A12"/>
    <w:rsid w:val="00764CA2"/>
    <w:rsid w:val="00766680"/>
    <w:rsid w:val="0076793F"/>
    <w:rsid w:val="00767DEB"/>
    <w:rsid w:val="007702F4"/>
    <w:rsid w:val="00771A45"/>
    <w:rsid w:val="00772AB2"/>
    <w:rsid w:val="00777F36"/>
    <w:rsid w:val="007801BD"/>
    <w:rsid w:val="007809A1"/>
    <w:rsid w:val="007812BE"/>
    <w:rsid w:val="007833D4"/>
    <w:rsid w:val="00784BE5"/>
    <w:rsid w:val="00786022"/>
    <w:rsid w:val="007874D4"/>
    <w:rsid w:val="0079218B"/>
    <w:rsid w:val="00797065"/>
    <w:rsid w:val="007972E0"/>
    <w:rsid w:val="007979BE"/>
    <w:rsid w:val="00797EA3"/>
    <w:rsid w:val="007A10F4"/>
    <w:rsid w:val="007A29B8"/>
    <w:rsid w:val="007A3737"/>
    <w:rsid w:val="007A7F7A"/>
    <w:rsid w:val="007B376F"/>
    <w:rsid w:val="007B38E6"/>
    <w:rsid w:val="007B55AE"/>
    <w:rsid w:val="007B5AF9"/>
    <w:rsid w:val="007B62BB"/>
    <w:rsid w:val="007B6FEF"/>
    <w:rsid w:val="007C3789"/>
    <w:rsid w:val="007C3D64"/>
    <w:rsid w:val="007C4511"/>
    <w:rsid w:val="007C48CE"/>
    <w:rsid w:val="007D05E2"/>
    <w:rsid w:val="007D1BB8"/>
    <w:rsid w:val="007D1EC4"/>
    <w:rsid w:val="007D3343"/>
    <w:rsid w:val="007D3AFD"/>
    <w:rsid w:val="007D4370"/>
    <w:rsid w:val="007D503C"/>
    <w:rsid w:val="007E095E"/>
    <w:rsid w:val="007E388A"/>
    <w:rsid w:val="007E3A7C"/>
    <w:rsid w:val="007E47F6"/>
    <w:rsid w:val="007E5BFD"/>
    <w:rsid w:val="007E5DAE"/>
    <w:rsid w:val="007E6C4C"/>
    <w:rsid w:val="007E74D7"/>
    <w:rsid w:val="007F0350"/>
    <w:rsid w:val="007F0F4A"/>
    <w:rsid w:val="007F19CD"/>
    <w:rsid w:val="007F2551"/>
    <w:rsid w:val="007F2A24"/>
    <w:rsid w:val="007F2C9B"/>
    <w:rsid w:val="007F638B"/>
    <w:rsid w:val="007F6B80"/>
    <w:rsid w:val="007F6CCB"/>
    <w:rsid w:val="007F6EF2"/>
    <w:rsid w:val="008008D8"/>
    <w:rsid w:val="008011DB"/>
    <w:rsid w:val="0080316E"/>
    <w:rsid w:val="00804427"/>
    <w:rsid w:val="00806070"/>
    <w:rsid w:val="00806319"/>
    <w:rsid w:val="00806A79"/>
    <w:rsid w:val="008107A4"/>
    <w:rsid w:val="00812874"/>
    <w:rsid w:val="0081287A"/>
    <w:rsid w:val="0081311D"/>
    <w:rsid w:val="00814B85"/>
    <w:rsid w:val="0082089E"/>
    <w:rsid w:val="00820D94"/>
    <w:rsid w:val="0082199D"/>
    <w:rsid w:val="0082227D"/>
    <w:rsid w:val="0082285E"/>
    <w:rsid w:val="00822DE3"/>
    <w:rsid w:val="00823354"/>
    <w:rsid w:val="00824125"/>
    <w:rsid w:val="00824ABF"/>
    <w:rsid w:val="00826BC1"/>
    <w:rsid w:val="00832CF1"/>
    <w:rsid w:val="008352FF"/>
    <w:rsid w:val="00836F14"/>
    <w:rsid w:val="00840C83"/>
    <w:rsid w:val="0084239B"/>
    <w:rsid w:val="00842C6C"/>
    <w:rsid w:val="0084437A"/>
    <w:rsid w:val="00845067"/>
    <w:rsid w:val="00845EA2"/>
    <w:rsid w:val="00847677"/>
    <w:rsid w:val="00850DE7"/>
    <w:rsid w:val="0085108B"/>
    <w:rsid w:val="00851246"/>
    <w:rsid w:val="008530E1"/>
    <w:rsid w:val="00854B53"/>
    <w:rsid w:val="00855432"/>
    <w:rsid w:val="008556FD"/>
    <w:rsid w:val="008557AD"/>
    <w:rsid w:val="00855DE0"/>
    <w:rsid w:val="00857BF8"/>
    <w:rsid w:val="0086006B"/>
    <w:rsid w:val="0086014C"/>
    <w:rsid w:val="0086141D"/>
    <w:rsid w:val="008618B0"/>
    <w:rsid w:val="008621A6"/>
    <w:rsid w:val="0086279A"/>
    <w:rsid w:val="008630A1"/>
    <w:rsid w:val="00863664"/>
    <w:rsid w:val="00864AB9"/>
    <w:rsid w:val="0086508F"/>
    <w:rsid w:val="008660AE"/>
    <w:rsid w:val="008660E5"/>
    <w:rsid w:val="00866217"/>
    <w:rsid w:val="00875647"/>
    <w:rsid w:val="00880D4D"/>
    <w:rsid w:val="0088265C"/>
    <w:rsid w:val="008834F5"/>
    <w:rsid w:val="00884AE2"/>
    <w:rsid w:val="00887A8A"/>
    <w:rsid w:val="00890C20"/>
    <w:rsid w:val="00891DC2"/>
    <w:rsid w:val="0089485B"/>
    <w:rsid w:val="0089534F"/>
    <w:rsid w:val="00896E4F"/>
    <w:rsid w:val="008A1E64"/>
    <w:rsid w:val="008A3786"/>
    <w:rsid w:val="008A543C"/>
    <w:rsid w:val="008A5E54"/>
    <w:rsid w:val="008A6940"/>
    <w:rsid w:val="008A703B"/>
    <w:rsid w:val="008A7593"/>
    <w:rsid w:val="008A78DC"/>
    <w:rsid w:val="008B0879"/>
    <w:rsid w:val="008B1E27"/>
    <w:rsid w:val="008B2362"/>
    <w:rsid w:val="008B3316"/>
    <w:rsid w:val="008B4288"/>
    <w:rsid w:val="008B4741"/>
    <w:rsid w:val="008B6302"/>
    <w:rsid w:val="008B7016"/>
    <w:rsid w:val="008C10DA"/>
    <w:rsid w:val="008C2094"/>
    <w:rsid w:val="008C610E"/>
    <w:rsid w:val="008C6973"/>
    <w:rsid w:val="008C77AE"/>
    <w:rsid w:val="008D3073"/>
    <w:rsid w:val="008D6123"/>
    <w:rsid w:val="008E1C47"/>
    <w:rsid w:val="008E285D"/>
    <w:rsid w:val="008E31E3"/>
    <w:rsid w:val="008E47B6"/>
    <w:rsid w:val="008E50E0"/>
    <w:rsid w:val="008E7EBE"/>
    <w:rsid w:val="008F0F2D"/>
    <w:rsid w:val="008F1905"/>
    <w:rsid w:val="008F33D6"/>
    <w:rsid w:val="008F3F47"/>
    <w:rsid w:val="008F4ECE"/>
    <w:rsid w:val="008F5819"/>
    <w:rsid w:val="008F5ACA"/>
    <w:rsid w:val="008F728D"/>
    <w:rsid w:val="0090019A"/>
    <w:rsid w:val="0090053E"/>
    <w:rsid w:val="00901F6E"/>
    <w:rsid w:val="0090290E"/>
    <w:rsid w:val="00902C3A"/>
    <w:rsid w:val="00903232"/>
    <w:rsid w:val="00904E02"/>
    <w:rsid w:val="0090570C"/>
    <w:rsid w:val="00905CE0"/>
    <w:rsid w:val="00910310"/>
    <w:rsid w:val="00911019"/>
    <w:rsid w:val="009122D6"/>
    <w:rsid w:val="009136CF"/>
    <w:rsid w:val="009165CB"/>
    <w:rsid w:val="00916C72"/>
    <w:rsid w:val="00917F7B"/>
    <w:rsid w:val="009216C3"/>
    <w:rsid w:val="009227C7"/>
    <w:rsid w:val="0092386D"/>
    <w:rsid w:val="0092623A"/>
    <w:rsid w:val="0092787A"/>
    <w:rsid w:val="00931740"/>
    <w:rsid w:val="00932256"/>
    <w:rsid w:val="00933908"/>
    <w:rsid w:val="00934CF0"/>
    <w:rsid w:val="00935B3C"/>
    <w:rsid w:val="00936A01"/>
    <w:rsid w:val="00941CE8"/>
    <w:rsid w:val="00942419"/>
    <w:rsid w:val="009424E7"/>
    <w:rsid w:val="00942ED1"/>
    <w:rsid w:val="00943DF1"/>
    <w:rsid w:val="00943FEE"/>
    <w:rsid w:val="00944050"/>
    <w:rsid w:val="00951286"/>
    <w:rsid w:val="0095131A"/>
    <w:rsid w:val="00954A09"/>
    <w:rsid w:val="00954AB6"/>
    <w:rsid w:val="00954F88"/>
    <w:rsid w:val="00956550"/>
    <w:rsid w:val="0096026D"/>
    <w:rsid w:val="009622AB"/>
    <w:rsid w:val="0096233E"/>
    <w:rsid w:val="0096320D"/>
    <w:rsid w:val="00963740"/>
    <w:rsid w:val="009643CF"/>
    <w:rsid w:val="0096631A"/>
    <w:rsid w:val="00970996"/>
    <w:rsid w:val="00972754"/>
    <w:rsid w:val="00974A27"/>
    <w:rsid w:val="0097622D"/>
    <w:rsid w:val="00976C4A"/>
    <w:rsid w:val="00976F03"/>
    <w:rsid w:val="0098152E"/>
    <w:rsid w:val="0098291A"/>
    <w:rsid w:val="009832B5"/>
    <w:rsid w:val="0098376E"/>
    <w:rsid w:val="00985B11"/>
    <w:rsid w:val="00985C3D"/>
    <w:rsid w:val="0098610D"/>
    <w:rsid w:val="009862EE"/>
    <w:rsid w:val="00987C46"/>
    <w:rsid w:val="00990EFA"/>
    <w:rsid w:val="009910AE"/>
    <w:rsid w:val="009929D8"/>
    <w:rsid w:val="00993DEF"/>
    <w:rsid w:val="00993FE6"/>
    <w:rsid w:val="009A006B"/>
    <w:rsid w:val="009A29DB"/>
    <w:rsid w:val="009A2BE1"/>
    <w:rsid w:val="009A3131"/>
    <w:rsid w:val="009A3AEF"/>
    <w:rsid w:val="009A51C4"/>
    <w:rsid w:val="009A5D5F"/>
    <w:rsid w:val="009A5FDB"/>
    <w:rsid w:val="009B0043"/>
    <w:rsid w:val="009B0635"/>
    <w:rsid w:val="009B60FC"/>
    <w:rsid w:val="009B6427"/>
    <w:rsid w:val="009B649B"/>
    <w:rsid w:val="009B774A"/>
    <w:rsid w:val="009B7AFB"/>
    <w:rsid w:val="009B7EC7"/>
    <w:rsid w:val="009C3C0C"/>
    <w:rsid w:val="009C4216"/>
    <w:rsid w:val="009C45BE"/>
    <w:rsid w:val="009C562A"/>
    <w:rsid w:val="009C686B"/>
    <w:rsid w:val="009D3997"/>
    <w:rsid w:val="009D3A6B"/>
    <w:rsid w:val="009D4109"/>
    <w:rsid w:val="009D41FC"/>
    <w:rsid w:val="009D6F03"/>
    <w:rsid w:val="009D7798"/>
    <w:rsid w:val="009E30D9"/>
    <w:rsid w:val="009F189F"/>
    <w:rsid w:val="009F263B"/>
    <w:rsid w:val="009F2CBB"/>
    <w:rsid w:val="00A00C68"/>
    <w:rsid w:val="00A02889"/>
    <w:rsid w:val="00A050C5"/>
    <w:rsid w:val="00A05780"/>
    <w:rsid w:val="00A05831"/>
    <w:rsid w:val="00A07AD1"/>
    <w:rsid w:val="00A11D23"/>
    <w:rsid w:val="00A14D35"/>
    <w:rsid w:val="00A1506C"/>
    <w:rsid w:val="00A1594C"/>
    <w:rsid w:val="00A15A65"/>
    <w:rsid w:val="00A16A00"/>
    <w:rsid w:val="00A17F61"/>
    <w:rsid w:val="00A2037F"/>
    <w:rsid w:val="00A22190"/>
    <w:rsid w:val="00A233FE"/>
    <w:rsid w:val="00A2419F"/>
    <w:rsid w:val="00A244DA"/>
    <w:rsid w:val="00A31D3A"/>
    <w:rsid w:val="00A3344E"/>
    <w:rsid w:val="00A37D60"/>
    <w:rsid w:val="00A409B3"/>
    <w:rsid w:val="00A44B4A"/>
    <w:rsid w:val="00A45C31"/>
    <w:rsid w:val="00A462F3"/>
    <w:rsid w:val="00A50787"/>
    <w:rsid w:val="00A51F9A"/>
    <w:rsid w:val="00A53461"/>
    <w:rsid w:val="00A54A5C"/>
    <w:rsid w:val="00A5574E"/>
    <w:rsid w:val="00A56BAA"/>
    <w:rsid w:val="00A61AC0"/>
    <w:rsid w:val="00A61E22"/>
    <w:rsid w:val="00A62247"/>
    <w:rsid w:val="00A625FC"/>
    <w:rsid w:val="00A63B76"/>
    <w:rsid w:val="00A64B68"/>
    <w:rsid w:val="00A66C85"/>
    <w:rsid w:val="00A66D8E"/>
    <w:rsid w:val="00A70230"/>
    <w:rsid w:val="00A737B4"/>
    <w:rsid w:val="00A74BBE"/>
    <w:rsid w:val="00A75D6D"/>
    <w:rsid w:val="00A810CF"/>
    <w:rsid w:val="00A82C4D"/>
    <w:rsid w:val="00A83400"/>
    <w:rsid w:val="00A8431E"/>
    <w:rsid w:val="00A855EB"/>
    <w:rsid w:val="00A87DB5"/>
    <w:rsid w:val="00A90DCE"/>
    <w:rsid w:val="00A91288"/>
    <w:rsid w:val="00A91999"/>
    <w:rsid w:val="00A931FE"/>
    <w:rsid w:val="00A93C75"/>
    <w:rsid w:val="00A9550A"/>
    <w:rsid w:val="00A95691"/>
    <w:rsid w:val="00A97704"/>
    <w:rsid w:val="00A97B31"/>
    <w:rsid w:val="00AA03F5"/>
    <w:rsid w:val="00AA31ED"/>
    <w:rsid w:val="00AA3229"/>
    <w:rsid w:val="00AA5495"/>
    <w:rsid w:val="00AA65DC"/>
    <w:rsid w:val="00AB0BD8"/>
    <w:rsid w:val="00AB1C7F"/>
    <w:rsid w:val="00AB3303"/>
    <w:rsid w:val="00AB3C3C"/>
    <w:rsid w:val="00AB51D6"/>
    <w:rsid w:val="00AC2C01"/>
    <w:rsid w:val="00AC2C2D"/>
    <w:rsid w:val="00AC3915"/>
    <w:rsid w:val="00AC3DA5"/>
    <w:rsid w:val="00AC3F26"/>
    <w:rsid w:val="00AC4A6E"/>
    <w:rsid w:val="00AC5165"/>
    <w:rsid w:val="00AC7009"/>
    <w:rsid w:val="00AD026E"/>
    <w:rsid w:val="00AD10EA"/>
    <w:rsid w:val="00AD2673"/>
    <w:rsid w:val="00AD3044"/>
    <w:rsid w:val="00AD5F7B"/>
    <w:rsid w:val="00AD6646"/>
    <w:rsid w:val="00AD71B3"/>
    <w:rsid w:val="00AD7282"/>
    <w:rsid w:val="00AE3091"/>
    <w:rsid w:val="00AE33BF"/>
    <w:rsid w:val="00AE3CC5"/>
    <w:rsid w:val="00AE3F85"/>
    <w:rsid w:val="00AE518D"/>
    <w:rsid w:val="00AE596B"/>
    <w:rsid w:val="00AE78FD"/>
    <w:rsid w:val="00AF271D"/>
    <w:rsid w:val="00AF2EFA"/>
    <w:rsid w:val="00AF445A"/>
    <w:rsid w:val="00AF62EE"/>
    <w:rsid w:val="00B028ED"/>
    <w:rsid w:val="00B04563"/>
    <w:rsid w:val="00B04F1F"/>
    <w:rsid w:val="00B07335"/>
    <w:rsid w:val="00B10917"/>
    <w:rsid w:val="00B138C6"/>
    <w:rsid w:val="00B13B3A"/>
    <w:rsid w:val="00B16631"/>
    <w:rsid w:val="00B211D7"/>
    <w:rsid w:val="00B21478"/>
    <w:rsid w:val="00B256B6"/>
    <w:rsid w:val="00B2679D"/>
    <w:rsid w:val="00B3079F"/>
    <w:rsid w:val="00B310BC"/>
    <w:rsid w:val="00B33EC1"/>
    <w:rsid w:val="00B341EF"/>
    <w:rsid w:val="00B36FC2"/>
    <w:rsid w:val="00B40779"/>
    <w:rsid w:val="00B40BBF"/>
    <w:rsid w:val="00B40F9B"/>
    <w:rsid w:val="00B416B4"/>
    <w:rsid w:val="00B42CCA"/>
    <w:rsid w:val="00B43491"/>
    <w:rsid w:val="00B45D70"/>
    <w:rsid w:val="00B5024B"/>
    <w:rsid w:val="00B5178F"/>
    <w:rsid w:val="00B51EC6"/>
    <w:rsid w:val="00B5342F"/>
    <w:rsid w:val="00B5474A"/>
    <w:rsid w:val="00B5632B"/>
    <w:rsid w:val="00B57702"/>
    <w:rsid w:val="00B6438A"/>
    <w:rsid w:val="00B65024"/>
    <w:rsid w:val="00B66C63"/>
    <w:rsid w:val="00B6726E"/>
    <w:rsid w:val="00B678E2"/>
    <w:rsid w:val="00B743C2"/>
    <w:rsid w:val="00B77E4D"/>
    <w:rsid w:val="00B814CB"/>
    <w:rsid w:val="00B83552"/>
    <w:rsid w:val="00B83BDB"/>
    <w:rsid w:val="00B84D9C"/>
    <w:rsid w:val="00B8513A"/>
    <w:rsid w:val="00B851EF"/>
    <w:rsid w:val="00B85919"/>
    <w:rsid w:val="00B91DFF"/>
    <w:rsid w:val="00B9230E"/>
    <w:rsid w:val="00B924A6"/>
    <w:rsid w:val="00B9316F"/>
    <w:rsid w:val="00B933FB"/>
    <w:rsid w:val="00B93FA9"/>
    <w:rsid w:val="00B979FE"/>
    <w:rsid w:val="00B97A9F"/>
    <w:rsid w:val="00BA116B"/>
    <w:rsid w:val="00BA37FA"/>
    <w:rsid w:val="00BB1C0B"/>
    <w:rsid w:val="00BB2547"/>
    <w:rsid w:val="00BB4690"/>
    <w:rsid w:val="00BB608C"/>
    <w:rsid w:val="00BB72BD"/>
    <w:rsid w:val="00BB7E12"/>
    <w:rsid w:val="00BC03FE"/>
    <w:rsid w:val="00BC0C73"/>
    <w:rsid w:val="00BC18BF"/>
    <w:rsid w:val="00BC1D66"/>
    <w:rsid w:val="00BC1D95"/>
    <w:rsid w:val="00BC5DAD"/>
    <w:rsid w:val="00BC6183"/>
    <w:rsid w:val="00BC6F09"/>
    <w:rsid w:val="00BD0BC0"/>
    <w:rsid w:val="00BD3A47"/>
    <w:rsid w:val="00BD3D28"/>
    <w:rsid w:val="00BD4BF6"/>
    <w:rsid w:val="00BD567F"/>
    <w:rsid w:val="00BD56AB"/>
    <w:rsid w:val="00BD5AB5"/>
    <w:rsid w:val="00BD5F75"/>
    <w:rsid w:val="00BD6331"/>
    <w:rsid w:val="00BD6AF8"/>
    <w:rsid w:val="00BD6CD6"/>
    <w:rsid w:val="00BE0D8E"/>
    <w:rsid w:val="00BE27EE"/>
    <w:rsid w:val="00BE3E84"/>
    <w:rsid w:val="00BE6867"/>
    <w:rsid w:val="00BF1E6D"/>
    <w:rsid w:val="00BF4F2A"/>
    <w:rsid w:val="00C00E40"/>
    <w:rsid w:val="00C025C3"/>
    <w:rsid w:val="00C041C3"/>
    <w:rsid w:val="00C0570B"/>
    <w:rsid w:val="00C11E6B"/>
    <w:rsid w:val="00C11EA1"/>
    <w:rsid w:val="00C14A64"/>
    <w:rsid w:val="00C17BB1"/>
    <w:rsid w:val="00C17DA0"/>
    <w:rsid w:val="00C2097A"/>
    <w:rsid w:val="00C2449A"/>
    <w:rsid w:val="00C244D6"/>
    <w:rsid w:val="00C25AA6"/>
    <w:rsid w:val="00C25F1E"/>
    <w:rsid w:val="00C26652"/>
    <w:rsid w:val="00C26C8F"/>
    <w:rsid w:val="00C27047"/>
    <w:rsid w:val="00C270AC"/>
    <w:rsid w:val="00C274CC"/>
    <w:rsid w:val="00C2793D"/>
    <w:rsid w:val="00C27C50"/>
    <w:rsid w:val="00C31CA2"/>
    <w:rsid w:val="00C31F47"/>
    <w:rsid w:val="00C3391B"/>
    <w:rsid w:val="00C3492C"/>
    <w:rsid w:val="00C34C2A"/>
    <w:rsid w:val="00C36314"/>
    <w:rsid w:val="00C36E4E"/>
    <w:rsid w:val="00C3778F"/>
    <w:rsid w:val="00C37D0A"/>
    <w:rsid w:val="00C4235D"/>
    <w:rsid w:val="00C44093"/>
    <w:rsid w:val="00C45A9F"/>
    <w:rsid w:val="00C46E30"/>
    <w:rsid w:val="00C47008"/>
    <w:rsid w:val="00C47960"/>
    <w:rsid w:val="00C501FD"/>
    <w:rsid w:val="00C52404"/>
    <w:rsid w:val="00C53652"/>
    <w:rsid w:val="00C541F9"/>
    <w:rsid w:val="00C54401"/>
    <w:rsid w:val="00C54549"/>
    <w:rsid w:val="00C55159"/>
    <w:rsid w:val="00C55775"/>
    <w:rsid w:val="00C55E55"/>
    <w:rsid w:val="00C57FD7"/>
    <w:rsid w:val="00C60341"/>
    <w:rsid w:val="00C6059B"/>
    <w:rsid w:val="00C611A7"/>
    <w:rsid w:val="00C627F6"/>
    <w:rsid w:val="00C628FD"/>
    <w:rsid w:val="00C62F04"/>
    <w:rsid w:val="00C643C8"/>
    <w:rsid w:val="00C702F7"/>
    <w:rsid w:val="00C7033D"/>
    <w:rsid w:val="00C705C0"/>
    <w:rsid w:val="00C7108F"/>
    <w:rsid w:val="00C7227C"/>
    <w:rsid w:val="00C722D3"/>
    <w:rsid w:val="00C72844"/>
    <w:rsid w:val="00C72CB8"/>
    <w:rsid w:val="00C72E4F"/>
    <w:rsid w:val="00C72E71"/>
    <w:rsid w:val="00C73ABB"/>
    <w:rsid w:val="00C741DE"/>
    <w:rsid w:val="00C743DD"/>
    <w:rsid w:val="00C7478B"/>
    <w:rsid w:val="00C75205"/>
    <w:rsid w:val="00C76BB9"/>
    <w:rsid w:val="00C76DDF"/>
    <w:rsid w:val="00C82DF8"/>
    <w:rsid w:val="00C83458"/>
    <w:rsid w:val="00C9110E"/>
    <w:rsid w:val="00C91115"/>
    <w:rsid w:val="00C914E7"/>
    <w:rsid w:val="00C91CF8"/>
    <w:rsid w:val="00C923E6"/>
    <w:rsid w:val="00C92517"/>
    <w:rsid w:val="00C96A6E"/>
    <w:rsid w:val="00C97EA0"/>
    <w:rsid w:val="00CA49C1"/>
    <w:rsid w:val="00CA62C6"/>
    <w:rsid w:val="00CB0825"/>
    <w:rsid w:val="00CB2C65"/>
    <w:rsid w:val="00CB5382"/>
    <w:rsid w:val="00CB57FB"/>
    <w:rsid w:val="00CC002F"/>
    <w:rsid w:val="00CC07FD"/>
    <w:rsid w:val="00CC1DE4"/>
    <w:rsid w:val="00CC2333"/>
    <w:rsid w:val="00CC5C5E"/>
    <w:rsid w:val="00CC6DE9"/>
    <w:rsid w:val="00CC7CBF"/>
    <w:rsid w:val="00CD1A47"/>
    <w:rsid w:val="00CD4C2B"/>
    <w:rsid w:val="00CD5B67"/>
    <w:rsid w:val="00CD6462"/>
    <w:rsid w:val="00CE1D69"/>
    <w:rsid w:val="00CE44DF"/>
    <w:rsid w:val="00CE4CB3"/>
    <w:rsid w:val="00CE5665"/>
    <w:rsid w:val="00CE658E"/>
    <w:rsid w:val="00CE67D7"/>
    <w:rsid w:val="00CE6F08"/>
    <w:rsid w:val="00CE7901"/>
    <w:rsid w:val="00CF139D"/>
    <w:rsid w:val="00CF2C71"/>
    <w:rsid w:val="00CF35FD"/>
    <w:rsid w:val="00CF422E"/>
    <w:rsid w:val="00CF5DBA"/>
    <w:rsid w:val="00CF655C"/>
    <w:rsid w:val="00CF664C"/>
    <w:rsid w:val="00CF6773"/>
    <w:rsid w:val="00D00181"/>
    <w:rsid w:val="00D01441"/>
    <w:rsid w:val="00D021AC"/>
    <w:rsid w:val="00D0248E"/>
    <w:rsid w:val="00D03EB5"/>
    <w:rsid w:val="00D05C62"/>
    <w:rsid w:val="00D1011C"/>
    <w:rsid w:val="00D10B15"/>
    <w:rsid w:val="00D10C8F"/>
    <w:rsid w:val="00D1203F"/>
    <w:rsid w:val="00D15ECE"/>
    <w:rsid w:val="00D1630B"/>
    <w:rsid w:val="00D17133"/>
    <w:rsid w:val="00D218DE"/>
    <w:rsid w:val="00D256FF"/>
    <w:rsid w:val="00D26340"/>
    <w:rsid w:val="00D26E9A"/>
    <w:rsid w:val="00D312B9"/>
    <w:rsid w:val="00D32015"/>
    <w:rsid w:val="00D3202F"/>
    <w:rsid w:val="00D34B78"/>
    <w:rsid w:val="00D35957"/>
    <w:rsid w:val="00D37C05"/>
    <w:rsid w:val="00D4046E"/>
    <w:rsid w:val="00D41AE0"/>
    <w:rsid w:val="00D42965"/>
    <w:rsid w:val="00D42A0F"/>
    <w:rsid w:val="00D449CC"/>
    <w:rsid w:val="00D4539F"/>
    <w:rsid w:val="00D506FA"/>
    <w:rsid w:val="00D5071B"/>
    <w:rsid w:val="00D53CC8"/>
    <w:rsid w:val="00D56524"/>
    <w:rsid w:val="00D5772A"/>
    <w:rsid w:val="00D6048E"/>
    <w:rsid w:val="00D608C9"/>
    <w:rsid w:val="00D65C15"/>
    <w:rsid w:val="00D66A44"/>
    <w:rsid w:val="00D672F5"/>
    <w:rsid w:val="00D7021F"/>
    <w:rsid w:val="00D706E9"/>
    <w:rsid w:val="00D70DC9"/>
    <w:rsid w:val="00D71DEB"/>
    <w:rsid w:val="00D71DF4"/>
    <w:rsid w:val="00D72A4F"/>
    <w:rsid w:val="00D7565D"/>
    <w:rsid w:val="00D76265"/>
    <w:rsid w:val="00D81C08"/>
    <w:rsid w:val="00D8431A"/>
    <w:rsid w:val="00D84A67"/>
    <w:rsid w:val="00D85872"/>
    <w:rsid w:val="00D86A27"/>
    <w:rsid w:val="00D86CEF"/>
    <w:rsid w:val="00D8703F"/>
    <w:rsid w:val="00D91EFA"/>
    <w:rsid w:val="00D9559A"/>
    <w:rsid w:val="00D95FFA"/>
    <w:rsid w:val="00D96B23"/>
    <w:rsid w:val="00D96E8C"/>
    <w:rsid w:val="00DA1A6A"/>
    <w:rsid w:val="00DA1A81"/>
    <w:rsid w:val="00DA1E73"/>
    <w:rsid w:val="00DA275A"/>
    <w:rsid w:val="00DA426A"/>
    <w:rsid w:val="00DA7044"/>
    <w:rsid w:val="00DB0E7F"/>
    <w:rsid w:val="00DB1DD4"/>
    <w:rsid w:val="00DB2136"/>
    <w:rsid w:val="00DB2F97"/>
    <w:rsid w:val="00DB3B42"/>
    <w:rsid w:val="00DB5078"/>
    <w:rsid w:val="00DB515B"/>
    <w:rsid w:val="00DB67DD"/>
    <w:rsid w:val="00DC077A"/>
    <w:rsid w:val="00DC5668"/>
    <w:rsid w:val="00DC70C3"/>
    <w:rsid w:val="00DD0A6C"/>
    <w:rsid w:val="00DD19FA"/>
    <w:rsid w:val="00DD60A1"/>
    <w:rsid w:val="00DD6114"/>
    <w:rsid w:val="00DE15CC"/>
    <w:rsid w:val="00DE1C56"/>
    <w:rsid w:val="00DE3232"/>
    <w:rsid w:val="00DE3F04"/>
    <w:rsid w:val="00DE4982"/>
    <w:rsid w:val="00DE4BAE"/>
    <w:rsid w:val="00DE56D8"/>
    <w:rsid w:val="00DF000A"/>
    <w:rsid w:val="00DF3648"/>
    <w:rsid w:val="00DF5BB0"/>
    <w:rsid w:val="00E02462"/>
    <w:rsid w:val="00E02647"/>
    <w:rsid w:val="00E06103"/>
    <w:rsid w:val="00E06A54"/>
    <w:rsid w:val="00E070B4"/>
    <w:rsid w:val="00E1011E"/>
    <w:rsid w:val="00E107B5"/>
    <w:rsid w:val="00E11048"/>
    <w:rsid w:val="00E12452"/>
    <w:rsid w:val="00E12720"/>
    <w:rsid w:val="00E12A71"/>
    <w:rsid w:val="00E142D2"/>
    <w:rsid w:val="00E14CCB"/>
    <w:rsid w:val="00E14D16"/>
    <w:rsid w:val="00E15A9D"/>
    <w:rsid w:val="00E210CE"/>
    <w:rsid w:val="00E21806"/>
    <w:rsid w:val="00E23390"/>
    <w:rsid w:val="00E23558"/>
    <w:rsid w:val="00E2484F"/>
    <w:rsid w:val="00E27592"/>
    <w:rsid w:val="00E27C8B"/>
    <w:rsid w:val="00E33370"/>
    <w:rsid w:val="00E33B71"/>
    <w:rsid w:val="00E34D66"/>
    <w:rsid w:val="00E35F03"/>
    <w:rsid w:val="00E36099"/>
    <w:rsid w:val="00E4401C"/>
    <w:rsid w:val="00E440DE"/>
    <w:rsid w:val="00E469AA"/>
    <w:rsid w:val="00E46C94"/>
    <w:rsid w:val="00E47C44"/>
    <w:rsid w:val="00E519B0"/>
    <w:rsid w:val="00E51F1E"/>
    <w:rsid w:val="00E52ABE"/>
    <w:rsid w:val="00E530B7"/>
    <w:rsid w:val="00E56D2D"/>
    <w:rsid w:val="00E5731A"/>
    <w:rsid w:val="00E60914"/>
    <w:rsid w:val="00E61B92"/>
    <w:rsid w:val="00E62728"/>
    <w:rsid w:val="00E63555"/>
    <w:rsid w:val="00E64DFD"/>
    <w:rsid w:val="00E64FB0"/>
    <w:rsid w:val="00E70059"/>
    <w:rsid w:val="00E7159A"/>
    <w:rsid w:val="00E721F1"/>
    <w:rsid w:val="00E723A7"/>
    <w:rsid w:val="00E72830"/>
    <w:rsid w:val="00E803C3"/>
    <w:rsid w:val="00E8127F"/>
    <w:rsid w:val="00E8206D"/>
    <w:rsid w:val="00E83973"/>
    <w:rsid w:val="00E855F2"/>
    <w:rsid w:val="00E85A61"/>
    <w:rsid w:val="00E85D8D"/>
    <w:rsid w:val="00E869D0"/>
    <w:rsid w:val="00E8726A"/>
    <w:rsid w:val="00E8793B"/>
    <w:rsid w:val="00E90DE6"/>
    <w:rsid w:val="00E9410B"/>
    <w:rsid w:val="00E94260"/>
    <w:rsid w:val="00E947AE"/>
    <w:rsid w:val="00E94F8B"/>
    <w:rsid w:val="00E95BD0"/>
    <w:rsid w:val="00E97D9B"/>
    <w:rsid w:val="00EA11C7"/>
    <w:rsid w:val="00EA16D7"/>
    <w:rsid w:val="00EA32F7"/>
    <w:rsid w:val="00EA34AB"/>
    <w:rsid w:val="00EA4160"/>
    <w:rsid w:val="00EA4EB6"/>
    <w:rsid w:val="00EA4F7E"/>
    <w:rsid w:val="00EA5BC0"/>
    <w:rsid w:val="00EA73B3"/>
    <w:rsid w:val="00EB108F"/>
    <w:rsid w:val="00EB20E1"/>
    <w:rsid w:val="00EB27B3"/>
    <w:rsid w:val="00EB30D9"/>
    <w:rsid w:val="00EB359B"/>
    <w:rsid w:val="00EB4531"/>
    <w:rsid w:val="00EB5D9F"/>
    <w:rsid w:val="00EB6105"/>
    <w:rsid w:val="00EB6E43"/>
    <w:rsid w:val="00EC0A1A"/>
    <w:rsid w:val="00EC172D"/>
    <w:rsid w:val="00EC19F8"/>
    <w:rsid w:val="00EC1E58"/>
    <w:rsid w:val="00EC3409"/>
    <w:rsid w:val="00EC6060"/>
    <w:rsid w:val="00ED13BC"/>
    <w:rsid w:val="00ED1FF7"/>
    <w:rsid w:val="00ED750D"/>
    <w:rsid w:val="00EE0531"/>
    <w:rsid w:val="00EE0766"/>
    <w:rsid w:val="00EE5CA6"/>
    <w:rsid w:val="00EF05AE"/>
    <w:rsid w:val="00EF12EF"/>
    <w:rsid w:val="00EF1A65"/>
    <w:rsid w:val="00EF2E58"/>
    <w:rsid w:val="00EF43BC"/>
    <w:rsid w:val="00EF6196"/>
    <w:rsid w:val="00EF6936"/>
    <w:rsid w:val="00EF6E13"/>
    <w:rsid w:val="00EF71F6"/>
    <w:rsid w:val="00F00A70"/>
    <w:rsid w:val="00F02A20"/>
    <w:rsid w:val="00F02FE8"/>
    <w:rsid w:val="00F05799"/>
    <w:rsid w:val="00F058D5"/>
    <w:rsid w:val="00F105EF"/>
    <w:rsid w:val="00F11916"/>
    <w:rsid w:val="00F11CE0"/>
    <w:rsid w:val="00F13DE1"/>
    <w:rsid w:val="00F15536"/>
    <w:rsid w:val="00F155EA"/>
    <w:rsid w:val="00F15F22"/>
    <w:rsid w:val="00F168C9"/>
    <w:rsid w:val="00F211B5"/>
    <w:rsid w:val="00F2173D"/>
    <w:rsid w:val="00F2201B"/>
    <w:rsid w:val="00F229F8"/>
    <w:rsid w:val="00F2368C"/>
    <w:rsid w:val="00F246D0"/>
    <w:rsid w:val="00F25045"/>
    <w:rsid w:val="00F25702"/>
    <w:rsid w:val="00F273C3"/>
    <w:rsid w:val="00F30AE7"/>
    <w:rsid w:val="00F319D9"/>
    <w:rsid w:val="00F32974"/>
    <w:rsid w:val="00F40385"/>
    <w:rsid w:val="00F405B7"/>
    <w:rsid w:val="00F409CE"/>
    <w:rsid w:val="00F40E8D"/>
    <w:rsid w:val="00F4115F"/>
    <w:rsid w:val="00F41C62"/>
    <w:rsid w:val="00F424DA"/>
    <w:rsid w:val="00F43244"/>
    <w:rsid w:val="00F43782"/>
    <w:rsid w:val="00F53072"/>
    <w:rsid w:val="00F538D2"/>
    <w:rsid w:val="00F62969"/>
    <w:rsid w:val="00F64EF1"/>
    <w:rsid w:val="00F67D18"/>
    <w:rsid w:val="00F71180"/>
    <w:rsid w:val="00F712EE"/>
    <w:rsid w:val="00F71746"/>
    <w:rsid w:val="00F720CF"/>
    <w:rsid w:val="00F756B1"/>
    <w:rsid w:val="00F80042"/>
    <w:rsid w:val="00F81621"/>
    <w:rsid w:val="00F81BAB"/>
    <w:rsid w:val="00F82A6A"/>
    <w:rsid w:val="00F83A4E"/>
    <w:rsid w:val="00F8449D"/>
    <w:rsid w:val="00F85069"/>
    <w:rsid w:val="00F855CF"/>
    <w:rsid w:val="00F85DC1"/>
    <w:rsid w:val="00F86947"/>
    <w:rsid w:val="00F879E0"/>
    <w:rsid w:val="00F90A79"/>
    <w:rsid w:val="00F90D16"/>
    <w:rsid w:val="00F91154"/>
    <w:rsid w:val="00F93C42"/>
    <w:rsid w:val="00F94840"/>
    <w:rsid w:val="00FA04B3"/>
    <w:rsid w:val="00FA0C51"/>
    <w:rsid w:val="00FA1F4E"/>
    <w:rsid w:val="00FA3945"/>
    <w:rsid w:val="00FA46CF"/>
    <w:rsid w:val="00FA4D98"/>
    <w:rsid w:val="00FB0490"/>
    <w:rsid w:val="00FB05B3"/>
    <w:rsid w:val="00FB06B8"/>
    <w:rsid w:val="00FB1352"/>
    <w:rsid w:val="00FB1AD0"/>
    <w:rsid w:val="00FB2BD8"/>
    <w:rsid w:val="00FB3E58"/>
    <w:rsid w:val="00FB441C"/>
    <w:rsid w:val="00FB50A3"/>
    <w:rsid w:val="00FB7515"/>
    <w:rsid w:val="00FC0F5B"/>
    <w:rsid w:val="00FC3556"/>
    <w:rsid w:val="00FC3D1A"/>
    <w:rsid w:val="00FC51AF"/>
    <w:rsid w:val="00FC5DC5"/>
    <w:rsid w:val="00FD03FE"/>
    <w:rsid w:val="00FD0F2F"/>
    <w:rsid w:val="00FD102F"/>
    <w:rsid w:val="00FD32B4"/>
    <w:rsid w:val="00FD5138"/>
    <w:rsid w:val="00FE6B0C"/>
    <w:rsid w:val="00FE7D22"/>
    <w:rsid w:val="00FF0A03"/>
    <w:rsid w:val="00FF1A29"/>
    <w:rsid w:val="00FF337E"/>
    <w:rsid w:val="00FF37F2"/>
    <w:rsid w:val="00FF3E5D"/>
    <w:rsid w:val="00FF5065"/>
    <w:rsid w:val="00FF5655"/>
    <w:rsid w:val="00FF62FB"/>
    <w:rsid w:val="00FF700C"/>
    <w:rsid w:val="00FF7FB7"/>
    <w:rsid w:val="011F020B"/>
    <w:rsid w:val="012A6BEA"/>
    <w:rsid w:val="014F51EF"/>
    <w:rsid w:val="01CE2D09"/>
    <w:rsid w:val="026B5763"/>
    <w:rsid w:val="027A5438"/>
    <w:rsid w:val="036F7E92"/>
    <w:rsid w:val="03CA3C57"/>
    <w:rsid w:val="04327D87"/>
    <w:rsid w:val="04923B7E"/>
    <w:rsid w:val="0503702E"/>
    <w:rsid w:val="055B6B69"/>
    <w:rsid w:val="0B9B2CCF"/>
    <w:rsid w:val="0CE46757"/>
    <w:rsid w:val="0D0D3080"/>
    <w:rsid w:val="0ED7253A"/>
    <w:rsid w:val="10F56FBA"/>
    <w:rsid w:val="12EC4E8F"/>
    <w:rsid w:val="13950711"/>
    <w:rsid w:val="1415326A"/>
    <w:rsid w:val="14215AE7"/>
    <w:rsid w:val="14DA5863"/>
    <w:rsid w:val="15454849"/>
    <w:rsid w:val="1594563A"/>
    <w:rsid w:val="16127ADA"/>
    <w:rsid w:val="17AC1DBE"/>
    <w:rsid w:val="18EA6AF4"/>
    <w:rsid w:val="1A815102"/>
    <w:rsid w:val="1B8A42FA"/>
    <w:rsid w:val="1C116FED"/>
    <w:rsid w:val="1C293A62"/>
    <w:rsid w:val="1C8D2A16"/>
    <w:rsid w:val="1D1858B3"/>
    <w:rsid w:val="1D963D0E"/>
    <w:rsid w:val="1E903942"/>
    <w:rsid w:val="208D3823"/>
    <w:rsid w:val="212D37EB"/>
    <w:rsid w:val="225B0FA8"/>
    <w:rsid w:val="23D23064"/>
    <w:rsid w:val="245504A8"/>
    <w:rsid w:val="24B16061"/>
    <w:rsid w:val="255B24C2"/>
    <w:rsid w:val="27A92854"/>
    <w:rsid w:val="28032AFF"/>
    <w:rsid w:val="29311BCA"/>
    <w:rsid w:val="2AD47462"/>
    <w:rsid w:val="2C074EF4"/>
    <w:rsid w:val="2C79018E"/>
    <w:rsid w:val="2D2B6368"/>
    <w:rsid w:val="2E190AF0"/>
    <w:rsid w:val="2E7C06A7"/>
    <w:rsid w:val="30957BE0"/>
    <w:rsid w:val="31751964"/>
    <w:rsid w:val="324C288A"/>
    <w:rsid w:val="32506AE1"/>
    <w:rsid w:val="32832516"/>
    <w:rsid w:val="346F3F03"/>
    <w:rsid w:val="348722A3"/>
    <w:rsid w:val="34B12C21"/>
    <w:rsid w:val="35C107F4"/>
    <w:rsid w:val="36A8589A"/>
    <w:rsid w:val="394B7E8B"/>
    <w:rsid w:val="39C64A56"/>
    <w:rsid w:val="3B271538"/>
    <w:rsid w:val="3B32620B"/>
    <w:rsid w:val="3C6F7277"/>
    <w:rsid w:val="3EAB7F2F"/>
    <w:rsid w:val="40E86D03"/>
    <w:rsid w:val="40ED1E44"/>
    <w:rsid w:val="40ED489A"/>
    <w:rsid w:val="421A3F70"/>
    <w:rsid w:val="436F5E18"/>
    <w:rsid w:val="4432280E"/>
    <w:rsid w:val="446102E5"/>
    <w:rsid w:val="447C70DE"/>
    <w:rsid w:val="44855C06"/>
    <w:rsid w:val="45220DCF"/>
    <w:rsid w:val="4523690D"/>
    <w:rsid w:val="45D01704"/>
    <w:rsid w:val="46062CE1"/>
    <w:rsid w:val="46AA13F6"/>
    <w:rsid w:val="46F34796"/>
    <w:rsid w:val="48327516"/>
    <w:rsid w:val="49122120"/>
    <w:rsid w:val="496208BB"/>
    <w:rsid w:val="49845679"/>
    <w:rsid w:val="49D6652A"/>
    <w:rsid w:val="4A4E4093"/>
    <w:rsid w:val="4A7C6E6B"/>
    <w:rsid w:val="4B2D0A5E"/>
    <w:rsid w:val="4B5304A2"/>
    <w:rsid w:val="4C89273B"/>
    <w:rsid w:val="4CC84DA5"/>
    <w:rsid w:val="4CE8797A"/>
    <w:rsid w:val="4E3F47CB"/>
    <w:rsid w:val="4EA74A0E"/>
    <w:rsid w:val="4F584FB9"/>
    <w:rsid w:val="50947604"/>
    <w:rsid w:val="5234368E"/>
    <w:rsid w:val="52A97AC1"/>
    <w:rsid w:val="52E84793"/>
    <w:rsid w:val="52FC2953"/>
    <w:rsid w:val="54171011"/>
    <w:rsid w:val="56B24865"/>
    <w:rsid w:val="56EB475A"/>
    <w:rsid w:val="57442B25"/>
    <w:rsid w:val="57833CDD"/>
    <w:rsid w:val="57CF305A"/>
    <w:rsid w:val="58067279"/>
    <w:rsid w:val="5AB74188"/>
    <w:rsid w:val="5C88539F"/>
    <w:rsid w:val="5D8B2AF2"/>
    <w:rsid w:val="5D9C3048"/>
    <w:rsid w:val="5DB81BA5"/>
    <w:rsid w:val="5DEA5237"/>
    <w:rsid w:val="5E262674"/>
    <w:rsid w:val="5E8E79E3"/>
    <w:rsid w:val="5E94094F"/>
    <w:rsid w:val="5FDB699C"/>
    <w:rsid w:val="6034547B"/>
    <w:rsid w:val="605F0298"/>
    <w:rsid w:val="62825EE1"/>
    <w:rsid w:val="62A162FA"/>
    <w:rsid w:val="652975FE"/>
    <w:rsid w:val="65611C2F"/>
    <w:rsid w:val="65F82FEB"/>
    <w:rsid w:val="66A06EEF"/>
    <w:rsid w:val="67163E8B"/>
    <w:rsid w:val="67522B8D"/>
    <w:rsid w:val="689F00FA"/>
    <w:rsid w:val="697F5D78"/>
    <w:rsid w:val="698A0639"/>
    <w:rsid w:val="69BD5D5C"/>
    <w:rsid w:val="69EB6A97"/>
    <w:rsid w:val="6A9A123C"/>
    <w:rsid w:val="6D975465"/>
    <w:rsid w:val="6DAE01BC"/>
    <w:rsid w:val="6E095448"/>
    <w:rsid w:val="6E4862E0"/>
    <w:rsid w:val="6F45285D"/>
    <w:rsid w:val="6F7932BA"/>
    <w:rsid w:val="6FF21646"/>
    <w:rsid w:val="7126419B"/>
    <w:rsid w:val="73181650"/>
    <w:rsid w:val="731A4583"/>
    <w:rsid w:val="73BF7268"/>
    <w:rsid w:val="73F32009"/>
    <w:rsid w:val="746C0B1B"/>
    <w:rsid w:val="755128A5"/>
    <w:rsid w:val="763C323C"/>
    <w:rsid w:val="76C34CCA"/>
    <w:rsid w:val="783D31E6"/>
    <w:rsid w:val="78592DF6"/>
    <w:rsid w:val="78F3230C"/>
    <w:rsid w:val="7A2A5665"/>
    <w:rsid w:val="7A8F175F"/>
    <w:rsid w:val="7A9D0071"/>
    <w:rsid w:val="7B1A28A8"/>
    <w:rsid w:val="7C5035C8"/>
    <w:rsid w:val="7C751855"/>
    <w:rsid w:val="7D5E4941"/>
    <w:rsid w:val="7D954BE9"/>
    <w:rsid w:val="7DC64329"/>
    <w:rsid w:val="7E2901B1"/>
    <w:rsid w:val="7E2969E2"/>
    <w:rsid w:val="7E382838"/>
    <w:rsid w:val="7F053DDD"/>
    <w:rsid w:val="7F5E32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B3EC7"/>
  <w15:docId w15:val="{1879930F-41E0-4E43-A80F-E754B24D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0">
    <w:name w:val="heading 2"/>
    <w:basedOn w:val="a"/>
    <w:next w:val="a"/>
    <w:link w:val="21"/>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link w:val="22"/>
    <w:qFormat/>
    <w:pPr>
      <w:spacing w:after="0" w:line="560" w:lineRule="exact"/>
      <w:ind w:leftChars="0" w:left="0" w:firstLineChars="200" w:firstLine="420"/>
    </w:pPr>
    <w:rPr>
      <w:rFonts w:ascii="Times New Roman" w:eastAsia="宋体" w:hAnsi="Times New Roman"/>
      <w:sz w:val="32"/>
    </w:rPr>
  </w:style>
  <w:style w:type="paragraph" w:styleId="a3">
    <w:name w:val="Body Text Indent"/>
    <w:basedOn w:val="a"/>
    <w:next w:val="a5"/>
    <w:link w:val="a6"/>
    <w:uiPriority w:val="99"/>
    <w:semiHidden/>
    <w:unhideWhenUsed/>
    <w:qFormat/>
    <w:pPr>
      <w:spacing w:after="120"/>
      <w:ind w:leftChars="200" w:left="420"/>
    </w:pPr>
  </w:style>
  <w:style w:type="paragraph" w:styleId="a5">
    <w:name w:val="Body Text"/>
    <w:basedOn w:val="a"/>
    <w:next w:val="a4"/>
    <w:link w:val="a7"/>
    <w:uiPriority w:val="99"/>
    <w:semiHidden/>
    <w:unhideWhenUsed/>
    <w:qFormat/>
    <w:pPr>
      <w:spacing w:after="120"/>
    </w:pPr>
  </w:style>
  <w:style w:type="paragraph" w:styleId="a4">
    <w:name w:val="Body Text First Indent"/>
    <w:basedOn w:val="a5"/>
    <w:link w:val="a8"/>
    <w:qFormat/>
    <w:pPr>
      <w:spacing w:after="0" w:line="560" w:lineRule="exact"/>
      <w:ind w:firstLineChars="200" w:firstLine="200"/>
    </w:pPr>
    <w:rPr>
      <w:rFonts w:ascii="Calibri" w:eastAsia="宋体" w:hAnsi="Calibri" w:cs="Times New Roman"/>
      <w:sz w:val="28"/>
    </w:rPr>
  </w:style>
  <w:style w:type="paragraph" w:styleId="a9">
    <w:name w:val="Document Map"/>
    <w:basedOn w:val="a"/>
    <w:link w:val="aa"/>
    <w:uiPriority w:val="99"/>
    <w:semiHidden/>
    <w:unhideWhenUsed/>
    <w:qFormat/>
    <w:rPr>
      <w:rFonts w:ascii="宋体" w:eastAsia="宋体"/>
      <w:sz w:val="18"/>
      <w:szCs w:val="18"/>
    </w:rPr>
  </w:style>
  <w:style w:type="paragraph" w:styleId="ab">
    <w:name w:val="annotation text"/>
    <w:basedOn w:val="a"/>
    <w:qFormat/>
    <w:pPr>
      <w:jc w:val="left"/>
    </w:pPr>
  </w:style>
  <w:style w:type="paragraph" w:styleId="TOC3">
    <w:name w:val="toc 3"/>
    <w:basedOn w:val="a"/>
    <w:next w:val="a"/>
    <w:uiPriority w:val="39"/>
    <w:unhideWhenUsed/>
    <w:qFormat/>
    <w:pPr>
      <w:ind w:leftChars="400" w:left="840"/>
    </w:p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jc w:val="left"/>
    </w:pPr>
    <w:rPr>
      <w:sz w:val="18"/>
      <w:szCs w:val="18"/>
    </w:rPr>
  </w:style>
  <w:style w:type="paragraph" w:styleId="af0">
    <w:name w:val="header"/>
    <w:basedOn w:val="a"/>
    <w:link w:val="af1"/>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296"/>
      </w:tabs>
      <w:spacing w:line="360" w:lineRule="auto"/>
      <w:ind w:firstLineChars="200" w:firstLine="420"/>
    </w:pPr>
    <w:rPr>
      <w:rFonts w:ascii="Times New Roman" w:eastAsia="宋体" w:hAnsi="Times New Roman"/>
      <w:b/>
      <w:bCs/>
      <w:sz w:val="24"/>
      <w:szCs w:val="24"/>
    </w:rPr>
  </w:style>
  <w:style w:type="paragraph" w:styleId="TOC2">
    <w:name w:val="toc 2"/>
    <w:basedOn w:val="a"/>
    <w:next w:val="a"/>
    <w:uiPriority w:val="39"/>
    <w:qFormat/>
    <w:pPr>
      <w:tabs>
        <w:tab w:val="left" w:pos="1470"/>
        <w:tab w:val="right" w:leader="dot" w:pos="8296"/>
      </w:tabs>
      <w:wordWrap w:val="0"/>
      <w:spacing w:line="360" w:lineRule="auto"/>
      <w:ind w:leftChars="200" w:left="560" w:firstLineChars="200" w:firstLine="560"/>
    </w:pPr>
    <w:rPr>
      <w:rFonts w:ascii="Times New Roman" w:eastAsia="宋体" w:hAnsi="Times New Roman"/>
      <w:sz w:val="28"/>
    </w:rPr>
  </w:style>
  <w:style w:type="paragraph" w:styleId="af2">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3">
    <w:name w:val="Title"/>
    <w:basedOn w:val="a"/>
    <w:next w:val="a"/>
    <w:link w:val="af4"/>
    <w:qFormat/>
    <w:pPr>
      <w:spacing w:line="700" w:lineRule="exact"/>
      <w:jc w:val="center"/>
    </w:pPr>
    <w:rPr>
      <w:rFonts w:ascii="黑体" w:eastAsia="黑体" w:hAnsi="黑体" w:cs="方正小标宋_GBK"/>
      <w:b/>
      <w:bCs/>
      <w:sz w:val="32"/>
      <w:szCs w:val="32"/>
    </w:rPr>
  </w:style>
  <w:style w:type="table" w:styleId="af5">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6">
    <w:name w:val="FollowedHyperlink"/>
    <w:basedOn w:val="a0"/>
    <w:uiPriority w:val="99"/>
    <w:semiHidden/>
    <w:unhideWhenUsed/>
    <w:qFormat/>
    <w:rPr>
      <w:color w:val="800080" w:themeColor="followedHyperlink"/>
      <w:u w:val="single"/>
    </w:rPr>
  </w:style>
  <w:style w:type="character" w:styleId="af7">
    <w:name w:val="Emphasis"/>
    <w:basedOn w:val="a0"/>
    <w:uiPriority w:val="20"/>
    <w:qFormat/>
    <w:rPr>
      <w:color w:val="F73131"/>
    </w:rPr>
  </w:style>
  <w:style w:type="character" w:styleId="af8">
    <w:name w:val="Hyperlink"/>
    <w:basedOn w:val="a0"/>
    <w:uiPriority w:val="99"/>
    <w:qFormat/>
    <w:rPr>
      <w:color w:val="333333"/>
      <w:u w:val="none"/>
    </w:rPr>
  </w:style>
  <w:style w:type="paragraph" w:customStyle="1" w:styleId="Style3">
    <w:name w:val="_Style 3"/>
    <w:next w:val="a"/>
    <w:qFormat/>
    <w:pPr>
      <w:wordWrap w:val="0"/>
    </w:pPr>
    <w:rPr>
      <w:sz w:val="32"/>
      <w:szCs w:val="22"/>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10">
    <w:name w:val="标题 1 字符"/>
    <w:basedOn w:val="a0"/>
    <w:link w:val="1"/>
    <w:uiPriority w:val="9"/>
    <w:qFormat/>
    <w:rPr>
      <w:b/>
      <w:bCs/>
      <w:kern w:val="44"/>
      <w:sz w:val="44"/>
      <w:szCs w:val="44"/>
    </w:rPr>
  </w:style>
  <w:style w:type="character" w:customStyle="1" w:styleId="ad">
    <w:name w:val="批注框文本 字符"/>
    <w:basedOn w:val="a0"/>
    <w:link w:val="ac"/>
    <w:uiPriority w:val="99"/>
    <w:semiHidden/>
    <w:qFormat/>
    <w:rPr>
      <w:sz w:val="18"/>
      <w:szCs w:val="18"/>
    </w:rPr>
  </w:style>
  <w:style w:type="character" w:customStyle="1" w:styleId="21">
    <w:name w:val="标题 2 字符"/>
    <w:basedOn w:val="a0"/>
    <w:link w:val="20"/>
    <w:uiPriority w:val="9"/>
    <w:qFormat/>
    <w:rPr>
      <w:rFonts w:asciiTheme="majorHAnsi" w:eastAsiaTheme="majorEastAsia" w:hAnsiTheme="majorHAnsi" w:cstheme="majorBidi"/>
      <w:b/>
      <w:bCs/>
      <w:sz w:val="32"/>
      <w:szCs w:val="32"/>
    </w:rPr>
  </w:style>
  <w:style w:type="character" w:customStyle="1" w:styleId="aa">
    <w:name w:val="文档结构图 字符"/>
    <w:basedOn w:val="a0"/>
    <w:link w:val="a9"/>
    <w:uiPriority w:val="99"/>
    <w:semiHidden/>
    <w:qFormat/>
    <w:rPr>
      <w:rFonts w:ascii="宋体" w:eastAsia="宋体"/>
      <w:sz w:val="18"/>
      <w:szCs w:val="18"/>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Arial787821">
    <w:name w:val="样式 Arial 小四 段前: 7.8 磅 段后: 7.8 磅 行距: 固定值 21 磅"/>
    <w:basedOn w:val="a"/>
    <w:link w:val="Arial787821Char"/>
    <w:qFormat/>
    <w:pPr>
      <w:spacing w:before="60" w:after="156" w:line="420" w:lineRule="exact"/>
      <w:ind w:firstLineChars="200" w:firstLine="200"/>
    </w:pPr>
    <w:rPr>
      <w:rFonts w:ascii="Arial" w:eastAsia="宋体" w:hAnsi="Arial" w:cs="宋体"/>
      <w:sz w:val="24"/>
      <w:szCs w:val="20"/>
    </w:rPr>
  </w:style>
  <w:style w:type="character" w:customStyle="1" w:styleId="Arial787821Char">
    <w:name w:val="样式 Arial 小四 段前: 7.8 磅 段后: 7.8 磅 行距: 固定值 21 磅 Char"/>
    <w:link w:val="Arial787821"/>
    <w:qFormat/>
    <w:rPr>
      <w:rFonts w:ascii="Arial" w:eastAsia="宋体" w:hAnsi="Arial" w:cs="宋体"/>
      <w:sz w:val="24"/>
      <w:szCs w:val="20"/>
    </w:rPr>
  </w:style>
  <w:style w:type="table" w:customStyle="1" w:styleId="11">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眉 字符"/>
    <w:basedOn w:val="a0"/>
    <w:link w:val="af0"/>
    <w:uiPriority w:val="99"/>
    <w:semiHidden/>
    <w:qFormat/>
    <w:rPr>
      <w:sz w:val="18"/>
      <w:szCs w:val="18"/>
    </w:rPr>
  </w:style>
  <w:style w:type="character" w:customStyle="1" w:styleId="af">
    <w:name w:val="页脚 字符"/>
    <w:basedOn w:val="a0"/>
    <w:link w:val="ae"/>
    <w:uiPriority w:val="99"/>
    <w:qFormat/>
    <w:rPr>
      <w:sz w:val="18"/>
      <w:szCs w:val="18"/>
    </w:rPr>
  </w:style>
  <w:style w:type="paragraph" w:customStyle="1" w:styleId="TOC20">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f9">
    <w:name w:val="List Paragraph"/>
    <w:basedOn w:val="a"/>
    <w:uiPriority w:val="34"/>
    <w:qFormat/>
    <w:pPr>
      <w:ind w:firstLineChars="200" w:firstLine="420"/>
    </w:pPr>
  </w:style>
  <w:style w:type="character" w:customStyle="1" w:styleId="af4">
    <w:name w:val="标题 字符"/>
    <w:basedOn w:val="a0"/>
    <w:link w:val="af3"/>
    <w:qFormat/>
    <w:rPr>
      <w:rFonts w:ascii="黑体" w:eastAsia="黑体" w:hAnsi="黑体" w:cs="方正小标宋_GBK"/>
      <w:b/>
      <w:bCs/>
      <w:sz w:val="32"/>
      <w:szCs w:val="32"/>
    </w:rPr>
  </w:style>
  <w:style w:type="character" w:customStyle="1" w:styleId="a7">
    <w:name w:val="正文文本 字符"/>
    <w:basedOn w:val="a0"/>
    <w:link w:val="a5"/>
    <w:uiPriority w:val="99"/>
    <w:semiHidden/>
    <w:qFormat/>
  </w:style>
  <w:style w:type="character" w:customStyle="1" w:styleId="a8">
    <w:name w:val="正文文本首行缩进 字符"/>
    <w:basedOn w:val="a7"/>
    <w:link w:val="a4"/>
    <w:qFormat/>
    <w:rPr>
      <w:rFonts w:ascii="Calibri" w:eastAsia="宋体" w:hAnsi="Calibri" w:cs="Times New Roman"/>
      <w:sz w:val="28"/>
    </w:rPr>
  </w:style>
  <w:style w:type="character" w:customStyle="1" w:styleId="a6">
    <w:name w:val="正文文本缩进 字符"/>
    <w:basedOn w:val="a0"/>
    <w:link w:val="a3"/>
    <w:uiPriority w:val="99"/>
    <w:semiHidden/>
    <w:qFormat/>
  </w:style>
  <w:style w:type="character" w:customStyle="1" w:styleId="22">
    <w:name w:val="正文文本首行缩进 2 字符"/>
    <w:basedOn w:val="a6"/>
    <w:link w:val="2"/>
    <w:qFormat/>
    <w:rPr>
      <w:rFonts w:ascii="Times New Roman" w:eastAsia="宋体" w:hAnsi="Times New Roman"/>
      <w:sz w:val="32"/>
    </w:rPr>
  </w:style>
  <w:style w:type="character" w:customStyle="1" w:styleId="font31">
    <w:name w:val="font31"/>
    <w:qFormat/>
    <w:rPr>
      <w:rFonts w:ascii="Times New Roman" w:hAnsi="Times New Roman" w:cs="Times New Roman" w:hint="default"/>
      <w:color w:val="000000"/>
      <w:sz w:val="24"/>
      <w:szCs w:val="24"/>
      <w:u w:val="none"/>
    </w:rPr>
  </w:style>
  <w:style w:type="character" w:customStyle="1" w:styleId="font01">
    <w:name w:val="font01"/>
    <w:qFormat/>
    <w:rPr>
      <w:rFonts w:ascii="黑体" w:eastAsia="黑体" w:hAnsi="宋体" w:cs="黑体"/>
      <w:color w:val="000000"/>
      <w:sz w:val="24"/>
      <w:szCs w:val="24"/>
      <w:u w:val="none"/>
    </w:rPr>
  </w:style>
  <w:style w:type="character" w:customStyle="1" w:styleId="font41">
    <w:name w:val="font41"/>
    <w:qFormat/>
    <w:rPr>
      <w:rFonts w:ascii="宋体" w:eastAsia="宋体" w:hAnsi="宋体" w:cs="宋体" w:hint="eastAsia"/>
      <w:color w:val="000000"/>
      <w:sz w:val="18"/>
      <w:szCs w:val="18"/>
      <w:u w:val="none"/>
    </w:rPr>
  </w:style>
  <w:style w:type="character" w:customStyle="1" w:styleId="font51">
    <w:name w:val="font51"/>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97A88443-7CE7-4B73-9548-E80A0CB6DF5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7230</Words>
  <Characters>41212</Characters>
  <Application>Microsoft Office Word</Application>
  <DocSecurity>0</DocSecurity>
  <Lines>343</Lines>
  <Paragraphs>96</Paragraphs>
  <ScaleCrop>false</ScaleCrop>
  <Company>Microsoft</Company>
  <LinksUpToDate>false</LinksUpToDate>
  <CharactersWithSpaces>48346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FLJ</dc:creator>
  <cp:lastModifiedBy>Don Wong</cp:lastModifiedBy>
  <cp:revision>151</cp:revision>
  <cp:lastPrinted>2022-01-26T12:38:00Z</cp:lastPrinted>
  <dcterms:created xsi:type="dcterms:W3CDTF">2020-12-17T16:21:00Z</dcterms:created>
  <dcterms:modified xsi:type="dcterms:W3CDTF">2025-02-07T12:55:00Z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001D55C7B2EB45489454FDCA46DDB256</vt:lpwstr>
  </property>
</Properties>
</file>