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spacing w:line="540" w:lineRule="exact"/>
        <w:jc w:val="center"/>
        <w:rPr>
          <w:rFonts w:ascii="方正小标宋_GBK" w:hAnsi="华文中宋" w:eastAsia="方正小标宋_GBK" w:cs="宋体"/>
          <w:b/>
          <w:color w:val="000000" w:themeColor="text1"/>
          <w:kern w:val="0"/>
          <w:sz w:val="48"/>
          <w:szCs w:val="48"/>
        </w:rPr>
      </w:pP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rPr>
        <w:t>和田市医疗保障局整体支出</w:t>
      </w: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rPr>
        <w:t>绩效自评报告</w:t>
      </w:r>
    </w:p>
    <w:p>
      <w:pPr>
        <w:spacing w:line="540" w:lineRule="exact"/>
        <w:jc w:val="center"/>
        <w:rPr>
          <w:rFonts w:ascii="Times New Roman" w:hAnsi="宋体" w:eastAsia="仿宋_GB2312" w:cs="宋体"/>
          <w:color w:val="000000" w:themeColor="text1"/>
          <w:kern w:val="0"/>
          <w:sz w:val="36"/>
          <w:szCs w:val="36"/>
        </w:rPr>
      </w:pPr>
    </w:p>
    <w:p>
      <w:pPr>
        <w:jc w:val="center"/>
        <w:rPr>
          <w:rFonts w:ascii="仿宋_GB2312" w:hAnsi="宋体" w:eastAsia="仿宋_GB2312" w:cs="宋体"/>
          <w:color w:val="000000" w:themeColor="text1"/>
          <w:kern w:val="0"/>
          <w:sz w:val="36"/>
          <w:szCs w:val="36"/>
        </w:rPr>
      </w:pPr>
      <w:r>
        <w:rPr>
          <w:rFonts w:hint="eastAsia" w:ascii="仿宋_GB2312" w:hAnsi="宋体" w:eastAsia="仿宋_GB2312" w:cs="宋体"/>
          <w:color w:val="000000" w:themeColor="text1"/>
          <w:kern w:val="0"/>
          <w:sz w:val="36"/>
          <w:szCs w:val="36"/>
        </w:rPr>
        <w:t>（2020年度）</w:t>
      </w:r>
    </w:p>
    <w:p/>
    <w:p/>
    <w:p/>
    <w:p/>
    <w:p/>
    <w:p/>
    <w:p/>
    <w:p/>
    <w:p/>
    <w:p/>
    <w:p/>
    <w:p/>
    <w:p/>
    <w:p/>
    <w:p/>
    <w:p/>
    <w:p/>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单位名称（公章）：和田市医疗保障局</w:t>
      </w:r>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填报时间： 2021 年  02 月  10 日</w:t>
      </w:r>
    </w:p>
    <w:p>
      <w:pPr>
        <w:rPr>
          <w:rFonts w:ascii="Times New Roman" w:hAnsi="宋体" w:eastAsia="仿宋_GB2312" w:cs="宋体"/>
          <w:color w:val="000000" w:themeColor="text1"/>
          <w:kern w:val="0"/>
          <w:sz w:val="36"/>
          <w:szCs w:val="36"/>
        </w:rPr>
      </w:pPr>
    </w:p>
    <w:p>
      <w:pPr>
        <w:rPr>
          <w:rFonts w:ascii="方正小标宋简体" w:hAnsi="宋体" w:eastAsia="方正小标宋简体" w:cs="宋体"/>
          <w:color w:val="000000" w:themeColor="text1"/>
          <w:kern w:val="0"/>
          <w:sz w:val="36"/>
          <w:szCs w:val="36"/>
        </w:rPr>
      </w:pPr>
    </w:p>
    <w:p>
      <w:pPr>
        <w:pStyle w:val="2"/>
      </w:pPr>
    </w:p>
    <w:p/>
    <w:p/>
    <w:p>
      <w:pPr>
        <w:pStyle w:val="13"/>
        <w:spacing w:line="560" w:lineRule="exact"/>
        <w:ind w:firstLine="624"/>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一、基本概况</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（一）单位基本情况</w:t>
      </w:r>
    </w:p>
    <w:p>
      <w:pPr>
        <w:widowControl/>
        <w:spacing w:line="560" w:lineRule="exact"/>
        <w:ind w:firstLine="640"/>
        <w:jc w:val="left"/>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1．单位主要职能</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贯彻实施国家、自治区、地区医疗保险、生育保险、医疗救助等医疗保障制度，执行医疗保障制度的地方性法规、规划、政策和标准；组织实施人身意外伤害保险、大额医疗补助、公务员医疗补助、企事业单位补充医疗保险、离休人员和优抚对象医疗保障等政策和管理办法。组织实施医疗保险、生育保险等政策。</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（2）实施医疗保障基金监督管理办法，承担推进医疗保障基金支付方式改革工作。</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（3）贯彻落实医疗保障筹资和待遇政策，统筹城乡医疗保障待遇标准。</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（4）贯彻落实城乡统一的药品、医用耗材、医疗服务项目、医疗服务设施等医保目录和支付标准，并建立动态调整机制。</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贯彻执行药品、医用耗材价格和医疗服务项目、医疗服务设施收费等政策；建立医保支付医药服务价格合理确定和动态机制；建立价格信息监测和信息发布制度；贯彻执行药品、医用耗材的招标采购政策并监督实施。</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（6）组织实施定点医疗机构协议和支付管理办法，建立健全医疗保障信用评价体系和信息披露制度，监督管理纳入医保范围内的医疗服务行为和医疗费用，依法查处医疗保障领域违法违规行为。</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（7）负责医疗保障经办管理、公共服务体系和信息化建设；执行异地就医管理和费用结算政策；建立健全医疗保障关系转移接续制度。监督指导医疗保障经办机构开展业务工作。</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（8）完成市委、市政府交办的其他任务。</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职能转变。完善统一的城乡居民基本医疗保险制度和大病保险制度，建立健全覆盖全民、城乡统筹的多层次医疗保障，不断提高医疗保障水平，确保医保资金合理使用、安全可控，推进医疗、医保、医药“三医联动”改革，更好保障人民群众就医需求、减轻医药费用负担。</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10）与和田市卫生健康委员会的有关职责分工。和田市卫生健康委员会、和田市医疗保障局等部门在医疗、医保、医药等方面加强制度、政策衔接，建立沟通协商机制，协同推进改革，提高医疗资源使用效率和医疗保障水平。</w:t>
      </w:r>
    </w:p>
    <w:p>
      <w:pPr>
        <w:pStyle w:val="13"/>
        <w:ind w:firstLine="64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2．单位机构设置及人员构成</w:t>
      </w:r>
    </w:p>
    <w:p>
      <w:pPr>
        <w:pStyle w:val="13"/>
        <w:ind w:firstLine="640"/>
        <w:rPr>
          <w:rFonts w:ascii="仿宋_GB2312" w:hAnsi="仿宋" w:eastAsia="仿宋_GB2312" w:cs="Times New Roman"/>
          <w:bCs/>
          <w:color w:val="000000" w:themeColor="text1"/>
          <w:sz w:val="32"/>
          <w:szCs w:val="32"/>
          <w:highlight w:val="yellow"/>
        </w:rPr>
      </w:pPr>
      <w:r>
        <w:rPr>
          <w:rFonts w:hint="eastAsia" w:ascii="仿宋_GB2312" w:hAnsi="宋体" w:eastAsia="仿宋_GB2312" w:cs="宋体"/>
          <w:kern w:val="0"/>
          <w:sz w:val="32"/>
          <w:szCs w:val="32"/>
        </w:rPr>
        <w:t>和田市医疗保障局是全额拨款的行政管理单位，隶属于和田市人民政府，正科级。核定编制**个，科级领导职数*人。无</w:t>
      </w:r>
      <w:r>
        <w:rPr>
          <w:rFonts w:hint="eastAsia" w:ascii="仿宋_GB2312" w:hAnsi="黑体" w:eastAsia="仿宋_GB2312" w:cs="宋体"/>
          <w:bCs/>
          <w:kern w:val="0"/>
          <w:sz w:val="32"/>
          <w:szCs w:val="32"/>
        </w:rPr>
        <w:t>下属预算单位，下设5个处室，分别是：办公室、基金监督科、财务室、基金征缴大厅、综合科</w:t>
      </w:r>
      <w:r>
        <w:rPr>
          <w:rFonts w:hint="eastAsia" w:ascii="仿宋_GB2312" w:hAnsi="宋体" w:eastAsia="仿宋_GB2312" w:cs="宋体"/>
          <w:kern w:val="0"/>
          <w:sz w:val="32"/>
          <w:szCs w:val="32"/>
        </w:rPr>
        <w:t>。</w:t>
      </w:r>
    </w:p>
    <w:p>
      <w:pPr>
        <w:pStyle w:val="13"/>
        <w:spacing w:line="560" w:lineRule="exact"/>
        <w:ind w:firstLine="64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3．2020年度单位重点工作计划</w:t>
      </w:r>
    </w:p>
    <w:p>
      <w:pPr>
        <w:pStyle w:val="13"/>
        <w:ind w:firstLine="640"/>
        <w:rPr>
          <w:rFonts w:ascii="仿宋_GB2312" w:hAnsi="黑体" w:eastAsia="仿宋_GB2312" w:cs="宋体"/>
          <w:bCs/>
          <w:kern w:val="0"/>
          <w:sz w:val="32"/>
          <w:szCs w:val="32"/>
        </w:rPr>
      </w:pPr>
      <w:r>
        <w:rPr>
          <w:rFonts w:hint="eastAsia" w:ascii="仿宋_GB2312" w:hAnsi="仿宋" w:eastAsia="仿宋_GB2312" w:cs="Times New Roman"/>
          <w:bCs/>
          <w:color w:val="000000" w:themeColor="text1"/>
          <w:sz w:val="32"/>
          <w:szCs w:val="32"/>
        </w:rPr>
        <w:t>（1）</w:t>
      </w:r>
      <w:r>
        <w:rPr>
          <w:rFonts w:hint="eastAsia" w:ascii="仿宋_GB2312" w:hAnsi="黑体" w:eastAsia="仿宋_GB2312" w:cs="宋体"/>
          <w:bCs/>
          <w:kern w:val="0"/>
          <w:sz w:val="32"/>
          <w:szCs w:val="32"/>
        </w:rPr>
        <w:t>局办公室要切实加强正规化运行、提升工作效率和质量，加强对车辆的管理、落实消防责任，做好业务部门后勤保障工作。</w:t>
      </w:r>
    </w:p>
    <w:p>
      <w:pPr>
        <w:widowControl/>
        <w:tabs>
          <w:tab w:val="left" w:pos="2297"/>
          <w:tab w:val="left" w:pos="2447"/>
        </w:tabs>
        <w:spacing w:line="560" w:lineRule="exact"/>
        <w:ind w:firstLine="640" w:firstLineChars="200"/>
        <w:jc w:val="left"/>
        <w:rPr>
          <w:rFonts w:ascii="仿宋_GB2312" w:hAnsi="楷体" w:eastAsia="仿宋_GB2312"/>
          <w:bCs/>
          <w:spacing w:val="-4"/>
          <w:sz w:val="32"/>
          <w:szCs w:val="32"/>
        </w:rPr>
      </w:pPr>
      <w:r>
        <w:rPr>
          <w:rFonts w:hint="eastAsia" w:ascii="仿宋_GB2312" w:hAnsi="黑体" w:eastAsia="仿宋_GB2312" w:cs="宋体"/>
          <w:bCs/>
          <w:kern w:val="0"/>
          <w:sz w:val="32"/>
          <w:szCs w:val="32"/>
        </w:rPr>
        <w:t>（2）基金监督科加强医保基金监督管理，加大稽核力度，做好中心异地住院医疗报销结算事宜，按月做好定点医疗机构清算工作。</w:t>
      </w:r>
    </w:p>
    <w:p>
      <w:pPr>
        <w:widowControl/>
        <w:tabs>
          <w:tab w:val="left" w:pos="2297"/>
          <w:tab w:val="left" w:pos="2447"/>
        </w:tabs>
        <w:spacing w:line="560" w:lineRule="exact"/>
        <w:ind w:firstLine="640" w:firstLineChars="200"/>
        <w:jc w:val="left"/>
        <w:rPr>
          <w:rFonts w:ascii="仿宋_GB2312" w:hAnsi="楷体" w:eastAsia="仿宋_GB2312"/>
          <w:bCs/>
          <w:spacing w:val="-4"/>
          <w:sz w:val="32"/>
          <w:szCs w:val="32"/>
        </w:rPr>
      </w:pPr>
      <w:r>
        <w:rPr>
          <w:rFonts w:hint="eastAsia" w:ascii="仿宋_GB2312" w:hAnsi="黑体" w:eastAsia="仿宋_GB2312" w:cs="宋体"/>
          <w:bCs/>
          <w:kern w:val="0"/>
          <w:sz w:val="32"/>
          <w:szCs w:val="32"/>
        </w:rPr>
        <w:t>（3）医保征缴大厅</w:t>
      </w:r>
      <w:r>
        <w:rPr>
          <w:rFonts w:hint="eastAsia" w:ascii="仿宋_GB2312" w:hAnsi="楷体" w:eastAsia="仿宋_GB2312"/>
          <w:bCs/>
          <w:spacing w:val="-4"/>
          <w:sz w:val="32"/>
          <w:szCs w:val="32"/>
        </w:rPr>
        <w:t>继续做好医保扩面、征缴工作，做好基础信息维护、慢性性病管理，业务咨询等事宜。</w:t>
      </w:r>
    </w:p>
    <w:p>
      <w:pPr>
        <w:widowControl/>
        <w:tabs>
          <w:tab w:val="left" w:pos="2297"/>
          <w:tab w:val="left" w:pos="2447"/>
        </w:tabs>
        <w:spacing w:line="560" w:lineRule="exact"/>
        <w:ind w:firstLine="624" w:firstLineChars="200"/>
        <w:jc w:val="left"/>
        <w:rPr>
          <w:rFonts w:ascii="仿宋_GB2312" w:hAnsi="楷体" w:eastAsia="仿宋_GB2312"/>
          <w:bCs/>
          <w:spacing w:val="-4"/>
          <w:sz w:val="32"/>
          <w:szCs w:val="32"/>
        </w:rPr>
      </w:pPr>
      <w:r>
        <w:rPr>
          <w:rFonts w:hint="eastAsia" w:ascii="仿宋_GB2312" w:hAnsi="楷体" w:eastAsia="仿宋_GB2312"/>
          <w:bCs/>
          <w:spacing w:val="-4"/>
          <w:sz w:val="32"/>
          <w:szCs w:val="32"/>
        </w:rPr>
        <w:t>（4）财务室严格基金收支及运行管理，做好医疗救助资金使用管理，按时发放工资，按时缴纳单位所有职工社会保障缴费、住房公积金，费用支出。</w:t>
      </w:r>
    </w:p>
    <w:p>
      <w:pPr>
        <w:pStyle w:val="13"/>
        <w:spacing w:line="560" w:lineRule="exact"/>
        <w:ind w:firstLine="624"/>
        <w:rPr>
          <w:rFonts w:ascii="仿宋_GB2312" w:hAnsi="楷体" w:eastAsia="仿宋_GB2312"/>
          <w:bCs/>
          <w:spacing w:val="-4"/>
          <w:sz w:val="32"/>
          <w:szCs w:val="32"/>
        </w:rPr>
      </w:pPr>
      <w:r>
        <w:rPr>
          <w:rFonts w:hint="eastAsia" w:ascii="仿宋_GB2312" w:hAnsi="楷体" w:eastAsia="仿宋_GB2312"/>
          <w:bCs/>
          <w:spacing w:val="-4"/>
          <w:sz w:val="32"/>
          <w:szCs w:val="32"/>
        </w:rPr>
        <w:t>（5）全局所有职工加大医保政策工作宣传力度，增强城乡居民参保意识，夯实医疗保障基础工作。</w:t>
      </w:r>
    </w:p>
    <w:p>
      <w:pPr>
        <w:pStyle w:val="13"/>
        <w:spacing w:line="560" w:lineRule="exact"/>
        <w:ind w:firstLine="640"/>
        <w:rPr>
          <w:rFonts w:ascii="仿宋" w:hAnsi="仿宋" w:eastAsia="仿宋" w:cs="宋体"/>
          <w:sz w:val="32"/>
          <w:szCs w:val="32"/>
        </w:rPr>
      </w:pPr>
      <w:r>
        <w:rPr>
          <w:rFonts w:hint="eastAsia" w:ascii="仿宋" w:hAnsi="仿宋" w:eastAsia="仿宋" w:cs="仿宋"/>
          <w:sz w:val="32"/>
          <w:szCs w:val="32"/>
        </w:rPr>
        <w:t>①</w:t>
      </w:r>
      <w:r>
        <w:rPr>
          <w:rFonts w:hint="eastAsia" w:ascii="仿宋_GB2312" w:hAnsi="仿宋" w:eastAsia="仿宋_GB2312" w:cs="Times New Roman"/>
          <w:bCs/>
          <w:sz w:val="32"/>
          <w:szCs w:val="32"/>
        </w:rPr>
        <w:t>业务费</w:t>
      </w:r>
      <w:r>
        <w:rPr>
          <w:rFonts w:hint="eastAsia" w:ascii="仿宋" w:hAnsi="仿宋" w:eastAsia="仿宋" w:cs="Times New Roman"/>
          <w:bCs/>
          <w:sz w:val="32"/>
          <w:szCs w:val="32"/>
        </w:rPr>
        <w:t>项目。</w:t>
      </w:r>
      <w:r>
        <w:rPr>
          <w:rFonts w:hint="eastAsia" w:ascii="仿宋" w:hAnsi="仿宋" w:eastAsia="仿宋" w:cs="Times New Roman"/>
          <w:sz w:val="32"/>
          <w:szCs w:val="32"/>
          <w:lang w:val="zh-CN"/>
        </w:rPr>
        <w:t>2020年</w:t>
      </w:r>
      <w:r>
        <w:rPr>
          <w:rFonts w:hint="eastAsia" w:ascii="仿宋" w:hAnsi="仿宋" w:eastAsia="仿宋" w:cs="Times New Roman"/>
          <w:sz w:val="32"/>
          <w:szCs w:val="32"/>
        </w:rPr>
        <w:t>为保障医保局5个科室正常工作开展及医保信息系统正常运行等，共支出17.80万元。</w:t>
      </w:r>
    </w:p>
    <w:p>
      <w:pPr>
        <w:spacing w:line="560" w:lineRule="exact"/>
        <w:ind w:firstLine="640" w:firstLineChars="200"/>
        <w:rPr>
          <w:rFonts w:ascii="仿宋" w:hAnsi="仿宋" w:eastAsia="仿宋" w:cs="Times New Roman"/>
          <w:bCs/>
          <w:sz w:val="32"/>
          <w:szCs w:val="32"/>
        </w:rPr>
      </w:pPr>
      <w:r>
        <w:rPr>
          <w:rFonts w:hint="eastAsia" w:ascii="仿宋" w:hAnsi="仿宋" w:eastAsia="仿宋" w:cs="仿宋"/>
          <w:sz w:val="32"/>
          <w:szCs w:val="32"/>
        </w:rPr>
        <w:t>②</w:t>
      </w:r>
      <w:r>
        <w:rPr>
          <w:rFonts w:ascii="仿宋" w:hAnsi="仿宋" w:eastAsia="仿宋" w:cs="Times New Roman"/>
          <w:bCs/>
          <w:sz w:val="32"/>
          <w:szCs w:val="32"/>
        </w:rPr>
        <w:t>开展</w:t>
      </w:r>
      <w:r>
        <w:rPr>
          <w:rFonts w:hint="eastAsia" w:ascii="仿宋" w:hAnsi="仿宋" w:eastAsia="仿宋" w:cs="Times New Roman"/>
          <w:bCs/>
          <w:sz w:val="32"/>
          <w:szCs w:val="32"/>
        </w:rPr>
        <w:t>医疗救助</w:t>
      </w:r>
      <w:r>
        <w:rPr>
          <w:rFonts w:ascii="仿宋" w:hAnsi="仿宋" w:eastAsia="仿宋" w:cs="Times New Roman"/>
          <w:bCs/>
          <w:sz w:val="32"/>
          <w:szCs w:val="32"/>
        </w:rPr>
        <w:t>工作。</w:t>
      </w:r>
      <w:r>
        <w:rPr>
          <w:rFonts w:hint="eastAsia" w:ascii="仿宋" w:hAnsi="仿宋" w:eastAsia="仿宋" w:cs="Times New Roman"/>
          <w:bCs/>
          <w:sz w:val="32"/>
          <w:szCs w:val="32"/>
        </w:rPr>
        <w:t>1、资助130065名贫困人口参加城乡居民基本医疗保险缴费支出3078.11万元；其中资助建档立卡贫困人员92895人，低保人员36561人，特困人员609人；2、委托保险公司开展困难群体医疗救助保险185元/人*126367人总支出2337.79万元，住院医疗救助17676人次，门诊医疗救助912人次；3、支付106人次困难群体医疗二次救助及重特大疾病支出总金额57.81万元；4、支付和田维吾尔医医院1370人次肺结核病人10%住院医疗救助支出65.61万元；5、通过广播、电视、网络，同时制作音频光盘300张下发至各乡镇街道村社区广泛宣传基本医疗保险、医疗救助政策知识，扩大了贫困人口医疗救助政策知晓率和覆盖面。共支出5552.94万元。</w:t>
      </w:r>
    </w:p>
    <w:p>
      <w:pPr>
        <w:pStyle w:val="13"/>
        <w:spacing w:line="560" w:lineRule="exact"/>
        <w:ind w:firstLine="640"/>
        <w:rPr>
          <w:rFonts w:ascii="仿宋" w:hAnsi="仿宋" w:eastAsia="仿宋" w:cs="Times New Roman"/>
          <w:sz w:val="32"/>
          <w:szCs w:val="32"/>
        </w:rPr>
      </w:pPr>
      <w:r>
        <w:rPr>
          <w:rFonts w:hint="eastAsia" w:ascii="仿宋" w:hAnsi="仿宋" w:eastAsia="仿宋" w:cs="仿宋"/>
          <w:sz w:val="32"/>
          <w:szCs w:val="32"/>
        </w:rPr>
        <w:t>③</w:t>
      </w:r>
      <w:r>
        <w:rPr>
          <w:rFonts w:hint="eastAsia" w:ascii="仿宋" w:hAnsi="仿宋" w:eastAsia="仿宋" w:cs="Times New Roman"/>
          <w:bCs/>
          <w:sz w:val="32"/>
          <w:szCs w:val="32"/>
        </w:rPr>
        <w:t>开展***</w:t>
      </w:r>
      <w:r>
        <w:rPr>
          <w:rFonts w:hint="eastAsia" w:ascii="仿宋" w:hAnsi="仿宋" w:eastAsia="仿宋" w:cs="Times New Roman"/>
          <w:bCs/>
          <w:sz w:val="32"/>
          <w:szCs w:val="32"/>
          <w:lang w:val="en-US" w:eastAsia="zh-CN"/>
        </w:rPr>
        <w:t>**</w:t>
      </w:r>
      <w:bookmarkStart w:id="0" w:name="_GoBack"/>
      <w:bookmarkEnd w:id="0"/>
      <w:r>
        <w:rPr>
          <w:rFonts w:hint="eastAsia" w:ascii="仿宋" w:hAnsi="仿宋" w:eastAsia="仿宋" w:cs="Times New Roman"/>
          <w:bCs/>
          <w:sz w:val="32"/>
          <w:szCs w:val="32"/>
        </w:rPr>
        <w:t>工作。2020年上半年项目资金的实施很好的保证了格来木村驻村工作队和金川社区驻社区工作的顺利开展，帮助困难群众157人次，及时解决了困难群众在生产生活中的问题35件，村社区通过举办各种各样的活动，进一步提升了基层组织的作用，也加强了辖区范围内群众的凝聚力，达到了辖区居民的高度满意。共支出12.47万元。2020年下半年项目资金的实施很好的保证了格来木村驻村工作队和金川社区驻社区工作的顺利开展，扶贫帮困救济人次163人次，及时解决了困难群众在生产生活中的问题182件，村社区通过举办各种各样的活动,进一步提升了基层组织的作用，也加强了辖区范围内群众的凝聚力，达到了辖区居民的高度满意。</w:t>
      </w:r>
      <w:r>
        <w:rPr>
          <w:rFonts w:hint="eastAsia" w:ascii="仿宋" w:hAnsi="仿宋" w:eastAsia="仿宋" w:cs="Times New Roman"/>
          <w:sz w:val="32"/>
          <w:szCs w:val="32"/>
        </w:rPr>
        <w:t xml:space="preserve">共支出8.17万元。                                  </w:t>
      </w:r>
    </w:p>
    <w:p>
      <w:pPr>
        <w:pStyle w:val="13"/>
        <w:spacing w:line="560" w:lineRule="exact"/>
        <w:ind w:firstLine="640"/>
        <w:rPr>
          <w:rFonts w:ascii="仿宋" w:hAnsi="仿宋" w:eastAsia="仿宋" w:cs="Times New Roman"/>
          <w:sz w:val="32"/>
          <w:szCs w:val="32"/>
        </w:rPr>
      </w:pPr>
      <w:r>
        <w:rPr>
          <w:rFonts w:hint="eastAsia" w:ascii="仿宋" w:hAnsi="仿宋" w:eastAsia="仿宋" w:cs="仿宋"/>
          <w:sz w:val="32"/>
          <w:szCs w:val="32"/>
        </w:rPr>
        <w:t>④</w:t>
      </w:r>
      <w:r>
        <w:rPr>
          <w:rFonts w:hint="eastAsia" w:ascii="仿宋" w:hAnsi="仿宋" w:eastAsia="仿宋" w:cs="Times New Roman"/>
          <w:sz w:val="32"/>
          <w:szCs w:val="32"/>
        </w:rPr>
        <w:t>医疗救助补助直达资金项目工作。资助364名低保人员、476名建档立卡贫困户、5名特困人员代缴2020年居民医疗保险；2、资助1246名低保人员、5600名建档立卡贫困户、555名特困人员代缴2021年居民医疗保险。已完成各类救助对象参加居民医疗基本医疗保险参保资助工作。共支出193万元。</w:t>
      </w:r>
    </w:p>
    <w:p>
      <w:pPr>
        <w:pStyle w:val="13"/>
        <w:spacing w:line="560" w:lineRule="exact"/>
        <w:ind w:firstLine="640"/>
        <w:rPr>
          <w:rFonts w:ascii="仿宋" w:hAnsi="仿宋" w:eastAsia="仿宋" w:cs="Times New Roman"/>
          <w:sz w:val="32"/>
          <w:szCs w:val="32"/>
        </w:rPr>
      </w:pPr>
      <w:r>
        <w:rPr>
          <w:rFonts w:hint="eastAsia" w:ascii="仿宋" w:hAnsi="仿宋" w:eastAsia="仿宋" w:cs="仿宋"/>
          <w:sz w:val="32"/>
          <w:szCs w:val="32"/>
        </w:rPr>
        <w:t>⑤</w:t>
      </w:r>
      <w:r>
        <w:rPr>
          <w:rFonts w:hint="eastAsia" w:ascii="仿宋" w:hAnsi="仿宋" w:eastAsia="仿宋" w:cs="Times New Roman"/>
          <w:sz w:val="32"/>
          <w:szCs w:val="32"/>
        </w:rPr>
        <w:t xml:space="preserve">城乡居民基本医疗保险补助资金项目工作。截止到2020年9月30日，该项目资金补助参保人数318437人，共计支出301万元，减轻参保人员就医经济负担，确保了参保人员居民基本医疗保险政策落实。共支出301万元。  </w:t>
      </w:r>
    </w:p>
    <w:p>
      <w:pPr>
        <w:pStyle w:val="2"/>
        <w:ind w:firstLine="642"/>
        <w:rPr>
          <w:rStyle w:val="11"/>
          <w:rFonts w:ascii="楷体" w:hAnsi="楷体" w:eastAsia="楷体" w:cs="Times New Roman"/>
          <w:b w:val="0"/>
          <w:bCs w:val="0"/>
          <w:color w:val="000000" w:themeColor="text1"/>
          <w:spacing w:val="-4"/>
        </w:rPr>
      </w:pPr>
      <w:r>
        <w:rPr>
          <w:rStyle w:val="11"/>
          <w:rFonts w:hint="eastAsia" w:ascii="楷体" w:hAnsi="楷体" w:eastAsia="楷体" w:cs="Times New Roman"/>
          <w:b w:val="0"/>
          <w:bCs w:val="0"/>
          <w:color w:val="000000" w:themeColor="text1"/>
          <w:spacing w:val="-4"/>
        </w:rPr>
        <w:t>（二）决策过程</w:t>
      </w:r>
    </w:p>
    <w:p>
      <w:pPr>
        <w:pStyle w:val="13"/>
        <w:spacing w:line="560" w:lineRule="exact"/>
        <w:ind w:firstLine="640"/>
        <w:rPr>
          <w:rFonts w:ascii="仿宋" w:hAnsi="仿宋" w:eastAsia="仿宋" w:cs="宋体"/>
          <w:sz w:val="32"/>
          <w:szCs w:val="32"/>
        </w:rPr>
      </w:pPr>
      <w:r>
        <w:rPr>
          <w:rFonts w:hint="eastAsia" w:ascii="仿宋" w:hAnsi="仿宋" w:eastAsia="仿宋" w:cs="宋体"/>
          <w:sz w:val="32"/>
          <w:szCs w:val="32"/>
        </w:rPr>
        <w:t>本单位的项目立项符合相关法规政策及单位职责，依据充分；项目按照规定的程序申请设立；审批文件、材料符合相关要求；项目前期已经经过必要的绩效评估、集体决策。</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（三）资金分配</w:t>
      </w:r>
    </w:p>
    <w:p>
      <w:pPr>
        <w:pStyle w:val="13"/>
        <w:spacing w:line="560" w:lineRule="exact"/>
        <w:ind w:firstLine="640"/>
        <w:rPr>
          <w:rFonts w:ascii="仿宋" w:hAnsi="仿宋" w:eastAsia="仿宋" w:cs="宋体"/>
          <w:sz w:val="32"/>
          <w:szCs w:val="32"/>
        </w:rPr>
      </w:pPr>
      <w:r>
        <w:rPr>
          <w:rFonts w:hint="eastAsia" w:ascii="仿宋" w:hAnsi="仿宋" w:eastAsia="仿宋" w:cs="宋体"/>
          <w:sz w:val="32"/>
          <w:szCs w:val="32"/>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（四）单位整体支出规模、使用方法、主要内容及涉及范围</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1．单位整体支出规模</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2020年度和田市医疗保障局单位整体支出全年预算总额为7243.25万元，资金执行数6422.19万元，执行率88.66%；全年预算总额较上年增加128.56万元，增幅59.6%，变动主要原因是：和田市医疗保障局是2019年5月涉改新成立单位，所有的人员经费支出和日常公用经费支出都是从2019年5月开始，而2020年包括全年12个月的人员经费支出和日常公用经费支出。</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（1）基本支出情况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截至12月31日，基本支出全年预算数336.81万元，资金执行数336.81万元，执行率100%；其中，年初单位预算批复的整体支出绩效目标表中，基本支出预算数326.55万元，年中追加基本支出预算数10.26万元。</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（2）单位预算项目支出情况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截至12月31日，单位预算项目支出数共计1个，全年预算数17.80万元，资金执行数17.80万元，执行率100%；其中，年初单位预算批复的整体支出绩效目标表中，项目支出预算数17.80万元，资金执行数17.80万元，年中追加项目支出预算数0万元，资金执行数0万元，绩效结果应用调整项目支出预算数0万元。</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（3）专项资金项目支出情况</w:t>
      </w:r>
      <w:r>
        <w:rPr>
          <w:rFonts w:hint="eastAsia" w:ascii="仿宋_GB2312" w:hAnsi="方正楷体简体" w:eastAsia="仿宋_GB2312" w:cs="宋体"/>
          <w:sz w:val="32"/>
          <w:szCs w:val="32"/>
        </w:rPr>
        <w:tab/>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截至12月31日，上级专项资金项目共计5个，全年预算数6888.64万元，资金执行数6067.58万元，执行率88.08%。</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2．使用方法</w:t>
      </w:r>
    </w:p>
    <w:p>
      <w:pPr>
        <w:spacing w:line="560" w:lineRule="exact"/>
        <w:ind w:firstLine="640" w:firstLineChars="200"/>
        <w:rPr>
          <w:rFonts w:ascii="仿宋_GB2312" w:hAnsi="方正楷体简体" w:eastAsia="仿宋_GB2312" w:cs="宋体"/>
          <w:b/>
          <w:bCs/>
          <w:sz w:val="32"/>
          <w:szCs w:val="32"/>
        </w:rPr>
      </w:pPr>
      <w:r>
        <w:rPr>
          <w:rFonts w:hint="eastAsia" w:ascii="仿宋_GB2312" w:hAnsi="方正楷体简体" w:eastAsia="仿宋_GB2312" w:cs="宋体"/>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3．主要内容及涉及范围</w:t>
      </w:r>
    </w:p>
    <w:p>
      <w:pPr>
        <w:pStyle w:val="16"/>
        <w:spacing w:line="560" w:lineRule="exact"/>
        <w:ind w:firstLineChars="200"/>
        <w:jc w:val="both"/>
        <w:rPr>
          <w:rFonts w:hAnsi="方正楷体简体"/>
        </w:rPr>
      </w:pPr>
      <w:r>
        <w:rPr>
          <w:rFonts w:hint="eastAsia" w:hAnsi="方正楷体简体"/>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6"/>
        <w:spacing w:line="560" w:lineRule="exact"/>
        <w:ind w:firstLineChars="200"/>
        <w:jc w:val="both"/>
        <w:rPr>
          <w:rFonts w:hAnsi="方正楷体简体"/>
          <w:b/>
          <w:color w:val="FF0000"/>
        </w:rPr>
      </w:pPr>
      <w:r>
        <w:rPr>
          <w:rFonts w:hint="eastAsia" w:hAnsi="方正楷体简体"/>
        </w:rPr>
        <w:t>（2）2020年度和田市医疗保障局单位项目支出共涉及6个项目，分别为：</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1"/>
        <w:gridCol w:w="2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项目名称</w:t>
            </w:r>
          </w:p>
        </w:tc>
        <w:tc>
          <w:tcPr>
            <w:tcW w:w="2501" w:type="dxa"/>
            <w:vAlign w:val="center"/>
          </w:tcPr>
          <w:p>
            <w:pPr>
              <w:pStyle w:val="13"/>
              <w:spacing w:line="560" w:lineRule="exact"/>
              <w:ind w:firstLine="200" w:firstLineChars="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Fonts w:ascii="仿宋_GB2312" w:hAnsi="仿宋" w:eastAsia="仿宋_GB2312" w:cs="宋体"/>
                <w:sz w:val="32"/>
                <w:szCs w:val="32"/>
              </w:rPr>
            </w:pPr>
            <w:r>
              <w:rPr>
                <w:rFonts w:hint="eastAsia" w:ascii="仿宋_GB2312" w:hAnsi="仿宋" w:eastAsia="仿宋_GB2312" w:cs="宋体"/>
                <w:sz w:val="32"/>
                <w:szCs w:val="32"/>
              </w:rPr>
              <w:t>业务费项目</w:t>
            </w:r>
          </w:p>
        </w:tc>
        <w:tc>
          <w:tcPr>
            <w:tcW w:w="2501" w:type="dxa"/>
            <w:vAlign w:val="center"/>
          </w:tcPr>
          <w:p>
            <w:pPr>
              <w:pStyle w:val="13"/>
              <w:spacing w:line="560" w:lineRule="exact"/>
              <w:ind w:firstLine="200" w:firstLineChars="0"/>
              <w:jc w:val="left"/>
              <w:rPr>
                <w:rFonts w:ascii="仿宋_GB2312" w:hAnsi="仿宋" w:eastAsia="仿宋_GB2312" w:cs="宋体"/>
                <w:sz w:val="32"/>
                <w:szCs w:val="32"/>
              </w:rPr>
            </w:pPr>
            <w:r>
              <w:rPr>
                <w:rFonts w:hint="eastAsia" w:ascii="仿宋_GB2312" w:hAnsi="仿宋" w:eastAsia="仿宋_GB2312" w:cs="宋体"/>
                <w:sz w:val="32"/>
                <w:szCs w:val="32"/>
              </w:rPr>
              <w:t>17.80万元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Fonts w:ascii="仿宋_GB2312" w:hAnsi="仿宋" w:eastAsia="仿宋_GB2312" w:cs="宋体"/>
                <w:sz w:val="32"/>
                <w:szCs w:val="32"/>
              </w:rPr>
            </w:pPr>
            <w:r>
              <w:rPr>
                <w:rFonts w:hint="eastAsia" w:ascii="仿宋_GB2312" w:hAnsi="仿宋" w:eastAsia="仿宋_GB2312" w:cs="宋体"/>
                <w:sz w:val="32"/>
                <w:szCs w:val="32"/>
              </w:rPr>
              <w:t>***为民办实事工作经费项目</w:t>
            </w:r>
          </w:p>
        </w:tc>
        <w:tc>
          <w:tcPr>
            <w:tcW w:w="2501" w:type="dxa"/>
            <w:vAlign w:val="center"/>
          </w:tcPr>
          <w:p>
            <w:pPr>
              <w:pStyle w:val="13"/>
              <w:spacing w:line="560" w:lineRule="exact"/>
              <w:ind w:firstLine="200" w:firstLineChars="0"/>
              <w:jc w:val="left"/>
              <w:rPr>
                <w:rFonts w:ascii="仿宋_GB2312" w:hAnsi="仿宋" w:eastAsia="仿宋_GB2312" w:cs="宋体"/>
                <w:sz w:val="32"/>
                <w:szCs w:val="32"/>
              </w:rPr>
            </w:pPr>
            <w:r>
              <w:rPr>
                <w:rFonts w:hint="eastAsia" w:ascii="仿宋_GB2312" w:hAnsi="仿宋" w:eastAsia="仿宋_GB2312" w:cs="宋体"/>
                <w:sz w:val="32"/>
                <w:szCs w:val="32"/>
              </w:rPr>
              <w:t>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Fonts w:ascii="仿宋_GB2312" w:hAnsi="仿宋" w:eastAsia="仿宋_GB2312" w:cs="宋体"/>
                <w:sz w:val="32"/>
                <w:szCs w:val="32"/>
              </w:rPr>
            </w:pPr>
            <w:r>
              <w:rPr>
                <w:rFonts w:hint="eastAsia" w:ascii="仿宋_GB2312" w:hAnsi="仿宋" w:eastAsia="仿宋_GB2312" w:cs="宋体"/>
                <w:sz w:val="32"/>
                <w:szCs w:val="32"/>
              </w:rPr>
              <w:t>医疗救助补助资金项目</w:t>
            </w:r>
          </w:p>
        </w:tc>
        <w:tc>
          <w:tcPr>
            <w:tcW w:w="2501" w:type="dxa"/>
            <w:vAlign w:val="center"/>
          </w:tcPr>
          <w:p>
            <w:pPr>
              <w:pStyle w:val="13"/>
              <w:spacing w:line="560" w:lineRule="exact"/>
              <w:ind w:firstLine="200" w:firstLineChars="0"/>
              <w:jc w:val="left"/>
              <w:rPr>
                <w:rFonts w:ascii="仿宋_GB2312" w:hAnsi="仿宋" w:eastAsia="仿宋_GB2312" w:cs="宋体"/>
                <w:sz w:val="32"/>
                <w:szCs w:val="32"/>
              </w:rPr>
            </w:pPr>
            <w:r>
              <w:rPr>
                <w:rFonts w:hint="eastAsia" w:ascii="仿宋_GB2312" w:hAnsi="仿宋" w:eastAsia="仿宋_GB2312" w:cs="宋体"/>
                <w:sz w:val="32"/>
                <w:szCs w:val="32"/>
              </w:rPr>
              <w:t>6363.64万元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Fonts w:ascii="仿宋_GB2312" w:hAnsi="仿宋" w:eastAsia="仿宋_GB2312" w:cs="宋体"/>
                <w:sz w:val="32"/>
                <w:szCs w:val="32"/>
              </w:rPr>
            </w:pPr>
            <w:r>
              <w:rPr>
                <w:rFonts w:hint="eastAsia" w:ascii="仿宋_GB2312" w:hAnsi="仿宋" w:eastAsia="仿宋_GB2312" w:cs="宋体"/>
                <w:sz w:val="32"/>
                <w:szCs w:val="32"/>
              </w:rPr>
              <w:t>医疗救助补助资金（城乡医疗救助补助资金）项目</w:t>
            </w:r>
          </w:p>
        </w:tc>
        <w:tc>
          <w:tcPr>
            <w:tcW w:w="2501" w:type="dxa"/>
            <w:vAlign w:val="center"/>
          </w:tcPr>
          <w:p>
            <w:pPr>
              <w:pStyle w:val="13"/>
              <w:spacing w:line="560" w:lineRule="exact"/>
              <w:ind w:firstLine="200" w:firstLineChars="0"/>
              <w:jc w:val="left"/>
              <w:rPr>
                <w:rFonts w:ascii="仿宋_GB2312" w:hAnsi="仿宋" w:eastAsia="仿宋_GB2312" w:cs="宋体"/>
                <w:sz w:val="32"/>
                <w:szCs w:val="32"/>
              </w:rPr>
            </w:pPr>
            <w:r>
              <w:rPr>
                <w:rFonts w:hint="eastAsia" w:ascii="仿宋_GB2312" w:hAnsi="仿宋" w:eastAsia="仿宋_GB2312" w:cs="宋体"/>
                <w:sz w:val="32"/>
                <w:szCs w:val="32"/>
              </w:rPr>
              <w:t>193万元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Fonts w:ascii="仿宋_GB2312" w:hAnsi="仿宋" w:eastAsia="仿宋_GB2312" w:cs="宋体"/>
                <w:sz w:val="32"/>
                <w:szCs w:val="32"/>
              </w:rPr>
            </w:pPr>
            <w:r>
              <w:rPr>
                <w:rFonts w:hint="eastAsia" w:ascii="仿宋_GB2312" w:hAnsi="仿宋" w:eastAsia="仿宋_GB2312" w:cs="宋体"/>
                <w:sz w:val="32"/>
                <w:szCs w:val="32"/>
              </w:rPr>
              <w:t>城乡居民基本医疗保险补助资金项目</w:t>
            </w:r>
          </w:p>
        </w:tc>
        <w:tc>
          <w:tcPr>
            <w:tcW w:w="2501" w:type="dxa"/>
            <w:vAlign w:val="center"/>
          </w:tcPr>
          <w:p>
            <w:pPr>
              <w:pStyle w:val="13"/>
              <w:spacing w:line="560" w:lineRule="exact"/>
              <w:ind w:firstLine="200" w:firstLineChars="0"/>
              <w:jc w:val="left"/>
              <w:rPr>
                <w:rFonts w:ascii="仿宋_GB2312" w:hAnsi="仿宋" w:eastAsia="仿宋_GB2312" w:cs="宋体"/>
                <w:sz w:val="32"/>
                <w:szCs w:val="32"/>
              </w:rPr>
            </w:pPr>
            <w:r>
              <w:rPr>
                <w:rFonts w:hint="eastAsia" w:ascii="仿宋_GB2312" w:hAnsi="仿宋" w:eastAsia="仿宋_GB2312" w:cs="宋体"/>
                <w:sz w:val="32"/>
                <w:szCs w:val="32"/>
              </w:rPr>
              <w:t>301万元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21" w:type="dxa"/>
            <w:vAlign w:val="center"/>
          </w:tcPr>
          <w:p>
            <w:pPr>
              <w:pStyle w:val="13"/>
              <w:spacing w:line="560" w:lineRule="exact"/>
              <w:ind w:firstLine="200" w:firstLineChars="0"/>
              <w:rPr>
                <w:rFonts w:ascii="仿宋_GB2312" w:hAnsi="仿宋" w:eastAsia="仿宋_GB2312" w:cs="宋体"/>
                <w:sz w:val="32"/>
                <w:szCs w:val="32"/>
              </w:rPr>
            </w:pPr>
            <w:r>
              <w:rPr>
                <w:rFonts w:hint="eastAsia" w:ascii="仿宋_GB2312" w:hAnsi="仿宋" w:eastAsia="仿宋_GB2312" w:cs="宋体"/>
                <w:sz w:val="32"/>
                <w:szCs w:val="32"/>
              </w:rPr>
              <w:t>医疗保险全民参保及医疗服务工作经费项目</w:t>
            </w:r>
          </w:p>
        </w:tc>
        <w:tc>
          <w:tcPr>
            <w:tcW w:w="2501" w:type="dxa"/>
            <w:vAlign w:val="center"/>
          </w:tcPr>
          <w:p>
            <w:pPr>
              <w:pStyle w:val="13"/>
              <w:spacing w:line="560" w:lineRule="exact"/>
              <w:ind w:firstLine="320" w:firstLineChars="100"/>
              <w:jc w:val="left"/>
              <w:rPr>
                <w:rFonts w:ascii="仿宋_GB2312" w:hAnsi="仿宋" w:eastAsia="仿宋_GB2312" w:cs="宋体"/>
                <w:sz w:val="32"/>
                <w:szCs w:val="32"/>
              </w:rPr>
            </w:pPr>
            <w:r>
              <w:rPr>
                <w:rFonts w:hint="eastAsia" w:ascii="仿宋_GB2312" w:hAnsi="仿宋" w:eastAsia="仿宋_GB2312" w:cs="宋体"/>
                <w:sz w:val="32"/>
                <w:szCs w:val="32"/>
              </w:rPr>
              <w:t>6万元</w:t>
            </w:r>
          </w:p>
        </w:tc>
      </w:tr>
    </w:tbl>
    <w:p>
      <w:pPr>
        <w:pStyle w:val="13"/>
        <w:spacing w:line="560" w:lineRule="exact"/>
        <w:ind w:firstLine="624"/>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二、单位整体支出管理及使用情况</w:t>
      </w:r>
    </w:p>
    <w:p>
      <w:pPr>
        <w:spacing w:line="560" w:lineRule="exact"/>
        <w:ind w:firstLine="624" w:firstLineChars="200"/>
        <w:rPr>
          <w:rStyle w:val="11"/>
          <w:rFonts w:ascii="楷体" w:hAnsi="楷体" w:eastAsia="楷体" w:cs="Times New Roman"/>
          <w:b w:val="0"/>
          <w:bCs w:val="0"/>
          <w:color w:val="000000" w:themeColor="text1"/>
          <w:spacing w:val="-4"/>
        </w:rPr>
      </w:pPr>
      <w:r>
        <w:rPr>
          <w:rStyle w:val="11"/>
          <w:rFonts w:hint="eastAsia" w:ascii="楷体" w:hAnsi="楷体" w:eastAsia="楷体" w:cs="Times New Roman"/>
          <w:b w:val="0"/>
          <w:bCs w:val="0"/>
          <w:color w:val="000000" w:themeColor="text1"/>
          <w:spacing w:val="-4"/>
          <w:sz w:val="32"/>
          <w:szCs w:val="32"/>
        </w:rPr>
        <w:t>（一）资金管理情况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严格按照国家财经法规、预算资金管理办法、财务管理制度以及专项资金管理办法的规定，建立了和田市医疗保障局财务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1．基本支出管理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2．基本支出情况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2020年和田市医疗保障局单位基本支出预算总额336.81万元，其中人员经费327.31万元，公用经费9.50万元。实际支出336.81万元，预算执行率100%。</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3．“三公”经费控制情况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 xml:space="preserve">我单位认真贯彻落实中央关于厉行节约的有关规定，严格执行《党政机关厉行节约反对浪费条例》和《机关公务接待管理办法》，全年大幅度压缩了因公出国（境）及公务接待费用支出。全年“三公”经费支出为1.20万元。 </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2020年“三公”经费预算数为1.60万元，其中，公务用车运行维护费1.60万元，公务接待费0万元，因公出国费0万元。全年“三公”经费支出1.20万元，其中公务用车运行维护费1.20万元，公务接待费0万元，因公出国费0万元，较2019年“三公”经费决算0万元，上浮100%。</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（三）专项资金支出预算安排及支出情况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2020年专项支出预算总额6888.64万元，实际支出6067.58万元，预算执行率88.0%。</w:t>
      </w:r>
    </w:p>
    <w:p>
      <w:pPr>
        <w:spacing w:line="560" w:lineRule="exact"/>
        <w:ind w:firstLine="640" w:firstLineChars="200"/>
        <w:rPr>
          <w:rFonts w:ascii="仿宋" w:hAnsi="仿宋" w:eastAsia="仿宋" w:cs="Times New Roman"/>
          <w:bCs/>
          <w:sz w:val="32"/>
          <w:szCs w:val="32"/>
        </w:rPr>
      </w:pPr>
      <w:r>
        <w:rPr>
          <w:rFonts w:hint="eastAsia" w:ascii="仿宋_GB2312" w:hAnsi="方正楷体简体" w:eastAsia="仿宋_GB2312" w:cs="宋体"/>
          <w:sz w:val="32"/>
          <w:szCs w:val="32"/>
        </w:rPr>
        <w:t>2020年共有5个专项资金项目，其中已完成项目2个、未完成项目3个、结转项目3个。2020年度项目预算及执行情况见下表：</w:t>
      </w:r>
      <w:r>
        <w:rPr>
          <w:rFonts w:hint="eastAsia" w:ascii="仿宋" w:hAnsi="仿宋" w:eastAsia="仿宋" w:cs="Times New Roman"/>
          <w:bCs/>
          <w:sz w:val="32"/>
          <w:szCs w:val="32"/>
        </w:rPr>
        <w:t>（项目类型主要为基建类、采购类、补助类、其他类）</w:t>
      </w:r>
    </w:p>
    <w:tbl>
      <w:tblPr>
        <w:tblStyle w:val="8"/>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Layout w:type="fixed"/>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kern w:val="0"/>
                <w:sz w:val="24"/>
              </w:rPr>
            </w:pPr>
            <w:r>
              <w:rPr>
                <w:rFonts w:hint="eastAsia" w:ascii="仿宋_GB2312" w:hAnsi="仿宋" w:eastAsia="仿宋_GB2312" w:cs="宋体"/>
                <w:b/>
                <w:bCs/>
                <w:kern w:val="0"/>
                <w:sz w:val="24"/>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kern w:val="0"/>
                <w:sz w:val="24"/>
              </w:rPr>
            </w:pPr>
            <w:r>
              <w:rPr>
                <w:rFonts w:hint="eastAsia" w:ascii="仿宋_GB2312" w:hAnsi="仿宋" w:eastAsia="仿宋_GB2312" w:cs="宋体"/>
                <w:b/>
                <w:bCs/>
                <w:kern w:val="0"/>
                <w:sz w:val="24"/>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kern w:val="0"/>
                <w:sz w:val="24"/>
              </w:rPr>
            </w:pPr>
            <w:r>
              <w:rPr>
                <w:rFonts w:hint="eastAsia" w:ascii="仿宋_GB2312" w:hAnsi="仿宋" w:eastAsia="仿宋_GB2312" w:cs="宋体"/>
                <w:b/>
                <w:bCs/>
                <w:kern w:val="0"/>
                <w:sz w:val="24"/>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kern w:val="0"/>
                <w:sz w:val="24"/>
              </w:rPr>
            </w:pPr>
            <w:r>
              <w:rPr>
                <w:rFonts w:hint="eastAsia" w:ascii="仿宋_GB2312" w:hAnsi="仿宋" w:eastAsia="仿宋_GB2312" w:cs="宋体"/>
                <w:b/>
                <w:bCs/>
                <w:kern w:val="0"/>
                <w:sz w:val="24"/>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kern w:val="0"/>
                <w:sz w:val="24"/>
              </w:rPr>
            </w:pPr>
            <w:r>
              <w:rPr>
                <w:rFonts w:hint="eastAsia" w:ascii="仿宋_GB2312" w:hAnsi="仿宋" w:eastAsia="仿宋_GB2312" w:cs="宋体"/>
                <w:b/>
                <w:bCs/>
                <w:kern w:val="0"/>
                <w:sz w:val="24"/>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ascii="仿宋_GB2312" w:hAnsi="仿宋" w:eastAsia="仿宋_GB2312" w:cs="宋体"/>
                <w:b/>
                <w:bCs/>
                <w:kern w:val="0"/>
                <w:sz w:val="24"/>
              </w:rPr>
            </w:pPr>
            <w:r>
              <w:rPr>
                <w:rFonts w:hint="eastAsia" w:ascii="仿宋_GB2312" w:hAnsi="仿宋" w:eastAsia="仿宋_GB2312" w:cs="宋体"/>
                <w:b/>
                <w:bCs/>
                <w:kern w:val="0"/>
                <w:sz w:val="24"/>
              </w:rPr>
              <w:t>备注（对预算调整情况进行说明）</w:t>
            </w:r>
          </w:p>
        </w:tc>
      </w:tr>
      <w:tr>
        <w:tblPrEx>
          <w:tblLayout w:type="fixed"/>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kern w:val="0"/>
                <w:sz w:val="24"/>
              </w:rPr>
            </w:pPr>
            <w:r>
              <w:rPr>
                <w:rFonts w:hint="eastAsia" w:ascii="仿宋" w:hAnsi="仿宋" w:eastAsia="仿宋" w:cs="宋体"/>
                <w:kern w:val="0"/>
                <w:sz w:val="24"/>
              </w:rPr>
              <w:t>自治区专项（***为民办实事工作经费）</w:t>
            </w:r>
          </w:p>
        </w:tc>
        <w:tc>
          <w:tcPr>
            <w:tcW w:w="158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25.00</w:t>
            </w:r>
          </w:p>
        </w:tc>
        <w:tc>
          <w:tcPr>
            <w:tcW w:w="1057"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20.64</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82.56%</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其他类</w:t>
            </w:r>
          </w:p>
        </w:tc>
        <w:tc>
          <w:tcPr>
            <w:tcW w:w="2035"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r>
      <w:tr>
        <w:tblPrEx>
          <w:tblLayout w:type="fixed"/>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中央专项（医疗救助补助资金）</w:t>
            </w:r>
          </w:p>
        </w:tc>
        <w:tc>
          <w:tcPr>
            <w:tcW w:w="158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6363.64</w:t>
            </w:r>
          </w:p>
        </w:tc>
        <w:tc>
          <w:tcPr>
            <w:tcW w:w="1057"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5552.94</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87.26%</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补助类</w:t>
            </w:r>
          </w:p>
        </w:tc>
        <w:tc>
          <w:tcPr>
            <w:tcW w:w="2035"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r>
      <w:tr>
        <w:tblPrEx>
          <w:tblLayout w:type="fixed"/>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中央专项：（医疗救助补助资金（城乡医疗救助补助资金））</w:t>
            </w:r>
          </w:p>
        </w:tc>
        <w:tc>
          <w:tcPr>
            <w:tcW w:w="158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193.00</w:t>
            </w:r>
          </w:p>
        </w:tc>
        <w:tc>
          <w:tcPr>
            <w:tcW w:w="1057"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193.00</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100%</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补助类</w:t>
            </w:r>
          </w:p>
        </w:tc>
        <w:tc>
          <w:tcPr>
            <w:tcW w:w="2035"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r>
      <w:tr>
        <w:tblPrEx>
          <w:tblLayout w:type="fixed"/>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中央专项（城乡居民基本医疗保险补助资金）</w:t>
            </w:r>
          </w:p>
        </w:tc>
        <w:tc>
          <w:tcPr>
            <w:tcW w:w="158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301.00</w:t>
            </w:r>
          </w:p>
        </w:tc>
        <w:tc>
          <w:tcPr>
            <w:tcW w:w="1057"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301.00</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100%</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补助类</w:t>
            </w:r>
          </w:p>
        </w:tc>
        <w:tc>
          <w:tcPr>
            <w:tcW w:w="2035"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r>
      <w:tr>
        <w:tblPrEx>
          <w:tblLayout w:type="fixed"/>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自治区专项（医疗保险全民参保及医疗服务工作经费）</w:t>
            </w:r>
          </w:p>
        </w:tc>
        <w:tc>
          <w:tcPr>
            <w:tcW w:w="158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6.00</w:t>
            </w:r>
          </w:p>
        </w:tc>
        <w:tc>
          <w:tcPr>
            <w:tcW w:w="1057"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0.00</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0%</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其他类</w:t>
            </w:r>
          </w:p>
        </w:tc>
        <w:tc>
          <w:tcPr>
            <w:tcW w:w="2035"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r>
      <w:tr>
        <w:tblPrEx>
          <w:tblLayout w:type="fixed"/>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rPr>
                <w:rFonts w:ascii="仿宋" w:hAnsi="仿宋" w:eastAsia="仿宋" w:cs="宋体"/>
                <w:b/>
                <w:bCs/>
                <w:kern w:val="0"/>
                <w:sz w:val="32"/>
                <w:szCs w:val="32"/>
              </w:rPr>
            </w:pPr>
            <w:r>
              <w:rPr>
                <w:rFonts w:hint="eastAsia" w:ascii="仿宋" w:hAnsi="仿宋" w:eastAsia="仿宋" w:cs="宋体"/>
                <w:b/>
                <w:bCs/>
                <w:kern w:val="0"/>
                <w:sz w:val="32"/>
                <w:szCs w:val="32"/>
              </w:rPr>
              <w:t>合计</w:t>
            </w:r>
          </w:p>
        </w:tc>
        <w:tc>
          <w:tcPr>
            <w:tcW w:w="158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6888.64</w:t>
            </w:r>
          </w:p>
        </w:tc>
        <w:tc>
          <w:tcPr>
            <w:tcW w:w="1057"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6067.58</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r>
              <w:rPr>
                <w:rFonts w:hint="eastAsia" w:ascii="仿宋" w:hAnsi="仿宋" w:eastAsia="仿宋" w:cs="宋体"/>
                <w:kern w:val="0"/>
                <w:sz w:val="24"/>
              </w:rPr>
              <w:t>88.08%</w:t>
            </w:r>
          </w:p>
        </w:tc>
        <w:tc>
          <w:tcPr>
            <w:tcW w:w="1134"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c>
          <w:tcPr>
            <w:tcW w:w="2035" w:type="dxa"/>
            <w:tcBorders>
              <w:top w:val="nil"/>
              <w:left w:val="nil"/>
              <w:bottom w:val="single" w:color="auto" w:sz="8" w:space="0"/>
              <w:right w:val="single" w:color="auto" w:sz="8" w:space="0"/>
            </w:tcBorders>
            <w:shd w:val="clear" w:color="auto" w:fill="auto"/>
            <w:vAlign w:val="center"/>
          </w:tcPr>
          <w:p>
            <w:pPr>
              <w:rPr>
                <w:rFonts w:ascii="仿宋" w:hAnsi="仿宋" w:eastAsia="仿宋" w:cs="宋体"/>
                <w:kern w:val="0"/>
                <w:sz w:val="24"/>
              </w:rPr>
            </w:pPr>
          </w:p>
        </w:tc>
      </w:tr>
      <w:tr>
        <w:tblPrEx>
          <w:tblLayout w:type="fixed"/>
          <w:tblCellMar>
            <w:top w:w="0" w:type="dxa"/>
            <w:left w:w="108" w:type="dxa"/>
            <w:bottom w:w="0" w:type="dxa"/>
            <w:right w:w="108" w:type="dxa"/>
          </w:tblCellMar>
        </w:tblPrEx>
        <w:trPr>
          <w:trHeight w:val="283" w:hRule="atLeast"/>
          <w:tblHeader/>
        </w:trPr>
        <w:tc>
          <w:tcPr>
            <w:tcW w:w="1581" w:type="dxa"/>
            <w:vAlign w:val="center"/>
          </w:tcPr>
          <w:p>
            <w:pPr>
              <w:rPr>
                <w:rFonts w:ascii="仿宋" w:hAnsi="仿宋" w:eastAsia="仿宋" w:cs="宋体"/>
                <w:b/>
                <w:bCs/>
                <w:kern w:val="0"/>
                <w:sz w:val="32"/>
                <w:szCs w:val="32"/>
              </w:rPr>
            </w:pPr>
          </w:p>
        </w:tc>
        <w:tc>
          <w:tcPr>
            <w:tcW w:w="1581" w:type="dxa"/>
            <w:vAlign w:val="center"/>
          </w:tcPr>
          <w:p>
            <w:pPr>
              <w:rPr>
                <w:rFonts w:ascii="仿宋" w:hAnsi="仿宋" w:eastAsia="仿宋" w:cs="宋体"/>
                <w:kern w:val="0"/>
                <w:sz w:val="24"/>
              </w:rPr>
            </w:pPr>
          </w:p>
        </w:tc>
        <w:tc>
          <w:tcPr>
            <w:tcW w:w="1057" w:type="dxa"/>
            <w:vAlign w:val="center"/>
          </w:tcPr>
          <w:p>
            <w:pPr>
              <w:rPr>
                <w:rFonts w:ascii="仿宋" w:hAnsi="仿宋" w:eastAsia="仿宋" w:cs="宋体"/>
                <w:kern w:val="0"/>
                <w:sz w:val="24"/>
              </w:rPr>
            </w:pPr>
          </w:p>
        </w:tc>
        <w:tc>
          <w:tcPr>
            <w:tcW w:w="1134" w:type="dxa"/>
            <w:vAlign w:val="center"/>
          </w:tcPr>
          <w:p>
            <w:pPr>
              <w:rPr>
                <w:rFonts w:ascii="仿宋" w:hAnsi="仿宋" w:eastAsia="仿宋" w:cs="宋体"/>
                <w:kern w:val="0"/>
                <w:sz w:val="24"/>
              </w:rPr>
            </w:pPr>
          </w:p>
        </w:tc>
        <w:tc>
          <w:tcPr>
            <w:tcW w:w="1134" w:type="dxa"/>
            <w:vAlign w:val="center"/>
          </w:tcPr>
          <w:p>
            <w:pPr>
              <w:rPr>
                <w:rFonts w:ascii="仿宋" w:hAnsi="仿宋" w:eastAsia="仿宋" w:cs="宋体"/>
                <w:kern w:val="0"/>
                <w:sz w:val="24"/>
              </w:rPr>
            </w:pPr>
            <w:r>
              <w:rPr>
                <w:rFonts w:hint="eastAsia" w:ascii="仿宋" w:hAnsi="仿宋" w:eastAsia="仿宋" w:cs="宋体"/>
                <w:kern w:val="0"/>
                <w:sz w:val="24"/>
              </w:rPr>
              <w:t>　</w:t>
            </w:r>
          </w:p>
        </w:tc>
        <w:tc>
          <w:tcPr>
            <w:tcW w:w="2035" w:type="dxa"/>
            <w:vAlign w:val="center"/>
          </w:tcPr>
          <w:p>
            <w:pPr>
              <w:rPr>
                <w:rFonts w:ascii="仿宋" w:hAnsi="仿宋" w:eastAsia="仿宋" w:cs="宋体"/>
                <w:kern w:val="0"/>
                <w:sz w:val="24"/>
              </w:rPr>
            </w:pPr>
            <w:r>
              <w:rPr>
                <w:rFonts w:hint="eastAsia" w:ascii="仿宋" w:hAnsi="仿宋" w:eastAsia="仿宋" w:cs="宋体"/>
                <w:kern w:val="0"/>
                <w:sz w:val="24"/>
              </w:rPr>
              <w:t>　</w:t>
            </w:r>
          </w:p>
        </w:tc>
      </w:tr>
    </w:tbl>
    <w:p>
      <w:pPr>
        <w:spacing w:line="560" w:lineRule="exact"/>
        <w:ind w:firstLine="200"/>
        <w:rPr>
          <w:rFonts w:ascii="仿宋_GB2312" w:eastAsia="仿宋_GB2312"/>
          <w:sz w:val="32"/>
          <w:szCs w:val="32"/>
        </w:rPr>
      </w:pPr>
      <w:r>
        <w:rPr>
          <w:rFonts w:hint="eastAsia"/>
        </w:rPr>
        <w:tab/>
      </w:r>
      <w:r>
        <w:rPr>
          <w:rFonts w:hint="eastAsia"/>
        </w:rPr>
        <w:tab/>
      </w:r>
      <w:r>
        <w:rPr>
          <w:rFonts w:hint="eastAsia"/>
        </w:rPr>
        <w:tab/>
      </w:r>
      <w:r>
        <w:rPr>
          <w:rFonts w:hint="eastAsia"/>
        </w:rPr>
        <w:tab/>
      </w:r>
      <w:r>
        <w:rPr>
          <w:rFonts w:hint="eastAsia"/>
          <w:color w:val="FF0000"/>
        </w:rPr>
        <w:tab/>
      </w:r>
      <w:r>
        <w:rPr>
          <w:rFonts w:hint="eastAsia"/>
          <w:color w:val="FF0000"/>
        </w:rPr>
        <w:tab/>
      </w:r>
      <w:r>
        <w:rPr>
          <w:rFonts w:hint="eastAsia"/>
          <w:color w:val="FF0000"/>
        </w:rPr>
        <w:tab/>
      </w:r>
      <w:r>
        <w:rPr>
          <w:rFonts w:hint="eastAsia"/>
          <w:color w:val="FF0000"/>
        </w:rPr>
        <w:t>　</w:t>
      </w:r>
      <w:r>
        <w:rPr>
          <w:rFonts w:hint="eastAsia"/>
          <w:color w:val="FF0000"/>
        </w:rPr>
        <w:tab/>
      </w:r>
      <w:r>
        <w:rPr>
          <w:rFonts w:hint="eastAsia"/>
          <w:color w:val="FF0000"/>
        </w:rPr>
        <w:t>　</w:t>
      </w:r>
      <w:r>
        <w:rPr>
          <w:rFonts w:hint="eastAsia" w:ascii="仿宋_GB2312" w:eastAsia="仿宋_GB2312"/>
          <w:sz w:val="32"/>
          <w:szCs w:val="32"/>
        </w:rPr>
        <w:t>执行数与预算数存在差异的原因：</w:t>
      </w:r>
    </w:p>
    <w:p>
      <w:pPr>
        <w:ind w:firstLine="640"/>
        <w:rPr>
          <w:rFonts w:ascii="仿宋" w:hAnsi="仿宋" w:eastAsia="仿宋" w:cs="仿宋"/>
          <w:sz w:val="32"/>
          <w:szCs w:val="32"/>
        </w:rPr>
      </w:pPr>
      <w:r>
        <w:rPr>
          <w:rFonts w:hint="eastAsia" w:ascii="仿宋_GB2312" w:eastAsia="仿宋_GB2312"/>
          <w:sz w:val="32"/>
          <w:szCs w:val="32"/>
        </w:rPr>
        <w:t>***为民办实事工作经费自治区专项下达数25万元，实际执行数20.64万元，执行率82.56%，差异原因：</w:t>
      </w:r>
      <w:r>
        <w:rPr>
          <w:rFonts w:hint="eastAsia" w:ascii="仿宋" w:hAnsi="仿宋" w:eastAsia="仿宋" w:cs="仿宋"/>
          <w:sz w:val="32"/>
          <w:szCs w:val="32"/>
        </w:rPr>
        <w:t>项目实施进度跟进不够，资金使用报账不及时所致。</w:t>
      </w:r>
    </w:p>
    <w:p>
      <w:pPr>
        <w:ind w:firstLine="640"/>
        <w:rPr>
          <w:rFonts w:ascii="仿宋" w:hAnsi="仿宋" w:eastAsia="仿宋" w:cs="仿宋"/>
          <w:sz w:val="32"/>
          <w:szCs w:val="32"/>
        </w:rPr>
      </w:pPr>
      <w:r>
        <w:rPr>
          <w:rFonts w:hint="eastAsia" w:ascii="仿宋" w:hAnsi="仿宋" w:eastAsia="仿宋" w:cs="仿宋"/>
          <w:sz w:val="32"/>
          <w:szCs w:val="32"/>
        </w:rPr>
        <w:t>医疗救助补助资金中央专项下达数6363.64万元，实际执行数5552.94万元，执行率87.26%。差异原因：项目实施进度跟进不够，资金使用报账不及时所致。</w:t>
      </w:r>
    </w:p>
    <w:p>
      <w:pPr>
        <w:ind w:firstLine="640"/>
        <w:rPr>
          <w:rFonts w:ascii="仿宋_GB2312" w:eastAsia="仿宋_GB2312"/>
          <w:sz w:val="32"/>
          <w:szCs w:val="32"/>
        </w:rPr>
      </w:pPr>
      <w:r>
        <w:rPr>
          <w:rFonts w:hint="eastAsia" w:ascii="仿宋" w:hAnsi="仿宋" w:eastAsia="仿宋" w:cs="宋体"/>
          <w:kern w:val="0"/>
          <w:sz w:val="32"/>
          <w:szCs w:val="32"/>
        </w:rPr>
        <w:t>医疗保险全民参保及医疗服务工作经费自治区下达数6万元，实际执行数0万元，执行率0%。差异原因：项目资金下达过晚，还未来得及实施。</w:t>
      </w:r>
    </w:p>
    <w:p>
      <w:pPr>
        <w:pStyle w:val="13"/>
        <w:spacing w:line="560" w:lineRule="exact"/>
        <w:ind w:firstLine="624"/>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三、单位专项组织实施情况</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（一）专项组织情况分析</w:t>
      </w:r>
      <w:r>
        <w:rPr>
          <w:rStyle w:val="11"/>
          <w:rFonts w:hint="eastAsia" w:ascii="楷体" w:hAnsi="楷体" w:eastAsia="楷体" w:cs="Times New Roman"/>
          <w:b w:val="0"/>
          <w:bCs w:val="0"/>
          <w:color w:val="000000" w:themeColor="text1"/>
          <w:spacing w:val="-4"/>
          <w:sz w:val="32"/>
          <w:szCs w:val="32"/>
        </w:rPr>
        <w:tab/>
      </w:r>
    </w:p>
    <w:p>
      <w:pPr>
        <w:spacing w:line="560" w:lineRule="exact"/>
        <w:ind w:firstLine="627" w:firstLineChars="200"/>
        <w:rPr>
          <w:rStyle w:val="11"/>
          <w:rFonts w:ascii="仿宋_GB2312" w:hAnsi="黑体" w:eastAsia="仿宋_GB2312" w:cs="Times New Roman"/>
          <w:bCs w:val="0"/>
          <w:color w:val="000000" w:themeColor="text1"/>
          <w:spacing w:val="-4"/>
          <w:sz w:val="32"/>
          <w:szCs w:val="32"/>
        </w:rPr>
      </w:pPr>
      <w:r>
        <w:rPr>
          <w:rStyle w:val="11"/>
          <w:rFonts w:hint="eastAsia" w:ascii="仿宋_GB2312" w:hAnsi="黑体" w:eastAsia="仿宋_GB2312" w:cs="Times New Roman"/>
          <w:bCs w:val="0"/>
          <w:color w:val="000000" w:themeColor="text1"/>
          <w:spacing w:val="-4"/>
          <w:sz w:val="32"/>
          <w:szCs w:val="32"/>
        </w:rPr>
        <w:t>1．前期准备</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1"/>
          <w:rFonts w:ascii="仿宋_GB2312" w:hAnsi="黑体" w:eastAsia="仿宋_GB2312" w:cs="Times New Roman"/>
          <w:bCs w:val="0"/>
          <w:color w:val="000000" w:themeColor="text1"/>
          <w:spacing w:val="-4"/>
          <w:sz w:val="32"/>
          <w:szCs w:val="32"/>
        </w:rPr>
      </w:pPr>
      <w:r>
        <w:rPr>
          <w:rStyle w:val="11"/>
          <w:rFonts w:hint="eastAsia" w:ascii="仿宋_GB2312" w:hAnsi="黑体" w:eastAsia="仿宋_GB2312" w:cs="Times New Roman"/>
          <w:bCs w:val="0"/>
          <w:color w:val="000000" w:themeColor="text1"/>
          <w:spacing w:val="-4"/>
          <w:sz w:val="32"/>
          <w:szCs w:val="32"/>
        </w:rPr>
        <w:t>2．组织实施</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pPr>
        <w:pStyle w:val="13"/>
        <w:numPr>
          <w:ilvl w:val="0"/>
          <w:numId w:val="1"/>
        </w:numPr>
        <w:spacing w:line="560" w:lineRule="exact"/>
        <w:ind w:firstLine="624"/>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专项管理情况分析</w:t>
      </w:r>
    </w:p>
    <w:p>
      <w:pPr>
        <w:spacing w:line="560" w:lineRule="exact"/>
        <w:ind w:firstLine="627" w:firstLineChars="200"/>
        <w:rPr>
          <w:rStyle w:val="11"/>
          <w:rFonts w:ascii="仿宋_GB2312" w:hAnsi="黑体" w:eastAsia="仿宋_GB2312" w:cs="Times New Roman"/>
          <w:bCs w:val="0"/>
          <w:spacing w:val="-4"/>
          <w:sz w:val="32"/>
          <w:szCs w:val="32"/>
        </w:rPr>
      </w:pPr>
      <w:r>
        <w:rPr>
          <w:rStyle w:val="11"/>
          <w:rFonts w:hint="eastAsia" w:ascii="仿宋_GB2312" w:hAnsi="黑体" w:eastAsia="仿宋_GB2312" w:cs="Times New Roman"/>
          <w:bCs w:val="0"/>
          <w:color w:val="000000" w:themeColor="text1"/>
          <w:spacing w:val="-4"/>
          <w:sz w:val="32"/>
          <w:szCs w:val="32"/>
        </w:rPr>
        <w:t>1．项目资金情况分析</w:t>
      </w:r>
    </w:p>
    <w:p>
      <w:pPr>
        <w:spacing w:line="560" w:lineRule="exact"/>
        <w:ind w:firstLine="624" w:firstLineChars="200"/>
        <w:rPr>
          <w:rStyle w:val="11"/>
          <w:rFonts w:ascii="仿宋_GB2312" w:hAnsi="黑体" w:eastAsia="仿宋_GB2312" w:cs="Times New Roman"/>
          <w:b w:val="0"/>
          <w:spacing w:val="-4"/>
          <w:sz w:val="32"/>
          <w:szCs w:val="32"/>
        </w:rPr>
      </w:pPr>
      <w:r>
        <w:rPr>
          <w:rStyle w:val="11"/>
          <w:rFonts w:hint="eastAsia" w:ascii="仿宋_GB2312" w:hAnsi="黑体" w:eastAsia="仿宋_GB2312" w:cs="Times New Roman"/>
          <w:b w:val="0"/>
          <w:color w:val="000000" w:themeColor="text1"/>
          <w:spacing w:val="-4"/>
          <w:sz w:val="32"/>
          <w:szCs w:val="32"/>
        </w:rPr>
        <w:t>本单位2020年共有项目</w:t>
      </w:r>
      <w:r>
        <w:rPr>
          <w:rStyle w:val="11"/>
          <w:rFonts w:hint="eastAsia" w:ascii="仿宋_GB2312" w:hAnsi="黑体" w:eastAsia="仿宋_GB2312" w:cs="Times New Roman"/>
          <w:b w:val="0"/>
          <w:spacing w:val="-4"/>
          <w:sz w:val="32"/>
          <w:szCs w:val="32"/>
        </w:rPr>
        <w:t>6个，项目总预算6906.44万元，资金到位6906.44万元，资金执行数6085.38万元，执行率88.11%；资金严格按照《财务管理制度》、《专项资金使用管理制度》、《内部控制管理制度》实行专款专用，在本年度审计和财政监督检查过程中没有发现资金违规使用情况。</w:t>
      </w:r>
    </w:p>
    <w:p>
      <w:pPr>
        <w:spacing w:line="560" w:lineRule="exact"/>
        <w:ind w:firstLine="627" w:firstLineChars="200"/>
        <w:rPr>
          <w:rStyle w:val="11"/>
          <w:rFonts w:ascii="仿宋_GB2312" w:hAnsi="黑体" w:eastAsia="仿宋_GB2312" w:cs="Times New Roman"/>
          <w:bCs w:val="0"/>
          <w:color w:val="000000" w:themeColor="text1"/>
          <w:spacing w:val="-4"/>
          <w:sz w:val="32"/>
          <w:szCs w:val="32"/>
        </w:rPr>
      </w:pPr>
      <w:r>
        <w:rPr>
          <w:rStyle w:val="11"/>
          <w:rFonts w:hint="eastAsia" w:ascii="仿宋_GB2312" w:hAnsi="黑体" w:eastAsia="仿宋_GB2312" w:cs="Times New Roman"/>
          <w:bCs w:val="0"/>
          <w:color w:val="000000" w:themeColor="text1"/>
          <w:spacing w:val="-4"/>
          <w:sz w:val="32"/>
          <w:szCs w:val="32"/>
        </w:rPr>
        <w:t>2．项目实施情况分析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（1）项目组织情况</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（2）项目管理情况</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（3）项目监管情况</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1"/>
          <w:rFonts w:ascii="仿宋_GB2312" w:hAnsi="黑体" w:eastAsia="仿宋_GB2312" w:cs="Times New Roman"/>
          <w:bCs w:val="0"/>
          <w:color w:val="000000" w:themeColor="text1"/>
          <w:spacing w:val="-4"/>
          <w:sz w:val="32"/>
          <w:szCs w:val="32"/>
        </w:rPr>
      </w:pPr>
      <w:r>
        <w:rPr>
          <w:rStyle w:val="11"/>
          <w:rFonts w:hint="eastAsia" w:ascii="仿宋_GB2312" w:hAnsi="黑体" w:eastAsia="仿宋_GB2312" w:cs="Times New Roman"/>
          <w:bCs w:val="0"/>
          <w:color w:val="000000" w:themeColor="text1"/>
          <w:spacing w:val="-4"/>
          <w:sz w:val="32"/>
          <w:szCs w:val="32"/>
        </w:rPr>
        <w:t>3．项目绩效情况分析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（1）项目成本控制及节约情况</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1"/>
          <w:rFonts w:ascii="仿宋_GB2312" w:hAnsi="黑体" w:eastAsia="仿宋_GB2312" w:cs="Times New Roman"/>
          <w:b w:val="0"/>
          <w:spacing w:val="-4"/>
          <w:sz w:val="32"/>
          <w:szCs w:val="32"/>
        </w:rPr>
      </w:pPr>
      <w:r>
        <w:rPr>
          <w:rStyle w:val="11"/>
          <w:rFonts w:hint="eastAsia" w:ascii="仿宋_GB2312" w:hAnsi="黑体" w:eastAsia="仿宋_GB2312" w:cs="Times New Roman"/>
          <w:b w:val="0"/>
          <w:color w:val="000000" w:themeColor="text1"/>
          <w:spacing w:val="-4"/>
          <w:sz w:val="32"/>
          <w:szCs w:val="32"/>
        </w:rPr>
        <w:t>成本节约：我单位6个项目成本均未超预算，预算执行率达88.11%。</w:t>
      </w:r>
      <w:r>
        <w:rPr>
          <w:rStyle w:val="11"/>
          <w:rFonts w:hint="eastAsia" w:ascii="仿宋_GB2312" w:hAnsi="黑体" w:eastAsia="仿宋_GB2312" w:cs="Times New Roman"/>
          <w:b w:val="0"/>
          <w:spacing w:val="-4"/>
          <w:sz w:val="32"/>
          <w:szCs w:val="32"/>
        </w:rPr>
        <w:t>医疗保险全民参保及医疗服务工作经费项目由于年底下达预算，项目未执行，故资金未支出，额度结转6万元。</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（2）项目效率性分析</w:t>
      </w:r>
    </w:p>
    <w:p>
      <w:pPr>
        <w:spacing w:line="560" w:lineRule="exact"/>
        <w:ind w:firstLine="624" w:firstLineChars="200"/>
        <w:rPr>
          <w:rStyle w:val="11"/>
          <w:rFonts w:ascii="仿宋_GB2312" w:hAnsi="黑体" w:eastAsia="仿宋_GB2312" w:cs="Times New Roman"/>
          <w:b w:val="0"/>
          <w:spacing w:val="-4"/>
          <w:sz w:val="32"/>
          <w:szCs w:val="32"/>
        </w:rPr>
      </w:pPr>
      <w:r>
        <w:rPr>
          <w:rStyle w:val="11"/>
          <w:rFonts w:hint="eastAsia" w:ascii="仿宋_GB2312" w:hAnsi="黑体" w:eastAsia="仿宋_GB2312" w:cs="Times New Roman"/>
          <w:b w:val="0"/>
          <w:color w:val="000000" w:themeColor="text1"/>
          <w:spacing w:val="-4"/>
          <w:sz w:val="32"/>
          <w:szCs w:val="32"/>
        </w:rPr>
        <w:t>实施进度：我单位共有6个项目，5个项目均在项目计划期间完成，项目按期完成及时率100%。</w:t>
      </w:r>
      <w:r>
        <w:rPr>
          <w:rStyle w:val="11"/>
          <w:rFonts w:hint="eastAsia" w:ascii="仿宋_GB2312" w:hAnsi="黑体" w:eastAsia="仿宋_GB2312" w:cs="Times New Roman"/>
          <w:b w:val="0"/>
          <w:spacing w:val="-4"/>
          <w:sz w:val="32"/>
          <w:szCs w:val="32"/>
        </w:rPr>
        <w:t>1个项目未完成，原因是医疗保险全民参保及医疗服务工作经费项目由于年底下达预算，项目未执行，故资金未支出。</w:t>
      </w:r>
    </w:p>
    <w:p>
      <w:pPr>
        <w:spacing w:line="560" w:lineRule="exact"/>
        <w:ind w:firstLine="624" w:firstLineChars="200"/>
        <w:rPr>
          <w:rStyle w:val="11"/>
          <w:rFonts w:ascii="仿宋_GB2312" w:hAnsi="黑体" w:eastAsia="仿宋_GB2312" w:cs="Times New Roman"/>
          <w:b w:val="0"/>
          <w:color w:val="000000" w:themeColor="text1"/>
          <w:spacing w:val="-4"/>
          <w:sz w:val="32"/>
          <w:szCs w:val="32"/>
        </w:rPr>
      </w:pPr>
      <w:r>
        <w:rPr>
          <w:rStyle w:val="11"/>
          <w:rFonts w:hint="eastAsia" w:ascii="仿宋_GB2312" w:hAnsi="黑体" w:eastAsia="仿宋_GB2312" w:cs="Times New Roman"/>
          <w:b w:val="0"/>
          <w:color w:val="000000" w:themeColor="text1"/>
          <w:spacing w:val="-4"/>
          <w:sz w:val="32"/>
          <w:szCs w:val="32"/>
        </w:rPr>
        <w:t>完成质量：我单位共有6个项目，5个项目均验收完成，验收合格率100%。1个项目未完成验收，原因</w:t>
      </w:r>
      <w:r>
        <w:rPr>
          <w:rStyle w:val="11"/>
          <w:rFonts w:hint="eastAsia" w:ascii="仿宋_GB2312" w:hAnsi="黑体" w:eastAsia="仿宋_GB2312" w:cs="Times New Roman"/>
          <w:b w:val="0"/>
          <w:spacing w:val="-4"/>
          <w:sz w:val="32"/>
          <w:szCs w:val="32"/>
        </w:rPr>
        <w:t>医疗保险全民参保及医疗服务工作经费项目由于年底下达预算，项目未执行，故资金未支出。</w:t>
      </w:r>
    </w:p>
    <w:p>
      <w:pPr>
        <w:numPr>
          <w:ilvl w:val="0"/>
          <w:numId w:val="2"/>
        </w:num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项目效益性分析</w:t>
      </w:r>
    </w:p>
    <w:p>
      <w:pPr>
        <w:spacing w:line="560" w:lineRule="exact"/>
        <w:ind w:firstLine="640" w:firstLineChars="200"/>
        <w:rPr>
          <w:rFonts w:ascii="仿宋_GB2312" w:hAnsi="方正楷体简体" w:eastAsia="仿宋_GB2312" w:cs="宋体"/>
          <w:color w:val="FF0000"/>
          <w:sz w:val="32"/>
          <w:szCs w:val="32"/>
        </w:rPr>
      </w:pPr>
      <w:r>
        <w:rPr>
          <w:rFonts w:hint="eastAsia" w:ascii="仿宋_GB2312" w:hAnsi="方正楷体简体" w:eastAsia="仿宋_GB2312" w:cs="宋体"/>
          <w:sz w:val="32"/>
          <w:szCs w:val="32"/>
        </w:rPr>
        <w:t>2020年度本单位实</w:t>
      </w:r>
      <w:r>
        <w:rPr>
          <w:rStyle w:val="11"/>
          <w:rFonts w:hint="eastAsia" w:ascii="仿宋_GB2312" w:hAnsi="黑体" w:eastAsia="仿宋_GB2312" w:cs="Times New Roman"/>
          <w:b w:val="0"/>
          <w:color w:val="000000" w:themeColor="text1"/>
          <w:spacing w:val="-4"/>
          <w:sz w:val="32"/>
          <w:szCs w:val="32"/>
        </w:rPr>
        <w:t>施5个项目，通过项目的实施带来的效益：通过业务费项目的实施，</w:t>
      </w:r>
      <w:r>
        <w:rPr>
          <w:rFonts w:hint="eastAsia" w:ascii="仿宋" w:hAnsi="仿宋" w:eastAsia="仿宋" w:cs="Times New Roman"/>
          <w:bCs/>
          <w:color w:val="000000" w:themeColor="text1"/>
          <w:sz w:val="32"/>
          <w:szCs w:val="32"/>
        </w:rPr>
        <w:t>确保了我局5个业务科室的正常运转，医保信息系统正常运行以及有效保障了医保局各项工作的顺利开展，确保了医疗机构监督检查覆盖率和医疗保险征缴率达到了100%，进一步提高了医疗保险业务的覆盖面，推进了我局长期持续为公众提供公共服务的能力，获得了受益群众的高度满意；</w:t>
      </w:r>
      <w:r>
        <w:rPr>
          <w:rFonts w:hint="eastAsia" w:ascii="仿宋_GB2312" w:hAnsi="方正楷体简体" w:eastAsia="仿宋_GB2312" w:cs="宋体"/>
          <w:sz w:val="32"/>
          <w:szCs w:val="32"/>
        </w:rPr>
        <w:t>通过***为民办实事工作经费项目资金的实施，解决了群众在生产生活中的实际困难，将党和政府的温暖通过工作队成员送到了各族群众的心坎上，夯实了基层组织访民情聚民心惠民生驻村工作，提升了辖区范围内各族群众的凝聚力，</w:t>
      </w:r>
      <w:r>
        <w:rPr>
          <w:rFonts w:hint="eastAsia" w:ascii="仿宋" w:hAnsi="仿宋" w:eastAsia="仿宋" w:cs="Times New Roman"/>
          <w:bCs/>
          <w:sz w:val="32"/>
          <w:szCs w:val="32"/>
        </w:rPr>
        <w:t>通过医疗救助补助资金项目实施切实极大地减轻了的解决困难群众的医疗负担，特别是重大疾病患者，保障了困难群众的基本医疗权益，提升了困难群众的幸福感；通过城乡居民基本医疗保险补助资金项目</w:t>
      </w:r>
      <w:r>
        <w:rPr>
          <w:rFonts w:hint="eastAsia" w:ascii="仿宋_GB2312" w:hAnsi="方正楷体简体" w:eastAsia="仿宋_GB2312" w:cs="宋体"/>
          <w:sz w:val="32"/>
          <w:szCs w:val="32"/>
        </w:rPr>
        <w:t>实施效果很好，截止到2020年9月30日，该项目资金补助参保人数318437人，共计支出301万元，减轻参保人员就医经济负担，确保了参保人员居民基本医疗保险政策落实，</w:t>
      </w:r>
      <w:r>
        <w:rPr>
          <w:rFonts w:ascii="仿宋_GB2312" w:hAnsi="方正楷体简体" w:eastAsia="仿宋_GB2312" w:cs="宋体"/>
          <w:sz w:val="32"/>
          <w:szCs w:val="32"/>
        </w:rPr>
        <w:t>实现</w:t>
      </w:r>
      <w:r>
        <w:rPr>
          <w:rFonts w:hint="eastAsia" w:ascii="仿宋_GB2312" w:hAnsi="方正楷体简体" w:eastAsia="仿宋_GB2312" w:cs="宋体"/>
          <w:sz w:val="32"/>
          <w:szCs w:val="32"/>
        </w:rPr>
        <w:t>了</w:t>
      </w:r>
      <w:r>
        <w:rPr>
          <w:rFonts w:ascii="仿宋_GB2312" w:hAnsi="方正楷体简体" w:eastAsia="仿宋_GB2312" w:cs="宋体"/>
          <w:sz w:val="32"/>
          <w:szCs w:val="32"/>
        </w:rPr>
        <w:t>制度深度融合，提高运行质量，增强保障功能。结合全民参保计划，巩固城乡居民医保覆盖面，确保稳定连续参保，实现应保尽保，避免重复参保</w:t>
      </w:r>
      <w:r>
        <w:rPr>
          <w:rFonts w:hint="eastAsia" w:ascii="仿宋_GB2312" w:hAnsi="方正楷体简体" w:eastAsia="仿宋_GB2312" w:cs="宋体"/>
          <w:sz w:val="32"/>
          <w:szCs w:val="32"/>
        </w:rPr>
        <w:t>。</w:t>
      </w:r>
    </w:p>
    <w:p>
      <w:pPr>
        <w:pStyle w:val="13"/>
        <w:spacing w:line="560" w:lineRule="exact"/>
        <w:ind w:firstLine="624"/>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四、资产管理情况</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（一）资产管理体制和制度建设方面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（二）运行机制和管理方式</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（三）信息化建设方面</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1"/>
          <w:rFonts w:ascii="楷体" w:hAnsi="楷体" w:eastAsia="楷体" w:cs="Times New Roman"/>
          <w:b w:val="0"/>
          <w:bCs w:val="0"/>
          <w:color w:val="000000" w:themeColor="text1"/>
          <w:spacing w:val="-4"/>
          <w:sz w:val="32"/>
          <w:szCs w:val="32"/>
        </w:rPr>
      </w:pPr>
      <w:r>
        <w:rPr>
          <w:rStyle w:val="11"/>
          <w:rFonts w:hint="eastAsia" w:ascii="楷体" w:hAnsi="楷体" w:eastAsia="楷体" w:cs="Times New Roman"/>
          <w:b w:val="0"/>
          <w:bCs w:val="0"/>
          <w:color w:val="000000" w:themeColor="text1"/>
          <w:spacing w:val="-4"/>
          <w:sz w:val="32"/>
          <w:szCs w:val="32"/>
        </w:rPr>
        <w:t>（四）流动资产的管理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流动资产严格按照我单位内控体系要求进行管理，无备用金，单位货币资金管理由财务科每月与银行进行对帐，并填写银行余额调节表。</w:t>
      </w:r>
    </w:p>
    <w:p>
      <w:pPr>
        <w:pStyle w:val="7"/>
        <w:widowControl/>
        <w:spacing w:before="0" w:beforeAutospacing="0" w:after="0" w:afterAutospacing="0" w:line="560" w:lineRule="exact"/>
        <w:ind w:firstLine="624" w:firstLineChars="200"/>
        <w:jc w:val="both"/>
        <w:rPr>
          <w:rStyle w:val="11"/>
          <w:rFonts w:ascii="楷体" w:hAnsi="楷体" w:eastAsia="楷体"/>
          <w:b w:val="0"/>
          <w:bCs w:val="0"/>
          <w:color w:val="000000" w:themeColor="text1"/>
          <w:spacing w:val="-4"/>
          <w:sz w:val="32"/>
          <w:szCs w:val="32"/>
        </w:rPr>
      </w:pPr>
      <w:r>
        <w:rPr>
          <w:rStyle w:val="11"/>
          <w:rFonts w:hint="eastAsia" w:ascii="楷体" w:hAnsi="楷体" w:eastAsia="楷体"/>
          <w:b w:val="0"/>
          <w:bCs w:val="0"/>
          <w:color w:val="000000" w:themeColor="text1"/>
          <w:spacing w:val="-4"/>
          <w:sz w:val="32"/>
          <w:szCs w:val="32"/>
        </w:rPr>
        <w:t>（五）固定资产的管理</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3"/>
        <w:spacing w:line="560" w:lineRule="exact"/>
        <w:ind w:firstLine="624"/>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五、单位整体支出绩效情况</w:t>
      </w:r>
    </w:p>
    <w:p>
      <w:pPr>
        <w:spacing w:line="560" w:lineRule="exact"/>
        <w:ind w:firstLine="640" w:firstLineChars="200"/>
        <w:rPr>
          <w:rFonts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单位整体支出共设置一级指标3个，二级指标7个，三级指标16个，其中已完成三级指标15个，指标完成率为93.75%。</w:t>
      </w:r>
    </w:p>
    <w:p>
      <w:pPr>
        <w:spacing w:line="560" w:lineRule="exact"/>
        <w:ind w:firstLine="627" w:firstLineChars="200"/>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1．产出指标完成情况分析</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（1）项目完成数量</w:t>
      </w:r>
    </w:p>
    <w:p>
      <w:pPr>
        <w:ind w:firstLine="640"/>
        <w:rPr>
          <w:rFonts w:ascii="仿宋" w:hAnsi="仿宋" w:eastAsia="仿宋"/>
          <w:sz w:val="32"/>
          <w:szCs w:val="32"/>
        </w:rPr>
      </w:pPr>
      <w:r>
        <w:rPr>
          <w:rFonts w:hint="eastAsia" w:ascii="仿宋" w:hAnsi="仿宋" w:eastAsia="仿宋"/>
          <w:sz w:val="32"/>
          <w:szCs w:val="32"/>
        </w:rPr>
        <w:t>保障单位干部职工工资正常发放人数，预期指标是**人，实际完成值**人，指标完成率是100%，达到预期目标。</w:t>
      </w:r>
    </w:p>
    <w:p>
      <w:pPr>
        <w:ind w:firstLine="640" w:firstLineChars="200"/>
        <w:rPr>
          <w:rFonts w:ascii="仿宋" w:hAnsi="仿宋" w:eastAsia="仿宋"/>
          <w:sz w:val="32"/>
          <w:szCs w:val="32"/>
        </w:rPr>
      </w:pPr>
      <w:r>
        <w:rPr>
          <w:rFonts w:hint="eastAsia" w:ascii="仿宋" w:hAnsi="仿宋" w:eastAsia="仿宋"/>
          <w:sz w:val="32"/>
          <w:szCs w:val="32"/>
        </w:rPr>
        <w:t>保障运转车辆数，预期指标是1辆，实际完成值是1辆，指标完成率是100%，达到预期指标。</w:t>
      </w:r>
    </w:p>
    <w:p>
      <w:pPr>
        <w:ind w:firstLine="640" w:firstLineChars="200"/>
        <w:rPr>
          <w:rFonts w:ascii="仿宋" w:hAnsi="仿宋" w:eastAsia="仿宋"/>
          <w:color w:val="000000" w:themeColor="text1"/>
          <w:sz w:val="32"/>
          <w:szCs w:val="32"/>
        </w:rPr>
      </w:pPr>
      <w:r>
        <w:rPr>
          <w:rFonts w:hint="eastAsia" w:ascii="仿宋" w:hAnsi="仿宋" w:eastAsia="仿宋"/>
          <w:sz w:val="32"/>
          <w:szCs w:val="32"/>
        </w:rPr>
        <w:t xml:space="preserve">  </w:t>
      </w:r>
      <w:r>
        <w:rPr>
          <w:rFonts w:hint="eastAsia" w:ascii="仿宋" w:hAnsi="仿宋" w:eastAsia="仿宋"/>
          <w:color w:val="000000" w:themeColor="text1"/>
          <w:sz w:val="32"/>
          <w:szCs w:val="32"/>
        </w:rPr>
        <w:t>保障部门预算项目数，预期指标是1个，实际完成值是1个，指标完成率是100%，达到预期目标。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数量指标共计3个，完成3个，达到预期目标，数量指标完成。</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（2）项目完成质量</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工资及社保等各项缴费保障发放准确率，预期指标是100%，实际完成值100%，指标完成率是100%，达到预期目标。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车辆正常运转率，预期指标是100%，实际完成值100%，指标完成率是100%，达到预期目标。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质量指标共计2个，完成2个，达到预期目标，质量指标完成。</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（3）项目实施进度</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工资及社保等各项缴费发放及时率，预期指标是95%，实际完成值是100%，指标完成率是100%，达到预期目标。</w:t>
      </w:r>
    </w:p>
    <w:p>
      <w:pPr>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项目完成时间，预期指标是2020年12月，实际完成值是100%，指标完成率是100%，达到预期目标。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项目完成及时率，预期指标是95%，实际完成值是100%，指标完成率是100%，达到预期目标。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时效指标共计3个，完成3个，达到预期目标，时效指标完成。</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（4）项目成本节约情况</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各项工资、福利、补助费用人均成本，预期指标是12.89万元/人，实际完成值12.89万元/人,指标完成率是100%，达到预期指标。</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 xml:space="preserve">对个人和家庭补助成本，预期指标是7.58万元，实际完成值是7.58万元，指标完成率是100%，达到预期指标。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正常运转支出成本，预期指标是9.50万元，实际完成值是1.43万元，指标完成率是15.05%，未达到预期指标。节约资金8.07万元。</w:t>
      </w:r>
    </w:p>
    <w:p>
      <w:pPr>
        <w:spacing w:line="560" w:lineRule="exact"/>
        <w:ind w:firstLine="640" w:firstLineChars="200"/>
      </w:pPr>
      <w:r>
        <w:rPr>
          <w:rFonts w:hint="eastAsia" w:ascii="仿宋_GB2312" w:hAnsi="仿宋" w:eastAsia="仿宋_GB2312"/>
          <w:sz w:val="32"/>
          <w:szCs w:val="32"/>
        </w:rPr>
        <w:t xml:space="preserve">预算项目成本，预期指标是17.80万元，实际完成值是17.80万元，指标完成率是100%，达到预期指标。             </w:t>
      </w:r>
    </w:p>
    <w:p>
      <w:pPr>
        <w:spacing w:line="560" w:lineRule="exact"/>
        <w:ind w:firstLine="640" w:firstLineChars="200"/>
        <w:rPr>
          <w:rFonts w:ascii="仿宋_GB2312" w:hAnsi="仿宋" w:eastAsia="仿宋_GB2312"/>
          <w:sz w:val="32"/>
          <w:szCs w:val="32"/>
        </w:rPr>
      </w:pPr>
      <w:r>
        <w:rPr>
          <w:rFonts w:hint="eastAsia" w:ascii="仿宋_GB2312" w:hAnsi="仿宋" w:eastAsia="仿宋_GB2312"/>
          <w:color w:val="000000" w:themeColor="text1"/>
          <w:sz w:val="32"/>
          <w:szCs w:val="32"/>
        </w:rPr>
        <w:t>成本指标共计4个，完成3个，未达到预期目标，</w:t>
      </w:r>
      <w:r>
        <w:rPr>
          <w:rFonts w:hint="eastAsia" w:ascii="仿宋_GB2312" w:hAnsi="仿宋" w:eastAsia="仿宋_GB2312"/>
          <w:sz w:val="32"/>
          <w:szCs w:val="32"/>
        </w:rPr>
        <w:t>成本指标未完成预期目标，节约8.07万元资金。</w:t>
      </w:r>
    </w:p>
    <w:p>
      <w:pPr>
        <w:spacing w:line="560" w:lineRule="exact"/>
        <w:ind w:firstLine="627" w:firstLineChars="200"/>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2．效益指标完成情况分析</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（1）项目实施的经济效益分析</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无。</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（2）项目实施的社会效益分析</w:t>
      </w:r>
    </w:p>
    <w:p>
      <w:pPr>
        <w:spacing w:line="560" w:lineRule="exac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保障单位正常运转，预期指标是有效保障，实际完成值是100%，指标完成率是100%，达到预期指标。</w:t>
      </w:r>
    </w:p>
    <w:p>
      <w:pPr>
        <w:spacing w:line="560" w:lineRule="exact"/>
        <w:ind w:firstLine="640" w:firstLineChars="200"/>
        <w:rPr>
          <w:rFonts w:ascii="仿宋_GB2312" w:eastAsia="仿宋_GB2312"/>
          <w:sz w:val="32"/>
          <w:szCs w:val="32"/>
        </w:rPr>
      </w:pPr>
      <w:r>
        <w:rPr>
          <w:rFonts w:hint="eastAsia" w:ascii="仿宋_GB2312" w:hAnsi="仿宋" w:eastAsia="仿宋_GB2312"/>
          <w:color w:val="000000" w:themeColor="text1"/>
          <w:sz w:val="32"/>
          <w:szCs w:val="32"/>
        </w:rPr>
        <w:t>社会效益指标共计1个，完成1个，达到预期目标，</w:t>
      </w:r>
      <w:r>
        <w:rPr>
          <w:rFonts w:hint="eastAsia" w:ascii="仿宋_GB2312" w:hAnsi="Times New Roman" w:eastAsia="仿宋_GB2312" w:cs="Times New Roman"/>
          <w:sz w:val="32"/>
          <w:szCs w:val="28"/>
        </w:rPr>
        <w:t>社会效益指标完成。</w:t>
      </w:r>
    </w:p>
    <w:p>
      <w:pPr>
        <w:spacing w:line="560" w:lineRule="exact"/>
        <w:ind w:firstLine="624" w:firstLineChars="200"/>
        <w:rPr>
          <w:rFonts w:ascii="仿宋_GB2312" w:hAnsi="楷体" w:eastAsia="仿宋_GB2312" w:cs="仿宋"/>
          <w:bCs/>
          <w:color w:val="000000" w:themeColor="text1"/>
          <w:spacing w:val="-4"/>
          <w:sz w:val="32"/>
          <w:szCs w:val="32"/>
        </w:rPr>
      </w:pPr>
      <w:r>
        <w:rPr>
          <w:rFonts w:hint="eastAsia" w:ascii="仿宋_GB2312" w:hAnsi="楷体" w:eastAsia="仿宋_GB2312" w:cs="仿宋"/>
          <w:color w:val="000000" w:themeColor="text1"/>
          <w:spacing w:val="-4"/>
          <w:sz w:val="32"/>
          <w:szCs w:val="32"/>
        </w:rPr>
        <w:t>（3）项目实施的生态效益分</w:t>
      </w:r>
      <w:r>
        <w:rPr>
          <w:rFonts w:hint="eastAsia" w:ascii="仿宋_GB2312" w:hAnsi="楷体" w:eastAsia="仿宋_GB2312" w:cs="仿宋"/>
          <w:bCs/>
          <w:color w:val="000000" w:themeColor="text1"/>
          <w:spacing w:val="-4"/>
          <w:sz w:val="32"/>
          <w:szCs w:val="32"/>
        </w:rPr>
        <w:t>析</w:t>
      </w:r>
    </w:p>
    <w:p>
      <w:pPr>
        <w:spacing w:line="560" w:lineRule="exact"/>
        <w:ind w:firstLine="608" w:firstLineChars="195"/>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无。</w:t>
      </w:r>
    </w:p>
    <w:p>
      <w:pPr>
        <w:spacing w:line="560" w:lineRule="exact"/>
        <w:ind w:firstLine="624" w:firstLineChars="200"/>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（4）项目实施的可持续影响分析</w:t>
      </w:r>
    </w:p>
    <w:p>
      <w:pPr>
        <w:spacing w:line="560" w:lineRule="exact"/>
        <w:ind w:firstLine="624" w:firstLineChars="200"/>
        <w:rPr>
          <w:rFonts w:ascii="仿宋_GB2312" w:hAnsi="仿宋" w:eastAsia="仿宋_GB2312" w:cs="仿宋"/>
          <w:color w:val="FF0000"/>
          <w:spacing w:val="-4"/>
          <w:sz w:val="32"/>
          <w:szCs w:val="32"/>
        </w:rPr>
      </w:pPr>
      <w:r>
        <w:rPr>
          <w:rFonts w:hint="eastAsia" w:ascii="仿宋_GB2312" w:hAnsi="仿宋" w:eastAsia="仿宋_GB2312" w:cs="仿宋"/>
          <w:color w:val="000000" w:themeColor="text1"/>
          <w:spacing w:val="-4"/>
          <w:sz w:val="32"/>
          <w:szCs w:val="32"/>
        </w:rPr>
        <w:t>持续为群众提供政府公共服务能力，预期指标是长期，实际完成值是100%，指标完成率是100%，达到预期目标。</w:t>
      </w:r>
    </w:p>
    <w:p>
      <w:pPr>
        <w:spacing w:line="560" w:lineRule="exact"/>
        <w:ind w:firstLine="624" w:firstLineChars="200"/>
        <w:rPr>
          <w:rFonts w:ascii="仿宋_GB2312" w:eastAsia="仿宋_GB2312"/>
          <w:sz w:val="32"/>
          <w:szCs w:val="32"/>
        </w:rPr>
      </w:pPr>
      <w:r>
        <w:rPr>
          <w:rFonts w:hint="eastAsia" w:ascii="仿宋_GB2312" w:hAnsi="仿宋" w:eastAsia="仿宋_GB2312" w:cs="仿宋"/>
          <w:color w:val="000000" w:themeColor="text1"/>
          <w:spacing w:val="-4"/>
          <w:sz w:val="32"/>
          <w:szCs w:val="32"/>
        </w:rPr>
        <w:t>可持续指标共计1个，完成1个，达到预期目标，</w:t>
      </w:r>
      <w:r>
        <w:rPr>
          <w:rFonts w:hint="eastAsia" w:ascii="仿宋_GB2312" w:hAnsi="Times New Roman" w:eastAsia="仿宋_GB2312" w:cs="Times New Roman"/>
          <w:sz w:val="32"/>
          <w:szCs w:val="32"/>
        </w:rPr>
        <w:t>可持续影响指标完成。</w:t>
      </w:r>
    </w:p>
    <w:p>
      <w:pPr>
        <w:spacing w:line="560" w:lineRule="exact"/>
        <w:ind w:firstLine="627" w:firstLineChars="200"/>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3．满意度指标完成情况分析</w:t>
      </w:r>
    </w:p>
    <w:p>
      <w:pPr>
        <w:spacing w:line="560" w:lineRule="exact"/>
        <w:ind w:firstLine="608" w:firstLineChars="195"/>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干部职工满意度，预期指标是95%，实际完成值是100%，指标完成率是100%，达到预期目标。</w:t>
      </w:r>
    </w:p>
    <w:p>
      <w:pPr>
        <w:spacing w:line="560" w:lineRule="exact"/>
        <w:ind w:firstLine="608" w:firstLineChars="195"/>
        <w:rPr>
          <w:rFonts w:ascii="仿宋_GB2312" w:hAnsi="仿宋" w:eastAsia="仿宋_GB2312" w:cs="仿宋"/>
          <w:spacing w:val="-4"/>
          <w:sz w:val="32"/>
          <w:szCs w:val="32"/>
        </w:rPr>
      </w:pPr>
      <w:r>
        <w:rPr>
          <w:rFonts w:hint="eastAsia" w:ascii="仿宋_GB2312" w:hAnsi="仿宋" w:eastAsia="仿宋_GB2312" w:cs="仿宋"/>
          <w:spacing w:val="-4"/>
          <w:sz w:val="32"/>
          <w:szCs w:val="32"/>
        </w:rPr>
        <w:t>受益群众满意度，预期指标是95%，实际完成值是100%，指标完成率是100%，达到预期目标。</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满意度指标共计2个，完成2个，达到预期目标，服务对象满意度指标完成。</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经济性评价：单位年度任务在预算资金额度内完成，并通过规范的招投标及严格的资金管理及项目管理及其他创新的管理措施实现了资金的节约。三公经费1.2万元</w:t>
      </w:r>
      <w:r>
        <w:rPr>
          <w:rFonts w:hint="eastAsia" w:ascii="仿宋_GB2312" w:hAnsi="仿宋" w:eastAsia="仿宋_GB2312" w:cs="仿宋"/>
          <w:spacing w:val="-4"/>
          <w:sz w:val="32"/>
          <w:szCs w:val="32"/>
        </w:rPr>
        <w:t>在</w:t>
      </w:r>
      <w:r>
        <w:rPr>
          <w:rFonts w:hint="eastAsia" w:ascii="仿宋_GB2312" w:hAnsi="仿宋" w:eastAsia="仿宋_GB2312" w:cs="仿宋"/>
          <w:color w:val="000000" w:themeColor="text1"/>
          <w:spacing w:val="-4"/>
          <w:sz w:val="32"/>
          <w:szCs w:val="32"/>
        </w:rPr>
        <w:t>预算范围内开支，开支范围较上年的变化增加1.20万元，没有节约，主要原因我单位是2019年涉改新成立的单位，单位没有汽车编制，为了更好做好职责范围内的医疗保险征缴扩面工作、医保及医疗救助政策宣传、医保基金监督检查工作，经市委领导批准，2020年特租赁公务用车一辆，公务用车全年运行维护费用合计1.2万元。</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效率性评价：各项工作计划是按预期计划按时完成，效益</w:t>
      </w:r>
      <w:r>
        <w:rPr>
          <w:rFonts w:hint="eastAsia" w:ascii="仿宋_GB2312" w:hAnsi="仿宋" w:eastAsia="仿宋_GB2312" w:cs="仿宋"/>
          <w:spacing w:val="-4"/>
          <w:sz w:val="32"/>
          <w:szCs w:val="32"/>
        </w:rPr>
        <w:t>按</w:t>
      </w:r>
      <w:r>
        <w:rPr>
          <w:rFonts w:hint="eastAsia" w:ascii="仿宋_GB2312" w:hAnsi="仿宋" w:eastAsia="仿宋_GB2312" w:cs="仿宋"/>
          <w:color w:val="000000" w:themeColor="text1"/>
          <w:spacing w:val="-4"/>
          <w:sz w:val="32"/>
          <w:szCs w:val="32"/>
        </w:rPr>
        <w:t>预期时间产生。</w:t>
      </w:r>
    </w:p>
    <w:p>
      <w:pPr>
        <w:spacing w:line="560" w:lineRule="exac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效益性评价：预期的经济效益、社会效益、可持续的影响产生，达到干部职工满意度95%，</w:t>
      </w:r>
      <w:r>
        <w:rPr>
          <w:rFonts w:hint="eastAsia" w:ascii="仿宋_GB2312" w:hAnsi="仿宋" w:eastAsia="仿宋_GB2312" w:cs="仿宋"/>
          <w:spacing w:val="-4"/>
          <w:sz w:val="32"/>
          <w:szCs w:val="32"/>
        </w:rPr>
        <w:t>受益群众满意度95%</w:t>
      </w:r>
      <w:r>
        <w:rPr>
          <w:rFonts w:hint="eastAsia" w:ascii="仿宋_GB2312" w:hAnsi="仿宋" w:eastAsia="仿宋_GB2312" w:cs="仿宋"/>
          <w:color w:val="000000" w:themeColor="text1"/>
          <w:spacing w:val="-4"/>
          <w:sz w:val="32"/>
          <w:szCs w:val="32"/>
        </w:rPr>
        <w:t>。</w:t>
      </w:r>
    </w:p>
    <w:p>
      <w:pPr>
        <w:spacing w:line="560" w:lineRule="exact"/>
        <w:ind w:firstLine="624" w:firstLineChars="200"/>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六、存在的主要问题</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(一)预算执行存在偏差</w:t>
      </w:r>
    </w:p>
    <w:p>
      <w:pPr>
        <w:spacing w:line="560" w:lineRule="exact"/>
        <w:ind w:firstLine="624" w:firstLineChars="200"/>
        <w:rPr>
          <w:rFonts w:ascii="仿宋_GB2312" w:hAnsi="仿宋" w:eastAsia="仿宋_GB2312" w:cs="仿宋"/>
          <w:spacing w:val="-4"/>
          <w:sz w:val="32"/>
          <w:szCs w:val="32"/>
        </w:rPr>
      </w:pPr>
      <w:r>
        <w:rPr>
          <w:rFonts w:ascii="仿宋_GB2312" w:hAnsi="仿宋" w:eastAsia="仿宋_GB2312" w:cs="仿宋"/>
          <w:spacing w:val="-4"/>
          <w:sz w:val="32"/>
          <w:szCs w:val="32"/>
        </w:rPr>
        <w:t>由于</w:t>
      </w:r>
      <w:r>
        <w:rPr>
          <w:rFonts w:hint="eastAsia" w:ascii="仿宋_GB2312" w:hAnsi="仿宋" w:eastAsia="仿宋_GB2312" w:cs="仿宋"/>
          <w:spacing w:val="-4"/>
          <w:sz w:val="32"/>
          <w:szCs w:val="32"/>
        </w:rPr>
        <w:t>个别专项资金</w:t>
      </w:r>
      <w:r>
        <w:rPr>
          <w:rFonts w:ascii="仿宋_GB2312" w:hAnsi="仿宋" w:eastAsia="仿宋_GB2312" w:cs="仿宋"/>
          <w:spacing w:val="-4"/>
          <w:sz w:val="32"/>
          <w:szCs w:val="32"/>
        </w:rPr>
        <w:t>指标到12月份才下达指示，预算</w:t>
      </w:r>
      <w:r>
        <w:rPr>
          <w:rFonts w:hint="eastAsia" w:ascii="仿宋_GB2312" w:hAnsi="仿宋" w:eastAsia="仿宋_GB2312" w:cs="仿宋"/>
          <w:spacing w:val="-4"/>
          <w:sz w:val="32"/>
          <w:szCs w:val="32"/>
        </w:rPr>
        <w:t>未及时</w:t>
      </w:r>
      <w:r>
        <w:rPr>
          <w:rFonts w:ascii="仿宋_GB2312" w:hAnsi="仿宋" w:eastAsia="仿宋_GB2312" w:cs="仿宋"/>
          <w:spacing w:val="-4"/>
          <w:sz w:val="32"/>
          <w:szCs w:val="32"/>
        </w:rPr>
        <w:t>执行。对个别项目资金使用方面预算不够细致，出现项目资金结金数额多的情况。</w:t>
      </w:r>
    </w:p>
    <w:p>
      <w:pPr>
        <w:spacing w:line="560" w:lineRule="exac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通过预算绩效管理，发现了工作中存在的不足，前期业务费项目因实施进度跟进不够，造成资金使用报账不及时，未按期支付，导致了资金滞缓，影响了项目的进度，造成了业务费项目资金执行率较低。</w:t>
      </w:r>
    </w:p>
    <w:p>
      <w:pPr>
        <w:spacing w:line="560" w:lineRule="exact"/>
        <w:ind w:firstLine="624" w:firstLineChars="2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目标设定科学性及评价存在难度</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对于目标设定需要分科室</w:t>
      </w:r>
      <w:r>
        <w:rPr>
          <w:rFonts w:hint="eastAsia" w:ascii="仿宋_GB2312" w:hAnsi="仿宋" w:eastAsia="仿宋_GB2312" w:cs="仿宋"/>
          <w:color w:val="000000" w:themeColor="text1"/>
          <w:spacing w:val="-4"/>
          <w:sz w:val="32"/>
          <w:szCs w:val="32"/>
        </w:rPr>
        <w:t>单位</w:t>
      </w:r>
      <w:r>
        <w:rPr>
          <w:rFonts w:ascii="仿宋_GB2312" w:hAnsi="仿宋" w:eastAsia="仿宋_GB2312" w:cs="仿宋"/>
          <w:color w:val="000000" w:themeColor="text1"/>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（四）固定资产管理水平有待提高</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固定资产台账未及时与账面资产金额对账且末与实物进行清点及及时清理处置报废资产导致资产台账与账面资产金额存在差异,固定资产管理继续加强中。</w:t>
      </w:r>
    </w:p>
    <w:p>
      <w:pPr>
        <w:pStyle w:val="13"/>
        <w:spacing w:line="560" w:lineRule="exact"/>
        <w:ind w:firstLine="624"/>
        <w:rPr>
          <w:rStyle w:val="11"/>
          <w:rFonts w:ascii="黑体" w:hAnsi="黑体" w:eastAsia="黑体" w:cs="Times New Roman"/>
          <w:b w:val="0"/>
          <w:color w:val="000000" w:themeColor="text1"/>
          <w:spacing w:val="-4"/>
          <w:sz w:val="32"/>
          <w:szCs w:val="32"/>
        </w:rPr>
      </w:pPr>
      <w:r>
        <w:rPr>
          <w:rStyle w:val="11"/>
          <w:rFonts w:hint="eastAsia" w:ascii="黑体" w:hAnsi="黑体" w:eastAsia="黑体" w:cs="Times New Roman"/>
          <w:b w:val="0"/>
          <w:color w:val="000000" w:themeColor="text1"/>
          <w:spacing w:val="-4"/>
          <w:sz w:val="32"/>
          <w:szCs w:val="32"/>
        </w:rPr>
        <w:t>七、改进措施和建议</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（一）</w:t>
      </w:r>
      <w:r>
        <w:rPr>
          <w:rFonts w:ascii="楷体" w:hAnsi="楷体" w:eastAsia="楷体" w:cs="仿宋"/>
          <w:color w:val="000000" w:themeColor="text1"/>
          <w:spacing w:val="-4"/>
          <w:sz w:val="32"/>
          <w:szCs w:val="32"/>
        </w:rPr>
        <w:t>加强新行政单位会计制度和新预算法学习培训</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规范账务处理</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加强新《预算法》、《行政单位会计制度》 、《会计法》 、《行政单位财务规则》等学习培训,规范</w:t>
      </w:r>
      <w:r>
        <w:rPr>
          <w:rFonts w:hint="eastAsia" w:ascii="楷体" w:hAnsi="楷体" w:eastAsia="楷体" w:cs="仿宋"/>
          <w:color w:val="000000" w:themeColor="text1"/>
          <w:spacing w:val="-4"/>
          <w:sz w:val="32"/>
          <w:szCs w:val="32"/>
        </w:rPr>
        <w:t>单位</w:t>
      </w:r>
      <w:r>
        <w:rPr>
          <w:rFonts w:ascii="楷体" w:hAnsi="楷体" w:eastAsia="楷体" w:cs="仿宋"/>
          <w:color w:val="000000" w:themeColor="text1"/>
          <w:spacing w:val="-4"/>
          <w:sz w:val="32"/>
          <w:szCs w:val="32"/>
        </w:rPr>
        <w:t>预算收支核算</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制定和完善基本支出、项目支出等各项支出标准,严格按项目和进度执行预算, 增强预算的约束力和严肃性</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落实预算执行分析,及时了解预算执行差异,合理调整、纠正预算执行偏差，切实提高</w:t>
      </w:r>
      <w:r>
        <w:rPr>
          <w:rFonts w:hint="eastAsia" w:ascii="楷体" w:hAnsi="楷体" w:eastAsia="楷体" w:cs="仿宋"/>
          <w:color w:val="000000" w:themeColor="text1"/>
          <w:spacing w:val="-4"/>
          <w:sz w:val="32"/>
          <w:szCs w:val="32"/>
        </w:rPr>
        <w:t>单位</w:t>
      </w:r>
      <w:r>
        <w:rPr>
          <w:rFonts w:ascii="楷体" w:hAnsi="楷体" w:eastAsia="楷体" w:cs="仿宋"/>
          <w:color w:val="000000" w:themeColor="text1"/>
          <w:spacing w:val="-4"/>
          <w:sz w:val="32"/>
          <w:szCs w:val="32"/>
        </w:rPr>
        <w:t>预算收支管理水平。尽可能地做到决算与预算相衔接。</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完善管理制度,进</w:t>
      </w:r>
      <w:r>
        <w:rPr>
          <w:rFonts w:hint="eastAsia" w:ascii="楷体" w:hAnsi="楷体" w:eastAsia="楷体" w:cs="仿宋"/>
          <w:color w:val="000000" w:themeColor="text1"/>
          <w:spacing w:val="-4"/>
          <w:sz w:val="32"/>
          <w:szCs w:val="32"/>
        </w:rPr>
        <w:t>一步</w:t>
      </w:r>
      <w:r>
        <w:rPr>
          <w:rFonts w:ascii="楷体" w:hAnsi="楷体" w:eastAsia="楷体" w:cs="仿宋"/>
          <w:color w:val="000000" w:themeColor="text1"/>
          <w:spacing w:val="-4"/>
          <w:sz w:val="32"/>
          <w:szCs w:val="32"/>
        </w:rPr>
        <w:t>加强资产管理</w:t>
      </w:r>
    </w:p>
    <w:p>
      <w:pPr>
        <w:pStyle w:val="7"/>
        <w:widowControl/>
        <w:spacing w:before="0" w:beforeAutospacing="0" w:after="0" w:afterAutospacing="0" w:line="560" w:lineRule="exact"/>
        <w:ind w:firstLine="624" w:firstLineChars="200"/>
        <w:jc w:val="both"/>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严格按照《固定资产管理办法》的规定加强固定资产管理,及时登记、更新台账，加强资产卡片管理,对各类实物资产进行全面盘点,确保账账、账实相符。</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（三）加强学习如何科学合理制定绩效目标及考核体系，充分发挥绩效工作效用</w:t>
      </w:r>
      <w:r>
        <w:rPr>
          <w:rFonts w:hint="eastAsia" w:ascii="楷体" w:hAnsi="楷体" w:eastAsia="楷体" w:cs="仿宋"/>
          <w:color w:val="000000" w:themeColor="text1"/>
          <w:spacing w:val="-4"/>
          <w:sz w:val="32"/>
          <w:szCs w:val="32"/>
        </w:rPr>
        <w:t>。</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（四）财务上，会计核算要更加详细，为本单位各项工作的开展、总结、评估提供有效数据资料支撑,为各项业务工作更好的开展提供帮助。</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（五）从源头上强化对专项资金预算管理</w:t>
      </w:r>
    </w:p>
    <w:p>
      <w:pPr>
        <w:pStyle w:val="7"/>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实行专项资金预算管理， 结合单位实际, 按轻重缓急统筹安排编制预算,提高预算编制科学性和合理性,优化资金结构。</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（六）按时间进度分解资金使用计划</w:t>
      </w:r>
    </w:p>
    <w:p>
      <w:pPr>
        <w:pStyle w:val="7"/>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专项资金的使用，要事前做计划，事中进行控制，事后总结提高。合理安排资金使用,充分体现资金投向的目标和效益。</w:t>
      </w:r>
    </w:p>
    <w:p>
      <w:pPr>
        <w:pStyle w:val="7"/>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（七）进一步提高绩效管理水平</w:t>
      </w:r>
    </w:p>
    <w:p>
      <w:pPr>
        <w:pStyle w:val="7"/>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000000" w:themeColor="text1"/>
          <w:spacing w:val="-4"/>
          <w:sz w:val="32"/>
          <w:szCs w:val="32"/>
        </w:rPr>
        <w:t>单位</w:t>
      </w:r>
      <w:r>
        <w:rPr>
          <w:rFonts w:ascii="仿宋_GB2312" w:hAnsi="楷体" w:eastAsia="仿宋_GB2312" w:cs="仿宋"/>
          <w:color w:val="000000" w:themeColor="text1"/>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0000000000000000000"/>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方正小标宋简体">
    <w:altName w:val="微软雅黑"/>
    <w:panose1 w:val="00000000000000000000"/>
    <w:charset w:val="86"/>
    <w:family w:val="script"/>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4DB701"/>
    <w:multiLevelType w:val="singleLevel"/>
    <w:tmpl w:val="814DB701"/>
    <w:lvl w:ilvl="0" w:tentative="0">
      <w:start w:val="3"/>
      <w:numFmt w:val="decimal"/>
      <w:suff w:val="nothing"/>
      <w:lvlText w:val="（%1）"/>
      <w:lvlJc w:val="left"/>
    </w:lvl>
  </w:abstractNum>
  <w:abstractNum w:abstractNumId="1">
    <w:nsid w:val="8E714EA0"/>
    <w:multiLevelType w:val="singleLevel"/>
    <w:tmpl w:val="8E714EA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930E8"/>
    <w:rsid w:val="00094B04"/>
    <w:rsid w:val="000F213A"/>
    <w:rsid w:val="00114469"/>
    <w:rsid w:val="001522BF"/>
    <w:rsid w:val="00160F3C"/>
    <w:rsid w:val="00161FE4"/>
    <w:rsid w:val="00195ECF"/>
    <w:rsid w:val="001B6FB6"/>
    <w:rsid w:val="001C3F9A"/>
    <w:rsid w:val="001D2D87"/>
    <w:rsid w:val="001F16BE"/>
    <w:rsid w:val="00201CF1"/>
    <w:rsid w:val="00222DB1"/>
    <w:rsid w:val="00285A2B"/>
    <w:rsid w:val="002B33B0"/>
    <w:rsid w:val="002C64D8"/>
    <w:rsid w:val="002F1909"/>
    <w:rsid w:val="003041A2"/>
    <w:rsid w:val="00334F2A"/>
    <w:rsid w:val="00351339"/>
    <w:rsid w:val="00357899"/>
    <w:rsid w:val="003627C2"/>
    <w:rsid w:val="0038074D"/>
    <w:rsid w:val="00386D39"/>
    <w:rsid w:val="003E6C3C"/>
    <w:rsid w:val="0040128E"/>
    <w:rsid w:val="00416ED7"/>
    <w:rsid w:val="004354C6"/>
    <w:rsid w:val="00480171"/>
    <w:rsid w:val="004A57C6"/>
    <w:rsid w:val="004E42D8"/>
    <w:rsid w:val="00503F5B"/>
    <w:rsid w:val="00523415"/>
    <w:rsid w:val="00531187"/>
    <w:rsid w:val="005459D8"/>
    <w:rsid w:val="00551905"/>
    <w:rsid w:val="00562D25"/>
    <w:rsid w:val="00575F6F"/>
    <w:rsid w:val="005A357B"/>
    <w:rsid w:val="005B5DDF"/>
    <w:rsid w:val="005C34A1"/>
    <w:rsid w:val="00640053"/>
    <w:rsid w:val="00655414"/>
    <w:rsid w:val="006621C7"/>
    <w:rsid w:val="00676430"/>
    <w:rsid w:val="00681470"/>
    <w:rsid w:val="006A06F4"/>
    <w:rsid w:val="006B155A"/>
    <w:rsid w:val="006F10B3"/>
    <w:rsid w:val="006F771C"/>
    <w:rsid w:val="00706F76"/>
    <w:rsid w:val="00716B70"/>
    <w:rsid w:val="00747F48"/>
    <w:rsid w:val="007B1454"/>
    <w:rsid w:val="00841C02"/>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83949"/>
    <w:rsid w:val="00A945AD"/>
    <w:rsid w:val="00AD23F6"/>
    <w:rsid w:val="00AD5912"/>
    <w:rsid w:val="00B022E4"/>
    <w:rsid w:val="00B039E5"/>
    <w:rsid w:val="00B25AE7"/>
    <w:rsid w:val="00B43522"/>
    <w:rsid w:val="00B74570"/>
    <w:rsid w:val="00B932F9"/>
    <w:rsid w:val="00BD3E7B"/>
    <w:rsid w:val="00BE39EF"/>
    <w:rsid w:val="00BE6315"/>
    <w:rsid w:val="00C268B3"/>
    <w:rsid w:val="00C347AA"/>
    <w:rsid w:val="00C40EAF"/>
    <w:rsid w:val="00C445FB"/>
    <w:rsid w:val="00C4558D"/>
    <w:rsid w:val="00C71999"/>
    <w:rsid w:val="00C740EA"/>
    <w:rsid w:val="00CA54F5"/>
    <w:rsid w:val="00CD5CE7"/>
    <w:rsid w:val="00CD5DAB"/>
    <w:rsid w:val="00CE186D"/>
    <w:rsid w:val="00CF196B"/>
    <w:rsid w:val="00CF34F0"/>
    <w:rsid w:val="00DA1586"/>
    <w:rsid w:val="00DC0678"/>
    <w:rsid w:val="00DD22AD"/>
    <w:rsid w:val="00DD318F"/>
    <w:rsid w:val="00E11E58"/>
    <w:rsid w:val="00E13362"/>
    <w:rsid w:val="00E544F3"/>
    <w:rsid w:val="00E56537"/>
    <w:rsid w:val="00E57229"/>
    <w:rsid w:val="00EE085E"/>
    <w:rsid w:val="00EE5C91"/>
    <w:rsid w:val="00EF3361"/>
    <w:rsid w:val="00F15416"/>
    <w:rsid w:val="00F15474"/>
    <w:rsid w:val="00F24CC9"/>
    <w:rsid w:val="00F40BA7"/>
    <w:rsid w:val="00F52551"/>
    <w:rsid w:val="00F859B3"/>
    <w:rsid w:val="00FA3BED"/>
    <w:rsid w:val="00FA5960"/>
    <w:rsid w:val="00FB5140"/>
    <w:rsid w:val="00FB522C"/>
    <w:rsid w:val="01D6600D"/>
    <w:rsid w:val="02675EB9"/>
    <w:rsid w:val="02C75A4D"/>
    <w:rsid w:val="0300752D"/>
    <w:rsid w:val="031372DF"/>
    <w:rsid w:val="041D0D9F"/>
    <w:rsid w:val="042311E9"/>
    <w:rsid w:val="058663A6"/>
    <w:rsid w:val="05DA09A2"/>
    <w:rsid w:val="06BD5869"/>
    <w:rsid w:val="070A644A"/>
    <w:rsid w:val="073F48C5"/>
    <w:rsid w:val="07561954"/>
    <w:rsid w:val="077D059C"/>
    <w:rsid w:val="07E3360A"/>
    <w:rsid w:val="085A7547"/>
    <w:rsid w:val="08B824E0"/>
    <w:rsid w:val="08E2707F"/>
    <w:rsid w:val="097807C5"/>
    <w:rsid w:val="0A531B8B"/>
    <w:rsid w:val="0AFA718E"/>
    <w:rsid w:val="0CD0338C"/>
    <w:rsid w:val="0D401EF4"/>
    <w:rsid w:val="0D9D0CCA"/>
    <w:rsid w:val="0E236272"/>
    <w:rsid w:val="0E5212DC"/>
    <w:rsid w:val="0E8971B1"/>
    <w:rsid w:val="0EA7218E"/>
    <w:rsid w:val="0F484CBE"/>
    <w:rsid w:val="0F7974F4"/>
    <w:rsid w:val="0FD52BDC"/>
    <w:rsid w:val="10BF7653"/>
    <w:rsid w:val="11970B0A"/>
    <w:rsid w:val="126509A8"/>
    <w:rsid w:val="12A47FE2"/>
    <w:rsid w:val="12AC71E2"/>
    <w:rsid w:val="12BB21B2"/>
    <w:rsid w:val="141C6243"/>
    <w:rsid w:val="14A55499"/>
    <w:rsid w:val="159C5F2A"/>
    <w:rsid w:val="15A27446"/>
    <w:rsid w:val="15BC7645"/>
    <w:rsid w:val="18070767"/>
    <w:rsid w:val="18867057"/>
    <w:rsid w:val="18F00FFE"/>
    <w:rsid w:val="191C1026"/>
    <w:rsid w:val="19E30783"/>
    <w:rsid w:val="1A3E3C5D"/>
    <w:rsid w:val="1A7D2E72"/>
    <w:rsid w:val="1ACC0302"/>
    <w:rsid w:val="1C684997"/>
    <w:rsid w:val="1CD53BB7"/>
    <w:rsid w:val="1CEA20C0"/>
    <w:rsid w:val="1CEF2574"/>
    <w:rsid w:val="1D151CB7"/>
    <w:rsid w:val="1D2935E3"/>
    <w:rsid w:val="1D7841A1"/>
    <w:rsid w:val="1E767E40"/>
    <w:rsid w:val="1F122267"/>
    <w:rsid w:val="1F816FB7"/>
    <w:rsid w:val="204F3608"/>
    <w:rsid w:val="205A40DC"/>
    <w:rsid w:val="207552D7"/>
    <w:rsid w:val="20DC3A64"/>
    <w:rsid w:val="2142646D"/>
    <w:rsid w:val="222062D7"/>
    <w:rsid w:val="227375DB"/>
    <w:rsid w:val="229D4552"/>
    <w:rsid w:val="24400D4A"/>
    <w:rsid w:val="24690548"/>
    <w:rsid w:val="24A40730"/>
    <w:rsid w:val="25A82D61"/>
    <w:rsid w:val="265518FD"/>
    <w:rsid w:val="26CF138D"/>
    <w:rsid w:val="28E35733"/>
    <w:rsid w:val="29F9207F"/>
    <w:rsid w:val="2A35459A"/>
    <w:rsid w:val="2A6A2553"/>
    <w:rsid w:val="2A9D4A27"/>
    <w:rsid w:val="2ABE3340"/>
    <w:rsid w:val="2B580AE6"/>
    <w:rsid w:val="2BCE1C94"/>
    <w:rsid w:val="2BD74A18"/>
    <w:rsid w:val="2CB709D3"/>
    <w:rsid w:val="2E5F16CA"/>
    <w:rsid w:val="2F187AB3"/>
    <w:rsid w:val="2F2E1EC8"/>
    <w:rsid w:val="2FFE1D0D"/>
    <w:rsid w:val="30524F11"/>
    <w:rsid w:val="30E07F90"/>
    <w:rsid w:val="30E35440"/>
    <w:rsid w:val="30E92DC7"/>
    <w:rsid w:val="31464C45"/>
    <w:rsid w:val="31B644D2"/>
    <w:rsid w:val="31FF0509"/>
    <w:rsid w:val="324D6670"/>
    <w:rsid w:val="325F23DB"/>
    <w:rsid w:val="32614A92"/>
    <w:rsid w:val="332211D4"/>
    <w:rsid w:val="33F929C9"/>
    <w:rsid w:val="3455214F"/>
    <w:rsid w:val="357E0022"/>
    <w:rsid w:val="36905DC8"/>
    <w:rsid w:val="37723945"/>
    <w:rsid w:val="385A2BD2"/>
    <w:rsid w:val="38AF2E47"/>
    <w:rsid w:val="38F0260F"/>
    <w:rsid w:val="39511C65"/>
    <w:rsid w:val="3A1C6DC2"/>
    <w:rsid w:val="3B5A1CD9"/>
    <w:rsid w:val="3B5D487A"/>
    <w:rsid w:val="3B793E5F"/>
    <w:rsid w:val="3CCA3DC7"/>
    <w:rsid w:val="3D2330AA"/>
    <w:rsid w:val="3D751E12"/>
    <w:rsid w:val="3D764E86"/>
    <w:rsid w:val="3DCB5563"/>
    <w:rsid w:val="3FA147AA"/>
    <w:rsid w:val="40A842E8"/>
    <w:rsid w:val="41E0176D"/>
    <w:rsid w:val="421A2EA4"/>
    <w:rsid w:val="42574205"/>
    <w:rsid w:val="430600B4"/>
    <w:rsid w:val="431A0729"/>
    <w:rsid w:val="43431D05"/>
    <w:rsid w:val="43E1269D"/>
    <w:rsid w:val="43F9798F"/>
    <w:rsid w:val="45143B23"/>
    <w:rsid w:val="46311FBB"/>
    <w:rsid w:val="46727437"/>
    <w:rsid w:val="4713439E"/>
    <w:rsid w:val="47A51B7B"/>
    <w:rsid w:val="4831303B"/>
    <w:rsid w:val="48C65A1F"/>
    <w:rsid w:val="493674C9"/>
    <w:rsid w:val="499B789C"/>
    <w:rsid w:val="4A802D03"/>
    <w:rsid w:val="4B6A6D30"/>
    <w:rsid w:val="4B913304"/>
    <w:rsid w:val="4D0A4180"/>
    <w:rsid w:val="4D335A73"/>
    <w:rsid w:val="4D457C38"/>
    <w:rsid w:val="4D902683"/>
    <w:rsid w:val="4E4A721D"/>
    <w:rsid w:val="4E8146DA"/>
    <w:rsid w:val="4ECD6109"/>
    <w:rsid w:val="4ED044CC"/>
    <w:rsid w:val="4ED32247"/>
    <w:rsid w:val="50B67B1A"/>
    <w:rsid w:val="51742D31"/>
    <w:rsid w:val="517E1B32"/>
    <w:rsid w:val="51E53481"/>
    <w:rsid w:val="5273592C"/>
    <w:rsid w:val="52F27255"/>
    <w:rsid w:val="536060B2"/>
    <w:rsid w:val="53B52DDD"/>
    <w:rsid w:val="542112C6"/>
    <w:rsid w:val="551664B4"/>
    <w:rsid w:val="555C287A"/>
    <w:rsid w:val="55D03A95"/>
    <w:rsid w:val="566013AF"/>
    <w:rsid w:val="567355B0"/>
    <w:rsid w:val="56BD7937"/>
    <w:rsid w:val="57820E85"/>
    <w:rsid w:val="57A86FF2"/>
    <w:rsid w:val="57C60759"/>
    <w:rsid w:val="580A585B"/>
    <w:rsid w:val="58512D83"/>
    <w:rsid w:val="599F2F96"/>
    <w:rsid w:val="5A43585B"/>
    <w:rsid w:val="5AD34643"/>
    <w:rsid w:val="5B177827"/>
    <w:rsid w:val="5BC2789B"/>
    <w:rsid w:val="5D6176A7"/>
    <w:rsid w:val="5E1920B9"/>
    <w:rsid w:val="5E2E005C"/>
    <w:rsid w:val="5E7E764B"/>
    <w:rsid w:val="5F792928"/>
    <w:rsid w:val="605A785D"/>
    <w:rsid w:val="60655241"/>
    <w:rsid w:val="607A0FC3"/>
    <w:rsid w:val="60AC1486"/>
    <w:rsid w:val="6101554B"/>
    <w:rsid w:val="616E0F8F"/>
    <w:rsid w:val="62946727"/>
    <w:rsid w:val="64664573"/>
    <w:rsid w:val="651B46DF"/>
    <w:rsid w:val="66540FAC"/>
    <w:rsid w:val="66A06519"/>
    <w:rsid w:val="66F64979"/>
    <w:rsid w:val="67234384"/>
    <w:rsid w:val="677D7458"/>
    <w:rsid w:val="67946125"/>
    <w:rsid w:val="67F924F0"/>
    <w:rsid w:val="68345C74"/>
    <w:rsid w:val="68370E5C"/>
    <w:rsid w:val="68481C80"/>
    <w:rsid w:val="68605728"/>
    <w:rsid w:val="6A703BAD"/>
    <w:rsid w:val="6A9F3835"/>
    <w:rsid w:val="6AD40F90"/>
    <w:rsid w:val="6B7707A8"/>
    <w:rsid w:val="6B9E1283"/>
    <w:rsid w:val="6BD20E43"/>
    <w:rsid w:val="6CFE621D"/>
    <w:rsid w:val="6DFA7EE3"/>
    <w:rsid w:val="6F9C4190"/>
    <w:rsid w:val="6FE15325"/>
    <w:rsid w:val="70201497"/>
    <w:rsid w:val="70332EA7"/>
    <w:rsid w:val="712F6F54"/>
    <w:rsid w:val="71BD263D"/>
    <w:rsid w:val="730F71FC"/>
    <w:rsid w:val="740515EA"/>
    <w:rsid w:val="7470276B"/>
    <w:rsid w:val="75877E9A"/>
    <w:rsid w:val="761B0F53"/>
    <w:rsid w:val="762D30D9"/>
    <w:rsid w:val="76401EFD"/>
    <w:rsid w:val="76F64D0B"/>
    <w:rsid w:val="77A61D47"/>
    <w:rsid w:val="77AC7421"/>
    <w:rsid w:val="7810477E"/>
    <w:rsid w:val="79690241"/>
    <w:rsid w:val="7997292B"/>
    <w:rsid w:val="79AD2D5A"/>
    <w:rsid w:val="7A766DB7"/>
    <w:rsid w:val="7AC06279"/>
    <w:rsid w:val="7AC62151"/>
    <w:rsid w:val="7B3941B3"/>
    <w:rsid w:val="7B822824"/>
    <w:rsid w:val="7BB93666"/>
    <w:rsid w:val="7D086F90"/>
    <w:rsid w:val="7DA01057"/>
    <w:rsid w:val="7DA22D07"/>
    <w:rsid w:val="7E717E16"/>
    <w:rsid w:val="7F685802"/>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rFonts w:cs="Times New Roman"/>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Strong"/>
    <w:basedOn w:val="10"/>
    <w:qFormat/>
    <w:uiPriority w:val="0"/>
    <w:rPr>
      <w:b/>
      <w:bCs/>
    </w:rPr>
  </w:style>
  <w:style w:type="character" w:styleId="12">
    <w:name w:val="annotation reference"/>
    <w:basedOn w:val="10"/>
    <w:semiHidden/>
    <w:unhideWhenUsed/>
    <w:qFormat/>
    <w:uiPriority w:val="99"/>
    <w:rPr>
      <w:sz w:val="21"/>
      <w:szCs w:val="21"/>
    </w:rPr>
  </w:style>
  <w:style w:type="paragraph" w:styleId="13">
    <w:name w:val="List Paragraph"/>
    <w:basedOn w:val="1"/>
    <w:qFormat/>
    <w:uiPriority w:val="99"/>
    <w:pPr>
      <w:ind w:firstLine="420" w:firstLineChars="200"/>
    </w:pPr>
  </w:style>
  <w:style w:type="character" w:customStyle="1" w:styleId="14">
    <w:name w:val="页眉 Char"/>
    <w:basedOn w:val="10"/>
    <w:link w:val="6"/>
    <w:qFormat/>
    <w:uiPriority w:val="0"/>
    <w:rPr>
      <w:rFonts w:asciiTheme="minorHAnsi" w:hAnsiTheme="minorHAnsi" w:eastAsiaTheme="minorEastAsia" w:cstheme="minorBidi"/>
      <w:kern w:val="2"/>
      <w:sz w:val="18"/>
      <w:szCs w:val="18"/>
    </w:rPr>
  </w:style>
  <w:style w:type="character" w:customStyle="1" w:styleId="15">
    <w:name w:val="页脚 Char"/>
    <w:basedOn w:val="10"/>
    <w:link w:val="5"/>
    <w:qFormat/>
    <w:uiPriority w:val="0"/>
    <w:rPr>
      <w:rFonts w:asciiTheme="minorHAnsi" w:hAnsiTheme="minorHAnsi" w:eastAsiaTheme="minorEastAsia" w:cstheme="minorBidi"/>
      <w:kern w:val="2"/>
      <w:sz w:val="18"/>
      <w:szCs w:val="18"/>
    </w:rPr>
  </w:style>
  <w:style w:type="paragraph" w:customStyle="1" w:styleId="16">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1592</Words>
  <Characters>9076</Characters>
  <Lines>75</Lines>
  <Paragraphs>21</Paragraphs>
  <TotalTime>23</TotalTime>
  <ScaleCrop>false</ScaleCrop>
  <LinksUpToDate>false</LinksUpToDate>
  <CharactersWithSpaces>10647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2021-09-16T11:04:41Z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KSOSaveFontToCloudKey">
    <vt:lpwstr>405071676_stopsync</vt:lpwstr>
  </property>
  <property fmtid="{D5CDD505-2E9C-101B-9397-08002B2CF9AE}" pid="4" name="ICV">
    <vt:lpwstr>B97F772AD34546D294CAEEC88B538755</vt:lpwstr>
  </property>
</Properties>
</file>