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498AA" w14:textId="77777777" w:rsidR="005A1A44" w:rsidRDefault="005A1A44">
      <w:pPr>
        <w:adjustRightInd w:val="0"/>
        <w:snapToGrid w:val="0"/>
        <w:ind w:firstLineChars="0" w:firstLine="0"/>
        <w:jc w:val="center"/>
        <w:rPr>
          <w:rFonts w:ascii="Times New Roman" w:eastAsia="宋体" w:hAnsi="Times New Roman" w:cs="Times New Roman"/>
          <w:b/>
          <w:sz w:val="48"/>
          <w:szCs w:val="48"/>
        </w:rPr>
      </w:pPr>
    </w:p>
    <w:p w14:paraId="01218D40" w14:textId="77777777" w:rsidR="005A1A44" w:rsidRDefault="005A1A44">
      <w:pPr>
        <w:adjustRightInd w:val="0"/>
        <w:snapToGrid w:val="0"/>
        <w:ind w:firstLineChars="0" w:firstLine="0"/>
        <w:jc w:val="center"/>
        <w:rPr>
          <w:rFonts w:ascii="Times New Roman" w:eastAsia="宋体" w:hAnsi="Times New Roman" w:cs="Times New Roman"/>
          <w:b/>
          <w:sz w:val="48"/>
          <w:szCs w:val="48"/>
        </w:rPr>
      </w:pPr>
    </w:p>
    <w:p w14:paraId="7F347B68" w14:textId="77777777" w:rsidR="005A1A44" w:rsidRDefault="0008059E">
      <w:pPr>
        <w:adjustRightInd w:val="0"/>
        <w:snapToGrid w:val="0"/>
        <w:ind w:firstLineChars="0" w:firstLine="0"/>
        <w:jc w:val="center"/>
        <w:rPr>
          <w:rFonts w:ascii="Times New Roman" w:eastAsia="宋体" w:hAnsi="Times New Roman" w:cs="Times New Roman"/>
          <w:b/>
          <w:sz w:val="48"/>
          <w:szCs w:val="48"/>
        </w:rPr>
      </w:pPr>
      <w:r>
        <w:rPr>
          <w:rFonts w:ascii="Times New Roman" w:eastAsia="宋体" w:hAnsi="Times New Roman" w:cs="Times New Roman" w:hint="eastAsia"/>
          <w:b/>
          <w:sz w:val="48"/>
          <w:szCs w:val="48"/>
        </w:rPr>
        <w:t>新疆健坤生态文旅有限公司玉龙喀什河河道治理及两岸生态修复项目</w:t>
      </w:r>
    </w:p>
    <w:p w14:paraId="1B6F369A" w14:textId="77777777" w:rsidR="005A1A44" w:rsidRDefault="005A1A44">
      <w:pPr>
        <w:ind w:firstLine="480"/>
      </w:pPr>
    </w:p>
    <w:p w14:paraId="148E6DAB" w14:textId="77777777" w:rsidR="005A1A44" w:rsidRDefault="0008059E">
      <w:pPr>
        <w:tabs>
          <w:tab w:val="left" w:pos="3990"/>
        </w:tabs>
        <w:ind w:firstLineChars="0" w:firstLine="0"/>
        <w:jc w:val="center"/>
        <w:rPr>
          <w:rFonts w:ascii="Times New Roman" w:eastAsia="宋体" w:hAnsi="Times New Roman" w:cs="Times New Roman"/>
          <w:b/>
          <w:sz w:val="84"/>
          <w:szCs w:val="84"/>
        </w:rPr>
      </w:pPr>
      <w:r>
        <w:rPr>
          <w:rFonts w:ascii="Times New Roman" w:eastAsia="宋体" w:hAnsi="Times New Roman" w:cs="Times New Roman" w:hint="eastAsia"/>
          <w:b/>
          <w:sz w:val="84"/>
          <w:szCs w:val="84"/>
        </w:rPr>
        <w:t>环境影响报告书</w:t>
      </w:r>
    </w:p>
    <w:p w14:paraId="3711E3AE" w14:textId="77777777" w:rsidR="005A1A44" w:rsidRDefault="005A1A44">
      <w:pPr>
        <w:ind w:firstLine="1687"/>
        <w:rPr>
          <w:rFonts w:ascii="Times New Roman" w:eastAsia="宋体" w:hAnsi="Times New Roman" w:cs="Times New Roman"/>
          <w:b/>
          <w:sz w:val="84"/>
          <w:szCs w:val="84"/>
        </w:rPr>
      </w:pPr>
    </w:p>
    <w:p w14:paraId="44586AA5" w14:textId="77777777" w:rsidR="005A1A44" w:rsidRDefault="005A1A44">
      <w:pPr>
        <w:pStyle w:val="Char"/>
        <w:ind w:firstLine="1687"/>
        <w:rPr>
          <w:rFonts w:ascii="Times New Roman" w:eastAsia="宋体" w:hAnsi="Times New Roman" w:cs="Times New Roman"/>
          <w:sz w:val="84"/>
          <w:szCs w:val="84"/>
        </w:rPr>
      </w:pPr>
    </w:p>
    <w:p w14:paraId="0F000D04" w14:textId="77777777" w:rsidR="005A1A44" w:rsidRDefault="005A1A44">
      <w:pPr>
        <w:pStyle w:val="Char"/>
        <w:ind w:firstLine="1687"/>
        <w:rPr>
          <w:rFonts w:ascii="Times New Roman" w:eastAsia="宋体" w:hAnsi="Times New Roman" w:cs="Times New Roman"/>
          <w:sz w:val="84"/>
          <w:szCs w:val="84"/>
        </w:rPr>
      </w:pPr>
    </w:p>
    <w:p w14:paraId="10001A76" w14:textId="77777777" w:rsidR="005A1A44" w:rsidRDefault="0008059E">
      <w:pPr>
        <w:pStyle w:val="Char"/>
        <w:ind w:firstLineChars="0" w:firstLine="0"/>
        <w:jc w:val="center"/>
        <w:rPr>
          <w:sz w:val="36"/>
          <w:szCs w:val="36"/>
        </w:rPr>
      </w:pPr>
      <w:r>
        <w:rPr>
          <w:rFonts w:hint="eastAsia"/>
          <w:sz w:val="36"/>
          <w:szCs w:val="36"/>
        </w:rPr>
        <w:t>新疆大域智汇环保咨询服务有限公司</w:t>
      </w:r>
    </w:p>
    <w:p w14:paraId="6F03E9B2" w14:textId="77777777" w:rsidR="005A1A44" w:rsidRDefault="0008059E">
      <w:pPr>
        <w:pStyle w:val="Char"/>
        <w:ind w:firstLineChars="0" w:firstLine="0"/>
        <w:jc w:val="center"/>
        <w:rPr>
          <w:sz w:val="36"/>
          <w:szCs w:val="36"/>
        </w:rPr>
        <w:sectPr w:rsidR="005A1A44">
          <w:headerReference w:type="even" r:id="rId8"/>
          <w:headerReference w:type="default" r:id="rId9"/>
          <w:footerReference w:type="even" r:id="rId10"/>
          <w:footerReference w:type="default" r:id="rId11"/>
          <w:headerReference w:type="first" r:id="rId12"/>
          <w:footerReference w:type="first" r:id="rId13"/>
          <w:pgSz w:w="12240" w:h="15840"/>
          <w:pgMar w:top="1440" w:right="1803" w:bottom="1440" w:left="1803" w:header="720" w:footer="720" w:gutter="0"/>
          <w:cols w:space="0"/>
          <w:docGrid w:linePitch="312"/>
        </w:sectPr>
      </w:pPr>
      <w:r>
        <w:rPr>
          <w:rFonts w:hint="eastAsia"/>
          <w:sz w:val="36"/>
          <w:szCs w:val="36"/>
        </w:rPr>
        <w:t>2019</w:t>
      </w:r>
      <w:r>
        <w:rPr>
          <w:rFonts w:hint="eastAsia"/>
          <w:sz w:val="36"/>
          <w:szCs w:val="36"/>
        </w:rPr>
        <w:t>年</w:t>
      </w:r>
      <w:r>
        <w:rPr>
          <w:rFonts w:hint="eastAsia"/>
          <w:sz w:val="36"/>
          <w:szCs w:val="36"/>
        </w:rPr>
        <w:t>5</w:t>
      </w:r>
      <w:r>
        <w:rPr>
          <w:rFonts w:hint="eastAsia"/>
          <w:sz w:val="36"/>
          <w:szCs w:val="36"/>
        </w:rPr>
        <w:t>月</w:t>
      </w:r>
    </w:p>
    <w:bookmarkStart w:id="0" w:name="_Toc13190_WPSOffice_Type2" w:displacedByCustomXml="next"/>
    <w:sdt>
      <w:sdtPr>
        <w:rPr>
          <w:rFonts w:ascii="宋体" w:eastAsia="宋体" w:hAnsi="宋体" w:cs="Times New Roman"/>
          <w:kern w:val="0"/>
          <w:sz w:val="21"/>
          <w:szCs w:val="20"/>
        </w:rPr>
        <w:id w:val="1619030601"/>
        <w:docPartObj>
          <w:docPartGallery w:val="Table of Contents"/>
          <w:docPartUnique/>
        </w:docPartObj>
      </w:sdtPr>
      <w:sdtEndPr>
        <w:rPr>
          <w:rFonts w:ascii="Times New Roman" w:hAnsi="Times New Roman"/>
        </w:rPr>
      </w:sdtEndPr>
      <w:sdtContent>
        <w:p w14:paraId="042940C9" w14:textId="77777777" w:rsidR="005A1A44" w:rsidRDefault="0008059E">
          <w:pPr>
            <w:spacing w:line="240" w:lineRule="auto"/>
            <w:ind w:firstLineChars="0" w:firstLine="0"/>
            <w:jc w:val="center"/>
          </w:pPr>
          <w:r>
            <w:rPr>
              <w:rFonts w:ascii="宋体" w:eastAsia="宋体" w:hAnsi="宋体"/>
              <w:sz w:val="21"/>
            </w:rPr>
            <w:t>目录</w:t>
          </w:r>
        </w:p>
        <w:p w14:paraId="3DA720E2" w14:textId="77777777" w:rsidR="005A1A44" w:rsidRDefault="005A1A44">
          <w:pPr>
            <w:pStyle w:val="WPSOffice1"/>
            <w:tabs>
              <w:tab w:val="right" w:leader="dot" w:pos="8634"/>
            </w:tabs>
            <w:spacing w:line="360" w:lineRule="auto"/>
            <w:rPr>
              <w:rFonts w:ascii="宋体" w:hAnsi="宋体" w:cs="宋体" w:hint="eastAsia"/>
              <w:sz w:val="24"/>
              <w:szCs w:val="24"/>
            </w:rPr>
          </w:pPr>
          <w:hyperlink w:anchor="_Toc22927_WPSOffice_Level1" w:history="1">
            <w:sdt>
              <w:sdtPr>
                <w:rPr>
                  <w:rFonts w:ascii="宋体" w:hAnsi="宋体" w:cs="宋体" w:hint="eastAsia"/>
                  <w:b/>
                  <w:bCs/>
                  <w:kern w:val="2"/>
                  <w:sz w:val="24"/>
                  <w:szCs w:val="24"/>
                </w:rPr>
                <w:id w:val="147451804"/>
                <w:placeholder>
                  <w:docPart w:val="{81d43d7d-185c-4a58-9018-253aabc6766e}"/>
                </w:placeholder>
              </w:sdtPr>
              <w:sdtContent>
                <w:r>
                  <w:rPr>
                    <w:rFonts w:ascii="宋体" w:hAnsi="宋体" w:cs="宋体" w:hint="eastAsia"/>
                    <w:b/>
                    <w:bCs/>
                    <w:sz w:val="24"/>
                    <w:szCs w:val="24"/>
                  </w:rPr>
                  <w:t>1 前言</w:t>
                </w:r>
              </w:sdtContent>
            </w:sdt>
            <w:r>
              <w:rPr>
                <w:rFonts w:ascii="宋体" w:hAnsi="宋体" w:cs="宋体" w:hint="eastAsia"/>
                <w:b/>
                <w:bCs/>
                <w:sz w:val="24"/>
                <w:szCs w:val="24"/>
              </w:rPr>
              <w:tab/>
            </w:r>
            <w:bookmarkStart w:id="1" w:name="_Toc22927_WPSOffice_Level1Page"/>
            <w:r>
              <w:rPr>
                <w:rFonts w:ascii="宋体" w:hAnsi="宋体" w:cs="宋体" w:hint="eastAsia"/>
                <w:b/>
                <w:bCs/>
                <w:sz w:val="24"/>
                <w:szCs w:val="24"/>
              </w:rPr>
              <w:t>1</w:t>
            </w:r>
            <w:bookmarkEnd w:id="1"/>
          </w:hyperlink>
        </w:p>
        <w:p w14:paraId="4FA54AFA"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3190_WPSOffice_Level2" w:history="1">
            <w:sdt>
              <w:sdtPr>
                <w:rPr>
                  <w:rFonts w:ascii="宋体" w:hAnsi="宋体" w:cs="宋体" w:hint="eastAsia"/>
                  <w:b/>
                  <w:kern w:val="2"/>
                  <w:sz w:val="24"/>
                  <w:szCs w:val="24"/>
                </w:rPr>
                <w:id w:val="-1107265917"/>
                <w:placeholder>
                  <w:docPart w:val="{3986b766-d04c-4b7c-bd0f-a1af59c9fe08}"/>
                </w:placeholder>
              </w:sdtPr>
              <w:sdtContent>
                <w:r>
                  <w:rPr>
                    <w:rFonts w:ascii="宋体" w:hAnsi="宋体" w:cs="宋体" w:hint="eastAsia"/>
                    <w:sz w:val="24"/>
                    <w:szCs w:val="24"/>
                  </w:rPr>
                  <w:t>1.1 环境影响评价的工作过程</w:t>
                </w:r>
              </w:sdtContent>
            </w:sdt>
            <w:r>
              <w:rPr>
                <w:rFonts w:ascii="宋体" w:hAnsi="宋体" w:cs="宋体" w:hint="eastAsia"/>
                <w:sz w:val="24"/>
                <w:szCs w:val="24"/>
              </w:rPr>
              <w:tab/>
            </w:r>
            <w:bookmarkStart w:id="2" w:name="_Toc13190_WPSOffice_Level2Page"/>
            <w:r>
              <w:rPr>
                <w:rFonts w:ascii="宋体" w:hAnsi="宋体" w:cs="宋体" w:hint="eastAsia"/>
                <w:sz w:val="24"/>
                <w:szCs w:val="24"/>
              </w:rPr>
              <w:t>1</w:t>
            </w:r>
            <w:bookmarkEnd w:id="2"/>
          </w:hyperlink>
        </w:p>
        <w:p w14:paraId="133A4099"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7598_WPSOffice_Level2" w:history="1">
            <w:sdt>
              <w:sdtPr>
                <w:rPr>
                  <w:rFonts w:ascii="宋体" w:hAnsi="宋体" w:cs="宋体" w:hint="eastAsia"/>
                  <w:b/>
                  <w:kern w:val="2"/>
                  <w:sz w:val="24"/>
                  <w:szCs w:val="24"/>
                </w:rPr>
                <w:id w:val="-328521417"/>
                <w:placeholder>
                  <w:docPart w:val="{7058412c-cec1-4967-a9a8-56c285dc31b5}"/>
                </w:placeholder>
              </w:sdtPr>
              <w:sdtContent>
                <w:r>
                  <w:rPr>
                    <w:rFonts w:ascii="宋体" w:hAnsi="宋体" w:cs="宋体" w:hint="eastAsia"/>
                    <w:sz w:val="24"/>
                    <w:szCs w:val="24"/>
                  </w:rPr>
                  <w:t>1.2 分析判定相关情况</w:t>
                </w:r>
              </w:sdtContent>
            </w:sdt>
            <w:r>
              <w:rPr>
                <w:rFonts w:ascii="宋体" w:hAnsi="宋体" w:cs="宋体" w:hint="eastAsia"/>
                <w:sz w:val="24"/>
                <w:szCs w:val="24"/>
              </w:rPr>
              <w:tab/>
            </w:r>
            <w:bookmarkStart w:id="3" w:name="_Toc27598_WPSOffice_Level2Page"/>
            <w:r>
              <w:rPr>
                <w:rFonts w:ascii="宋体" w:hAnsi="宋体" w:cs="宋体" w:hint="eastAsia"/>
                <w:sz w:val="24"/>
                <w:szCs w:val="24"/>
              </w:rPr>
              <w:t>1</w:t>
            </w:r>
            <w:bookmarkEnd w:id="3"/>
          </w:hyperlink>
        </w:p>
        <w:p w14:paraId="3CCCF703"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3729_WPSOffice_Level2" w:history="1">
            <w:sdt>
              <w:sdtPr>
                <w:rPr>
                  <w:rFonts w:ascii="宋体" w:hAnsi="宋体" w:cs="宋体" w:hint="eastAsia"/>
                  <w:b/>
                  <w:kern w:val="2"/>
                  <w:sz w:val="24"/>
                  <w:szCs w:val="24"/>
                </w:rPr>
                <w:id w:val="1784691753"/>
                <w:placeholder>
                  <w:docPart w:val="{555c3755-d2dd-4cfb-b71f-62a28c8ffc39}"/>
                </w:placeholder>
              </w:sdtPr>
              <w:sdtContent>
                <w:r>
                  <w:rPr>
                    <w:rFonts w:ascii="宋体" w:hAnsi="宋体" w:cs="宋体" w:hint="eastAsia"/>
                    <w:sz w:val="24"/>
                    <w:szCs w:val="24"/>
                  </w:rPr>
                  <w:t>1.3 环境影响评价技术路线</w:t>
                </w:r>
              </w:sdtContent>
            </w:sdt>
            <w:r>
              <w:rPr>
                <w:rFonts w:ascii="宋体" w:hAnsi="宋体" w:cs="宋体" w:hint="eastAsia"/>
                <w:sz w:val="24"/>
                <w:szCs w:val="24"/>
              </w:rPr>
              <w:tab/>
            </w:r>
            <w:bookmarkStart w:id="4" w:name="_Toc3729_WPSOffice_Level2Page"/>
            <w:r>
              <w:rPr>
                <w:rFonts w:ascii="宋体" w:hAnsi="宋体" w:cs="宋体" w:hint="eastAsia"/>
                <w:sz w:val="24"/>
                <w:szCs w:val="24"/>
              </w:rPr>
              <w:t>2</w:t>
            </w:r>
            <w:bookmarkEnd w:id="4"/>
          </w:hyperlink>
        </w:p>
        <w:p w14:paraId="1E2D083B"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1861_WPSOffice_Level2" w:history="1">
            <w:sdt>
              <w:sdtPr>
                <w:rPr>
                  <w:rFonts w:ascii="宋体" w:hAnsi="宋体" w:cs="宋体" w:hint="eastAsia"/>
                  <w:b/>
                  <w:kern w:val="2"/>
                  <w:sz w:val="24"/>
                  <w:szCs w:val="24"/>
                </w:rPr>
                <w:id w:val="1137845745"/>
                <w:placeholder>
                  <w:docPart w:val="{eb12392d-f516-42ff-9bd2-f9d12238d5d8}"/>
                </w:placeholder>
              </w:sdtPr>
              <w:sdtContent>
                <w:r>
                  <w:rPr>
                    <w:rFonts w:ascii="宋体" w:hAnsi="宋体" w:cs="宋体" w:hint="eastAsia"/>
                    <w:sz w:val="24"/>
                    <w:szCs w:val="24"/>
                  </w:rPr>
                  <w:t>1.4 关注的主要环境问题</w:t>
                </w:r>
              </w:sdtContent>
            </w:sdt>
            <w:r>
              <w:rPr>
                <w:rFonts w:ascii="宋体" w:hAnsi="宋体" w:cs="宋体" w:hint="eastAsia"/>
                <w:sz w:val="24"/>
                <w:szCs w:val="24"/>
              </w:rPr>
              <w:tab/>
            </w:r>
            <w:bookmarkStart w:id="5" w:name="_Toc21861_WPSOffice_Level2Page"/>
            <w:r>
              <w:rPr>
                <w:rFonts w:ascii="宋体" w:hAnsi="宋体" w:cs="宋体" w:hint="eastAsia"/>
                <w:sz w:val="24"/>
                <w:szCs w:val="24"/>
              </w:rPr>
              <w:t>4</w:t>
            </w:r>
            <w:bookmarkEnd w:id="5"/>
          </w:hyperlink>
        </w:p>
        <w:p w14:paraId="40A1869E"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32193_WPSOffice_Level2" w:history="1">
            <w:sdt>
              <w:sdtPr>
                <w:rPr>
                  <w:rFonts w:ascii="宋体" w:hAnsi="宋体" w:cs="宋体" w:hint="eastAsia"/>
                  <w:b/>
                  <w:kern w:val="2"/>
                  <w:sz w:val="24"/>
                  <w:szCs w:val="24"/>
                </w:rPr>
                <w:id w:val="-260920100"/>
                <w:placeholder>
                  <w:docPart w:val="{0908ca7e-45fc-4ffb-a531-bcd6310e5be7}"/>
                </w:placeholder>
              </w:sdtPr>
              <w:sdtContent>
                <w:r>
                  <w:rPr>
                    <w:rFonts w:ascii="宋体" w:hAnsi="宋体" w:cs="宋体" w:hint="eastAsia"/>
                    <w:sz w:val="24"/>
                    <w:szCs w:val="24"/>
                  </w:rPr>
                  <w:t>1.5 环境影响报告书的主要结论</w:t>
                </w:r>
              </w:sdtContent>
            </w:sdt>
            <w:r>
              <w:rPr>
                <w:rFonts w:ascii="宋体" w:hAnsi="宋体" w:cs="宋体" w:hint="eastAsia"/>
                <w:sz w:val="24"/>
                <w:szCs w:val="24"/>
              </w:rPr>
              <w:tab/>
            </w:r>
            <w:bookmarkStart w:id="6" w:name="_Toc32193_WPSOffice_Level2Page"/>
            <w:r>
              <w:rPr>
                <w:rFonts w:ascii="宋体" w:hAnsi="宋体" w:cs="宋体" w:hint="eastAsia"/>
                <w:sz w:val="24"/>
                <w:szCs w:val="24"/>
              </w:rPr>
              <w:t>4</w:t>
            </w:r>
            <w:bookmarkEnd w:id="6"/>
          </w:hyperlink>
        </w:p>
        <w:p w14:paraId="0FB6244F" w14:textId="77777777" w:rsidR="005A1A44" w:rsidRDefault="005A1A44">
          <w:pPr>
            <w:pStyle w:val="WPSOffice1"/>
            <w:tabs>
              <w:tab w:val="right" w:leader="dot" w:pos="8634"/>
            </w:tabs>
            <w:spacing w:line="360" w:lineRule="auto"/>
            <w:rPr>
              <w:rFonts w:ascii="宋体" w:hAnsi="宋体" w:cs="宋体" w:hint="eastAsia"/>
              <w:sz w:val="24"/>
              <w:szCs w:val="24"/>
            </w:rPr>
          </w:pPr>
          <w:hyperlink w:anchor="_Toc13190_WPSOffice_Level1" w:history="1">
            <w:sdt>
              <w:sdtPr>
                <w:rPr>
                  <w:rFonts w:ascii="宋体" w:hAnsi="宋体" w:cs="宋体" w:hint="eastAsia"/>
                  <w:b/>
                  <w:bCs/>
                  <w:kern w:val="2"/>
                  <w:sz w:val="24"/>
                  <w:szCs w:val="24"/>
                </w:rPr>
                <w:id w:val="-881169559"/>
                <w:placeholder>
                  <w:docPart w:val="{8cd39ddb-fe13-447a-a155-ca33af4595aa}"/>
                </w:placeholder>
              </w:sdtPr>
              <w:sdtContent>
                <w:r>
                  <w:rPr>
                    <w:rFonts w:ascii="宋体" w:hAnsi="宋体" w:cs="宋体" w:hint="eastAsia"/>
                    <w:b/>
                    <w:bCs/>
                    <w:sz w:val="24"/>
                    <w:szCs w:val="24"/>
                  </w:rPr>
                  <w:t>2 总则</w:t>
                </w:r>
              </w:sdtContent>
            </w:sdt>
            <w:r>
              <w:rPr>
                <w:rFonts w:ascii="宋体" w:hAnsi="宋体" w:cs="宋体" w:hint="eastAsia"/>
                <w:b/>
                <w:bCs/>
                <w:sz w:val="24"/>
                <w:szCs w:val="24"/>
              </w:rPr>
              <w:tab/>
            </w:r>
            <w:bookmarkStart w:id="7" w:name="_Toc13190_WPSOffice_Level1Page"/>
            <w:r>
              <w:rPr>
                <w:rFonts w:ascii="宋体" w:hAnsi="宋体" w:cs="宋体" w:hint="eastAsia"/>
                <w:b/>
                <w:bCs/>
                <w:sz w:val="24"/>
                <w:szCs w:val="24"/>
              </w:rPr>
              <w:t>6</w:t>
            </w:r>
            <w:bookmarkEnd w:id="7"/>
          </w:hyperlink>
        </w:p>
        <w:p w14:paraId="599B940F"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2178_WPSOffice_Level2" w:history="1">
            <w:sdt>
              <w:sdtPr>
                <w:rPr>
                  <w:rFonts w:ascii="宋体" w:hAnsi="宋体" w:cs="宋体" w:hint="eastAsia"/>
                  <w:b/>
                  <w:kern w:val="2"/>
                  <w:sz w:val="24"/>
                  <w:szCs w:val="24"/>
                </w:rPr>
                <w:id w:val="-312806202"/>
                <w:placeholder>
                  <w:docPart w:val="{e29eed1a-f00a-4f50-b1cc-baec2e7eedfe}"/>
                </w:placeholder>
              </w:sdtPr>
              <w:sdtContent>
                <w:r>
                  <w:rPr>
                    <w:rFonts w:ascii="宋体" w:hAnsi="宋体" w:cs="宋体" w:hint="eastAsia"/>
                    <w:sz w:val="24"/>
                    <w:szCs w:val="24"/>
                  </w:rPr>
                  <w:t>2.1 编制依据</w:t>
                </w:r>
              </w:sdtContent>
            </w:sdt>
            <w:r>
              <w:rPr>
                <w:rFonts w:ascii="宋体" w:hAnsi="宋体" w:cs="宋体" w:hint="eastAsia"/>
                <w:sz w:val="24"/>
                <w:szCs w:val="24"/>
              </w:rPr>
              <w:tab/>
            </w:r>
            <w:bookmarkStart w:id="8" w:name="_Toc12178_WPSOffice_Level2Page"/>
            <w:r>
              <w:rPr>
                <w:rFonts w:ascii="宋体" w:hAnsi="宋体" w:cs="宋体" w:hint="eastAsia"/>
                <w:sz w:val="24"/>
                <w:szCs w:val="24"/>
              </w:rPr>
              <w:t>6</w:t>
            </w:r>
            <w:bookmarkEnd w:id="8"/>
          </w:hyperlink>
        </w:p>
        <w:p w14:paraId="408BE77B"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9988_WPSOffice_Level2" w:history="1">
            <w:sdt>
              <w:sdtPr>
                <w:rPr>
                  <w:rFonts w:ascii="宋体" w:hAnsi="宋体" w:cs="宋体" w:hint="eastAsia"/>
                  <w:b/>
                  <w:kern w:val="2"/>
                  <w:sz w:val="24"/>
                  <w:szCs w:val="24"/>
                </w:rPr>
                <w:id w:val="-1180199250"/>
                <w:placeholder>
                  <w:docPart w:val="{9732fc75-d2d7-4f34-9629-9eae44121f4b}"/>
                </w:placeholder>
              </w:sdtPr>
              <w:sdtContent>
                <w:r>
                  <w:rPr>
                    <w:rFonts w:ascii="宋体" w:hAnsi="宋体" w:cs="宋体" w:hint="eastAsia"/>
                    <w:sz w:val="24"/>
                    <w:szCs w:val="24"/>
                  </w:rPr>
                  <w:t>2.2 评价目的与评价工作原则</w:t>
                </w:r>
              </w:sdtContent>
            </w:sdt>
            <w:r>
              <w:rPr>
                <w:rFonts w:ascii="宋体" w:hAnsi="宋体" w:cs="宋体" w:hint="eastAsia"/>
                <w:sz w:val="24"/>
                <w:szCs w:val="24"/>
              </w:rPr>
              <w:tab/>
            </w:r>
            <w:bookmarkStart w:id="9" w:name="_Toc29988_WPSOffice_Level2Page"/>
            <w:r>
              <w:rPr>
                <w:rFonts w:ascii="宋体" w:hAnsi="宋体" w:cs="宋体" w:hint="eastAsia"/>
                <w:sz w:val="24"/>
                <w:szCs w:val="24"/>
              </w:rPr>
              <w:t>10</w:t>
            </w:r>
            <w:bookmarkEnd w:id="9"/>
          </w:hyperlink>
        </w:p>
        <w:p w14:paraId="523C1FF7"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6460_WPSOffice_Level2" w:history="1">
            <w:sdt>
              <w:sdtPr>
                <w:rPr>
                  <w:rFonts w:ascii="宋体" w:hAnsi="宋体" w:cs="宋体" w:hint="eastAsia"/>
                  <w:b/>
                  <w:kern w:val="2"/>
                  <w:sz w:val="24"/>
                  <w:szCs w:val="24"/>
                </w:rPr>
                <w:id w:val="38412194"/>
                <w:placeholder>
                  <w:docPart w:val="{c8a51639-01dd-4e15-9fa6-3c4aecd99547}"/>
                </w:placeholder>
              </w:sdtPr>
              <w:sdtContent>
                <w:r>
                  <w:rPr>
                    <w:rFonts w:ascii="宋体" w:hAnsi="宋体" w:cs="宋体" w:hint="eastAsia"/>
                    <w:sz w:val="24"/>
                    <w:szCs w:val="24"/>
                  </w:rPr>
                  <w:t>2.3 环境功能区划</w:t>
                </w:r>
              </w:sdtContent>
            </w:sdt>
            <w:r>
              <w:rPr>
                <w:rFonts w:ascii="宋体" w:hAnsi="宋体" w:cs="宋体" w:hint="eastAsia"/>
                <w:sz w:val="24"/>
                <w:szCs w:val="24"/>
              </w:rPr>
              <w:tab/>
            </w:r>
            <w:bookmarkStart w:id="10" w:name="_Toc16460_WPSOffice_Level2Page"/>
            <w:r>
              <w:rPr>
                <w:rFonts w:ascii="宋体" w:hAnsi="宋体" w:cs="宋体" w:hint="eastAsia"/>
                <w:sz w:val="24"/>
                <w:szCs w:val="24"/>
              </w:rPr>
              <w:t>11</w:t>
            </w:r>
            <w:bookmarkEnd w:id="10"/>
          </w:hyperlink>
        </w:p>
        <w:p w14:paraId="67A32F1A"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7517_WPSOffice_Level2" w:history="1">
            <w:sdt>
              <w:sdtPr>
                <w:rPr>
                  <w:rFonts w:ascii="宋体" w:hAnsi="宋体" w:cs="宋体" w:hint="eastAsia"/>
                  <w:b/>
                  <w:kern w:val="2"/>
                  <w:sz w:val="24"/>
                  <w:szCs w:val="24"/>
                </w:rPr>
                <w:id w:val="-888259570"/>
                <w:placeholder>
                  <w:docPart w:val="{094eef9c-4b9c-4313-83b7-47605d0abe82}"/>
                </w:placeholder>
              </w:sdtPr>
              <w:sdtContent>
                <w:r>
                  <w:rPr>
                    <w:rFonts w:ascii="宋体" w:hAnsi="宋体" w:cs="宋体" w:hint="eastAsia"/>
                    <w:sz w:val="24"/>
                    <w:szCs w:val="24"/>
                  </w:rPr>
                  <w:t>2.4 环境影响识别与评价因子筛选</w:t>
                </w:r>
              </w:sdtContent>
            </w:sdt>
            <w:r>
              <w:rPr>
                <w:rFonts w:ascii="宋体" w:hAnsi="宋体" w:cs="宋体" w:hint="eastAsia"/>
                <w:sz w:val="24"/>
                <w:szCs w:val="24"/>
              </w:rPr>
              <w:tab/>
            </w:r>
            <w:bookmarkStart w:id="11" w:name="_Toc17517_WPSOffice_Level2Page"/>
            <w:r>
              <w:rPr>
                <w:rFonts w:ascii="宋体" w:hAnsi="宋体" w:cs="宋体" w:hint="eastAsia"/>
                <w:sz w:val="24"/>
                <w:szCs w:val="24"/>
              </w:rPr>
              <w:t>16</w:t>
            </w:r>
            <w:bookmarkEnd w:id="11"/>
          </w:hyperlink>
        </w:p>
        <w:p w14:paraId="7A52F99E"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7084_WPSOffice_Level2" w:history="1">
            <w:sdt>
              <w:sdtPr>
                <w:rPr>
                  <w:rFonts w:ascii="宋体" w:hAnsi="宋体" w:cs="宋体" w:hint="eastAsia"/>
                  <w:b/>
                  <w:kern w:val="2"/>
                  <w:sz w:val="24"/>
                  <w:szCs w:val="24"/>
                </w:rPr>
                <w:id w:val="921609116"/>
                <w:placeholder>
                  <w:docPart w:val="{d66c418a-9c05-4e04-a596-c608efae587f}"/>
                </w:placeholder>
              </w:sdtPr>
              <w:sdtContent>
                <w:r>
                  <w:rPr>
                    <w:rFonts w:ascii="宋体" w:hAnsi="宋体" w:cs="宋体" w:hint="eastAsia"/>
                    <w:sz w:val="24"/>
                    <w:szCs w:val="24"/>
                  </w:rPr>
                  <w:t>2.5 评价等级及评价范围</w:t>
                </w:r>
              </w:sdtContent>
            </w:sdt>
            <w:r>
              <w:rPr>
                <w:rFonts w:ascii="宋体" w:hAnsi="宋体" w:cs="宋体" w:hint="eastAsia"/>
                <w:sz w:val="24"/>
                <w:szCs w:val="24"/>
              </w:rPr>
              <w:tab/>
            </w:r>
            <w:bookmarkStart w:id="12" w:name="_Toc7084_WPSOffice_Level2Page"/>
            <w:r>
              <w:rPr>
                <w:rFonts w:ascii="宋体" w:hAnsi="宋体" w:cs="宋体" w:hint="eastAsia"/>
                <w:sz w:val="24"/>
                <w:szCs w:val="24"/>
              </w:rPr>
              <w:t>19</w:t>
            </w:r>
            <w:bookmarkEnd w:id="12"/>
          </w:hyperlink>
        </w:p>
        <w:p w14:paraId="5C3F284B"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8093_WPSOffice_Level2" w:history="1">
            <w:sdt>
              <w:sdtPr>
                <w:rPr>
                  <w:rFonts w:ascii="宋体" w:hAnsi="宋体" w:cs="宋体" w:hint="eastAsia"/>
                  <w:b/>
                  <w:kern w:val="2"/>
                  <w:sz w:val="24"/>
                  <w:szCs w:val="24"/>
                </w:rPr>
                <w:id w:val="-334151949"/>
                <w:placeholder>
                  <w:docPart w:val="{4a32ed3c-fc75-46d0-8db8-55f424a7a846}"/>
                </w:placeholder>
              </w:sdtPr>
              <w:sdtContent>
                <w:r>
                  <w:rPr>
                    <w:rFonts w:ascii="宋体" w:hAnsi="宋体" w:cs="宋体" w:hint="eastAsia"/>
                    <w:sz w:val="24"/>
                    <w:szCs w:val="24"/>
                  </w:rPr>
                  <w:t>2.6 环境保护目标</w:t>
                </w:r>
              </w:sdtContent>
            </w:sdt>
            <w:r>
              <w:rPr>
                <w:rFonts w:ascii="宋体" w:hAnsi="宋体" w:cs="宋体" w:hint="eastAsia"/>
                <w:sz w:val="24"/>
                <w:szCs w:val="24"/>
              </w:rPr>
              <w:tab/>
            </w:r>
            <w:bookmarkStart w:id="13" w:name="_Toc28093_WPSOffice_Level2Page"/>
            <w:r>
              <w:rPr>
                <w:rFonts w:ascii="宋体" w:hAnsi="宋体" w:cs="宋体" w:hint="eastAsia"/>
                <w:sz w:val="24"/>
                <w:szCs w:val="24"/>
              </w:rPr>
              <w:t>22</w:t>
            </w:r>
            <w:bookmarkEnd w:id="13"/>
          </w:hyperlink>
        </w:p>
        <w:p w14:paraId="7DF9B5DC" w14:textId="77777777" w:rsidR="005A1A44" w:rsidRDefault="005A1A44">
          <w:pPr>
            <w:pStyle w:val="WPSOffice1"/>
            <w:tabs>
              <w:tab w:val="right" w:leader="dot" w:pos="8634"/>
            </w:tabs>
            <w:spacing w:line="360" w:lineRule="auto"/>
            <w:rPr>
              <w:rFonts w:ascii="宋体" w:hAnsi="宋体" w:cs="宋体" w:hint="eastAsia"/>
              <w:sz w:val="24"/>
              <w:szCs w:val="24"/>
            </w:rPr>
          </w:pPr>
          <w:hyperlink w:anchor="_Toc27598_WPSOffice_Level1" w:history="1">
            <w:sdt>
              <w:sdtPr>
                <w:rPr>
                  <w:rFonts w:ascii="宋体" w:hAnsi="宋体" w:cs="宋体" w:hint="eastAsia"/>
                  <w:b/>
                  <w:bCs/>
                  <w:kern w:val="2"/>
                  <w:sz w:val="24"/>
                  <w:szCs w:val="24"/>
                </w:rPr>
                <w:id w:val="1424845284"/>
                <w:placeholder>
                  <w:docPart w:val="{7213f473-152a-444d-a664-572d47a95d48}"/>
                </w:placeholder>
              </w:sdtPr>
              <w:sdtContent>
                <w:r>
                  <w:rPr>
                    <w:rFonts w:ascii="宋体" w:hAnsi="宋体" w:cs="宋体" w:hint="eastAsia"/>
                    <w:b/>
                    <w:bCs/>
                    <w:sz w:val="24"/>
                    <w:szCs w:val="24"/>
                  </w:rPr>
                  <w:t>3 工程概况与工程分析</w:t>
                </w:r>
              </w:sdtContent>
            </w:sdt>
            <w:r>
              <w:rPr>
                <w:rFonts w:ascii="宋体" w:hAnsi="宋体" w:cs="宋体" w:hint="eastAsia"/>
                <w:b/>
                <w:bCs/>
                <w:sz w:val="24"/>
                <w:szCs w:val="24"/>
              </w:rPr>
              <w:tab/>
            </w:r>
            <w:bookmarkStart w:id="14" w:name="_Toc27598_WPSOffice_Level1Page"/>
            <w:r>
              <w:rPr>
                <w:rFonts w:ascii="宋体" w:hAnsi="宋体" w:cs="宋体" w:hint="eastAsia"/>
                <w:b/>
                <w:bCs/>
                <w:sz w:val="24"/>
                <w:szCs w:val="24"/>
              </w:rPr>
              <w:t>26</w:t>
            </w:r>
            <w:bookmarkEnd w:id="14"/>
          </w:hyperlink>
        </w:p>
        <w:p w14:paraId="6FC2B959"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0258_WPSOffice_Level2" w:history="1">
            <w:sdt>
              <w:sdtPr>
                <w:rPr>
                  <w:rFonts w:ascii="宋体" w:hAnsi="宋体" w:cs="宋体" w:hint="eastAsia"/>
                  <w:b/>
                  <w:kern w:val="2"/>
                  <w:sz w:val="24"/>
                  <w:szCs w:val="24"/>
                </w:rPr>
                <w:id w:val="-1211501179"/>
                <w:placeholder>
                  <w:docPart w:val="{8c5a5df5-5a2e-4359-a874-8f6224d92276}"/>
                </w:placeholder>
              </w:sdtPr>
              <w:sdtContent>
                <w:r>
                  <w:rPr>
                    <w:rFonts w:ascii="宋体" w:hAnsi="宋体" w:cs="宋体" w:hint="eastAsia"/>
                    <w:sz w:val="24"/>
                    <w:szCs w:val="24"/>
                  </w:rPr>
                  <w:t>3.1 项目地理位置</w:t>
                </w:r>
              </w:sdtContent>
            </w:sdt>
            <w:r>
              <w:rPr>
                <w:rFonts w:ascii="宋体" w:hAnsi="宋体" w:cs="宋体" w:hint="eastAsia"/>
                <w:sz w:val="24"/>
                <w:szCs w:val="24"/>
              </w:rPr>
              <w:tab/>
            </w:r>
            <w:bookmarkStart w:id="15" w:name="_Toc10258_WPSOffice_Level2Page"/>
            <w:r>
              <w:rPr>
                <w:rFonts w:ascii="宋体" w:hAnsi="宋体" w:cs="宋体" w:hint="eastAsia"/>
                <w:sz w:val="24"/>
                <w:szCs w:val="24"/>
              </w:rPr>
              <w:t>26</w:t>
            </w:r>
            <w:bookmarkEnd w:id="15"/>
          </w:hyperlink>
        </w:p>
        <w:p w14:paraId="1C4D7210"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32682_WPSOffice_Level2" w:history="1">
            <w:sdt>
              <w:sdtPr>
                <w:rPr>
                  <w:rFonts w:ascii="宋体" w:hAnsi="宋体" w:cs="宋体" w:hint="eastAsia"/>
                  <w:b/>
                  <w:kern w:val="2"/>
                  <w:sz w:val="24"/>
                  <w:szCs w:val="24"/>
                </w:rPr>
                <w:id w:val="1377431686"/>
                <w:placeholder>
                  <w:docPart w:val="{5781a864-e9c9-4ff5-885a-3398b957fa85}"/>
                </w:placeholder>
              </w:sdtPr>
              <w:sdtContent>
                <w:r>
                  <w:rPr>
                    <w:rFonts w:ascii="宋体" w:hAnsi="宋体" w:cs="宋体" w:hint="eastAsia"/>
                    <w:sz w:val="24"/>
                    <w:szCs w:val="24"/>
                  </w:rPr>
                  <w:t>3.2 玉龙喀什河和田市段现状及存在的主要问题</w:t>
                </w:r>
              </w:sdtContent>
            </w:sdt>
            <w:r>
              <w:rPr>
                <w:rFonts w:ascii="宋体" w:hAnsi="宋体" w:cs="宋体" w:hint="eastAsia"/>
                <w:sz w:val="24"/>
                <w:szCs w:val="24"/>
              </w:rPr>
              <w:tab/>
            </w:r>
            <w:bookmarkStart w:id="16" w:name="_Toc32682_WPSOffice_Level2Page"/>
            <w:r>
              <w:rPr>
                <w:rFonts w:ascii="宋体" w:hAnsi="宋体" w:cs="宋体" w:hint="eastAsia"/>
                <w:sz w:val="24"/>
                <w:szCs w:val="24"/>
              </w:rPr>
              <w:t>26</w:t>
            </w:r>
            <w:bookmarkEnd w:id="16"/>
          </w:hyperlink>
        </w:p>
        <w:p w14:paraId="621D847C"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3693_WPSOffice_Level2" w:history="1">
            <w:sdt>
              <w:sdtPr>
                <w:rPr>
                  <w:rFonts w:ascii="宋体" w:hAnsi="宋体" w:cs="宋体" w:hint="eastAsia"/>
                  <w:b/>
                  <w:kern w:val="2"/>
                  <w:sz w:val="24"/>
                  <w:szCs w:val="24"/>
                </w:rPr>
                <w:id w:val="-1545201758"/>
                <w:placeholder>
                  <w:docPart w:val="{2cb90962-49a4-406a-870e-7ca892ed2ea9}"/>
                </w:placeholder>
              </w:sdtPr>
              <w:sdtContent>
                <w:r>
                  <w:rPr>
                    <w:rFonts w:ascii="宋体" w:hAnsi="宋体" w:cs="宋体" w:hint="eastAsia"/>
                    <w:sz w:val="24"/>
                    <w:szCs w:val="24"/>
                  </w:rPr>
                  <w:t>3.3 项目基本情况</w:t>
                </w:r>
              </w:sdtContent>
            </w:sdt>
            <w:r>
              <w:rPr>
                <w:rFonts w:ascii="宋体" w:hAnsi="宋体" w:cs="宋体" w:hint="eastAsia"/>
                <w:sz w:val="24"/>
                <w:szCs w:val="24"/>
              </w:rPr>
              <w:tab/>
            </w:r>
            <w:bookmarkStart w:id="17" w:name="_Toc23693_WPSOffice_Level2Page"/>
            <w:r>
              <w:rPr>
                <w:rFonts w:ascii="宋体" w:hAnsi="宋体" w:cs="宋体" w:hint="eastAsia"/>
                <w:sz w:val="24"/>
                <w:szCs w:val="24"/>
              </w:rPr>
              <w:t>28</w:t>
            </w:r>
            <w:bookmarkEnd w:id="17"/>
          </w:hyperlink>
        </w:p>
        <w:p w14:paraId="21707D7D"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9842_WPSOffice_Level2" w:history="1">
            <w:sdt>
              <w:sdtPr>
                <w:rPr>
                  <w:rFonts w:ascii="宋体" w:hAnsi="宋体" w:cs="宋体" w:hint="eastAsia"/>
                  <w:b/>
                  <w:kern w:val="2"/>
                  <w:sz w:val="24"/>
                  <w:szCs w:val="24"/>
                </w:rPr>
                <w:id w:val="-442310003"/>
                <w:placeholder>
                  <w:docPart w:val="{99de5723-b5f1-4e26-a691-37de9ae544d2}"/>
                </w:placeholder>
              </w:sdtPr>
              <w:sdtContent>
                <w:r>
                  <w:rPr>
                    <w:rFonts w:ascii="宋体" w:hAnsi="宋体" w:cs="宋体" w:hint="eastAsia"/>
                    <w:sz w:val="24"/>
                    <w:szCs w:val="24"/>
                  </w:rPr>
                  <w:t>3.4 项目组成及工程内容</w:t>
                </w:r>
              </w:sdtContent>
            </w:sdt>
            <w:r>
              <w:rPr>
                <w:rFonts w:ascii="宋体" w:hAnsi="宋体" w:cs="宋体" w:hint="eastAsia"/>
                <w:sz w:val="24"/>
                <w:szCs w:val="24"/>
              </w:rPr>
              <w:tab/>
            </w:r>
            <w:bookmarkStart w:id="18" w:name="_Toc29842_WPSOffice_Level2Page"/>
            <w:r>
              <w:rPr>
                <w:rFonts w:ascii="宋体" w:hAnsi="宋体" w:cs="宋体" w:hint="eastAsia"/>
                <w:sz w:val="24"/>
                <w:szCs w:val="24"/>
              </w:rPr>
              <w:t>29</w:t>
            </w:r>
            <w:bookmarkEnd w:id="18"/>
          </w:hyperlink>
        </w:p>
        <w:p w14:paraId="738AE239"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1347_WPSOffice_Level2" w:history="1">
            <w:sdt>
              <w:sdtPr>
                <w:rPr>
                  <w:rFonts w:ascii="宋体" w:hAnsi="宋体" w:cs="宋体" w:hint="eastAsia"/>
                  <w:b/>
                  <w:kern w:val="2"/>
                  <w:sz w:val="24"/>
                  <w:szCs w:val="24"/>
                </w:rPr>
                <w:id w:val="-1316641867"/>
                <w:placeholder>
                  <w:docPart w:val="{2d6d49f7-f46f-414a-ba84-927a1a6e7cc8}"/>
                </w:placeholder>
              </w:sdtPr>
              <w:sdtContent>
                <w:r>
                  <w:rPr>
                    <w:rFonts w:ascii="宋体" w:hAnsi="宋体" w:cs="宋体" w:hint="eastAsia"/>
                    <w:sz w:val="24"/>
                    <w:szCs w:val="24"/>
                  </w:rPr>
                  <w:t>3.5 工程分析</w:t>
                </w:r>
              </w:sdtContent>
            </w:sdt>
            <w:r>
              <w:rPr>
                <w:rFonts w:ascii="宋体" w:hAnsi="宋体" w:cs="宋体" w:hint="eastAsia"/>
                <w:sz w:val="24"/>
                <w:szCs w:val="24"/>
              </w:rPr>
              <w:tab/>
            </w:r>
            <w:bookmarkStart w:id="19" w:name="_Toc21347_WPSOffice_Level2Page"/>
            <w:r>
              <w:rPr>
                <w:rFonts w:ascii="宋体" w:hAnsi="宋体" w:cs="宋体" w:hint="eastAsia"/>
                <w:sz w:val="24"/>
                <w:szCs w:val="24"/>
              </w:rPr>
              <w:t>53</w:t>
            </w:r>
            <w:bookmarkEnd w:id="19"/>
          </w:hyperlink>
        </w:p>
        <w:p w14:paraId="32159F4A"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7010_WPSOffice_Level2" w:history="1">
            <w:sdt>
              <w:sdtPr>
                <w:rPr>
                  <w:rFonts w:ascii="宋体" w:hAnsi="宋体" w:cs="宋体" w:hint="eastAsia"/>
                  <w:b/>
                  <w:kern w:val="2"/>
                  <w:sz w:val="24"/>
                  <w:szCs w:val="24"/>
                </w:rPr>
                <w:id w:val="-994407237"/>
                <w:placeholder>
                  <w:docPart w:val="{841ecbf8-78be-4ba1-8cbd-abde91255142}"/>
                </w:placeholder>
              </w:sdtPr>
              <w:sdtContent>
                <w:r>
                  <w:rPr>
                    <w:rFonts w:ascii="宋体" w:hAnsi="宋体" w:cs="宋体" w:hint="eastAsia"/>
                    <w:sz w:val="24"/>
                    <w:szCs w:val="24"/>
                  </w:rPr>
                  <w:t>3.6 拟建工程合理性分析</w:t>
                </w:r>
              </w:sdtContent>
            </w:sdt>
            <w:r>
              <w:rPr>
                <w:rFonts w:ascii="宋体" w:hAnsi="宋体" w:cs="宋体" w:hint="eastAsia"/>
                <w:sz w:val="24"/>
                <w:szCs w:val="24"/>
              </w:rPr>
              <w:tab/>
            </w:r>
            <w:bookmarkStart w:id="20" w:name="_Toc27010_WPSOffice_Level2Page"/>
            <w:r>
              <w:rPr>
                <w:rFonts w:ascii="宋体" w:hAnsi="宋体" w:cs="宋体" w:hint="eastAsia"/>
                <w:sz w:val="24"/>
                <w:szCs w:val="24"/>
              </w:rPr>
              <w:t>62</w:t>
            </w:r>
            <w:bookmarkEnd w:id="20"/>
          </w:hyperlink>
        </w:p>
        <w:p w14:paraId="028CBA05" w14:textId="77777777" w:rsidR="005A1A44" w:rsidRDefault="005A1A44">
          <w:pPr>
            <w:pStyle w:val="WPSOffice1"/>
            <w:tabs>
              <w:tab w:val="right" w:leader="dot" w:pos="8634"/>
            </w:tabs>
            <w:spacing w:line="360" w:lineRule="auto"/>
            <w:rPr>
              <w:rFonts w:ascii="宋体" w:hAnsi="宋体" w:cs="宋体" w:hint="eastAsia"/>
              <w:sz w:val="24"/>
              <w:szCs w:val="24"/>
            </w:rPr>
          </w:pPr>
          <w:hyperlink w:anchor="_Toc3729_WPSOffice_Level1" w:history="1">
            <w:sdt>
              <w:sdtPr>
                <w:rPr>
                  <w:rFonts w:ascii="宋体" w:hAnsi="宋体" w:cs="宋体" w:hint="eastAsia"/>
                  <w:b/>
                  <w:bCs/>
                  <w:kern w:val="2"/>
                  <w:sz w:val="24"/>
                  <w:szCs w:val="24"/>
                </w:rPr>
                <w:id w:val="1077480097"/>
                <w:placeholder>
                  <w:docPart w:val="{f4a8fb6a-b30e-42c9-97c8-9cffc1d8e079}"/>
                </w:placeholder>
              </w:sdtPr>
              <w:sdtContent>
                <w:r>
                  <w:rPr>
                    <w:rFonts w:ascii="宋体" w:hAnsi="宋体" w:cs="宋体" w:hint="eastAsia"/>
                    <w:b/>
                    <w:bCs/>
                    <w:sz w:val="24"/>
                    <w:szCs w:val="24"/>
                  </w:rPr>
                  <w:t>4 环境质量现状调查与评价</w:t>
                </w:r>
              </w:sdtContent>
            </w:sdt>
            <w:r>
              <w:rPr>
                <w:rFonts w:ascii="宋体" w:hAnsi="宋体" w:cs="宋体" w:hint="eastAsia"/>
                <w:b/>
                <w:bCs/>
                <w:sz w:val="24"/>
                <w:szCs w:val="24"/>
              </w:rPr>
              <w:tab/>
            </w:r>
            <w:bookmarkStart w:id="21" w:name="_Toc3729_WPSOffice_Level1Page"/>
            <w:r>
              <w:rPr>
                <w:rFonts w:ascii="宋体" w:hAnsi="宋体" w:cs="宋体" w:hint="eastAsia"/>
                <w:b/>
                <w:bCs/>
                <w:sz w:val="24"/>
                <w:szCs w:val="24"/>
              </w:rPr>
              <w:t>83</w:t>
            </w:r>
            <w:bookmarkEnd w:id="21"/>
          </w:hyperlink>
        </w:p>
        <w:p w14:paraId="6BC90703"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3013_WPSOffice_Level2" w:history="1">
            <w:sdt>
              <w:sdtPr>
                <w:rPr>
                  <w:rFonts w:ascii="宋体" w:hAnsi="宋体" w:cs="宋体" w:hint="eastAsia"/>
                  <w:b/>
                  <w:kern w:val="2"/>
                  <w:sz w:val="24"/>
                  <w:szCs w:val="24"/>
                </w:rPr>
                <w:id w:val="515428315"/>
                <w:placeholder>
                  <w:docPart w:val="{066a4c59-4014-49fa-a2f2-34ceb500d481}"/>
                </w:placeholder>
              </w:sdtPr>
              <w:sdtContent>
                <w:r>
                  <w:rPr>
                    <w:rFonts w:ascii="宋体" w:hAnsi="宋体" w:cs="宋体" w:hint="eastAsia"/>
                    <w:sz w:val="24"/>
                    <w:szCs w:val="24"/>
                  </w:rPr>
                  <w:t>4.1 自然、社会环境概况</w:t>
                </w:r>
              </w:sdtContent>
            </w:sdt>
            <w:r>
              <w:rPr>
                <w:rFonts w:ascii="宋体" w:hAnsi="宋体" w:cs="宋体" w:hint="eastAsia"/>
                <w:sz w:val="24"/>
                <w:szCs w:val="24"/>
              </w:rPr>
              <w:tab/>
            </w:r>
            <w:bookmarkStart w:id="22" w:name="_Toc23013_WPSOffice_Level2Page"/>
            <w:r>
              <w:rPr>
                <w:rFonts w:ascii="宋体" w:hAnsi="宋体" w:cs="宋体" w:hint="eastAsia"/>
                <w:sz w:val="24"/>
                <w:szCs w:val="24"/>
              </w:rPr>
              <w:t>83</w:t>
            </w:r>
            <w:bookmarkEnd w:id="22"/>
          </w:hyperlink>
        </w:p>
        <w:p w14:paraId="1A1EFCF3"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0777_WPSOffice_Level2" w:history="1">
            <w:sdt>
              <w:sdtPr>
                <w:rPr>
                  <w:rFonts w:ascii="宋体" w:hAnsi="宋体" w:cs="宋体" w:hint="eastAsia"/>
                  <w:b/>
                  <w:kern w:val="2"/>
                  <w:sz w:val="24"/>
                  <w:szCs w:val="24"/>
                </w:rPr>
                <w:id w:val="1662963283"/>
                <w:placeholder>
                  <w:docPart w:val="{702d0dce-ba06-490d-b4b9-9a99e69abec2}"/>
                </w:placeholder>
              </w:sdtPr>
              <w:sdtContent>
                <w:r>
                  <w:rPr>
                    <w:rFonts w:ascii="宋体" w:hAnsi="宋体" w:cs="宋体" w:hint="eastAsia"/>
                    <w:sz w:val="24"/>
                    <w:szCs w:val="24"/>
                  </w:rPr>
                  <w:t>4.2 大气环境现状调查与评价</w:t>
                </w:r>
              </w:sdtContent>
            </w:sdt>
            <w:r>
              <w:rPr>
                <w:rFonts w:ascii="宋体" w:hAnsi="宋体" w:cs="宋体" w:hint="eastAsia"/>
                <w:sz w:val="24"/>
                <w:szCs w:val="24"/>
              </w:rPr>
              <w:tab/>
            </w:r>
            <w:bookmarkStart w:id="23" w:name="_Toc20777_WPSOffice_Level2Page"/>
            <w:r>
              <w:rPr>
                <w:rFonts w:ascii="宋体" w:hAnsi="宋体" w:cs="宋体" w:hint="eastAsia"/>
                <w:sz w:val="24"/>
                <w:szCs w:val="24"/>
              </w:rPr>
              <w:t>92</w:t>
            </w:r>
            <w:bookmarkEnd w:id="23"/>
          </w:hyperlink>
        </w:p>
        <w:p w14:paraId="31DAAE40"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2288_WPSOffice_Level2" w:history="1">
            <w:sdt>
              <w:sdtPr>
                <w:rPr>
                  <w:rFonts w:ascii="宋体" w:hAnsi="宋体" w:cs="宋体" w:hint="eastAsia"/>
                  <w:b/>
                  <w:kern w:val="2"/>
                  <w:sz w:val="24"/>
                  <w:szCs w:val="24"/>
                </w:rPr>
                <w:id w:val="-1053310200"/>
                <w:placeholder>
                  <w:docPart w:val="{019ec09e-1eda-4c40-bd92-efbbb1d3571f}"/>
                </w:placeholder>
              </w:sdtPr>
              <w:sdtContent>
                <w:r>
                  <w:rPr>
                    <w:rFonts w:ascii="宋体" w:hAnsi="宋体" w:cs="宋体" w:hint="eastAsia"/>
                    <w:sz w:val="24"/>
                    <w:szCs w:val="24"/>
                  </w:rPr>
                  <w:t>4.3 地表水环境现状调查与评价</w:t>
                </w:r>
              </w:sdtContent>
            </w:sdt>
            <w:r>
              <w:rPr>
                <w:rFonts w:ascii="宋体" w:hAnsi="宋体" w:cs="宋体" w:hint="eastAsia"/>
                <w:sz w:val="24"/>
                <w:szCs w:val="24"/>
              </w:rPr>
              <w:tab/>
            </w:r>
            <w:bookmarkStart w:id="24" w:name="_Toc12288_WPSOffice_Level2Page"/>
            <w:r>
              <w:rPr>
                <w:rFonts w:ascii="宋体" w:hAnsi="宋体" w:cs="宋体" w:hint="eastAsia"/>
                <w:sz w:val="24"/>
                <w:szCs w:val="24"/>
              </w:rPr>
              <w:t>95</w:t>
            </w:r>
            <w:bookmarkEnd w:id="24"/>
          </w:hyperlink>
        </w:p>
        <w:p w14:paraId="2D5B9B07"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1201_WPSOffice_Level2" w:history="1">
            <w:sdt>
              <w:sdtPr>
                <w:rPr>
                  <w:rFonts w:ascii="宋体" w:hAnsi="宋体" w:cs="宋体" w:hint="eastAsia"/>
                  <w:b/>
                  <w:kern w:val="2"/>
                  <w:sz w:val="24"/>
                  <w:szCs w:val="24"/>
                </w:rPr>
                <w:id w:val="1722015435"/>
                <w:placeholder>
                  <w:docPart w:val="{7c785e05-91d9-47d5-a560-44e0edcfab66}"/>
                </w:placeholder>
              </w:sdtPr>
              <w:sdtContent>
                <w:r>
                  <w:rPr>
                    <w:rFonts w:ascii="宋体" w:hAnsi="宋体" w:cs="宋体" w:hint="eastAsia"/>
                    <w:sz w:val="24"/>
                    <w:szCs w:val="24"/>
                  </w:rPr>
                  <w:t>4.4 地下水环境现状调查与评价</w:t>
                </w:r>
              </w:sdtContent>
            </w:sdt>
            <w:r>
              <w:rPr>
                <w:rFonts w:ascii="宋体" w:hAnsi="宋体" w:cs="宋体" w:hint="eastAsia"/>
                <w:sz w:val="24"/>
                <w:szCs w:val="24"/>
              </w:rPr>
              <w:tab/>
            </w:r>
            <w:bookmarkStart w:id="25" w:name="_Toc11201_WPSOffice_Level2Page"/>
            <w:r>
              <w:rPr>
                <w:rFonts w:ascii="宋体" w:hAnsi="宋体" w:cs="宋体" w:hint="eastAsia"/>
                <w:sz w:val="24"/>
                <w:szCs w:val="24"/>
              </w:rPr>
              <w:t>97</w:t>
            </w:r>
            <w:bookmarkEnd w:id="25"/>
          </w:hyperlink>
        </w:p>
        <w:p w14:paraId="2E5723DA"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32033_WPSOffice_Level2" w:history="1">
            <w:sdt>
              <w:sdtPr>
                <w:rPr>
                  <w:rFonts w:ascii="宋体" w:hAnsi="宋体" w:cs="宋体" w:hint="eastAsia"/>
                  <w:b/>
                  <w:kern w:val="2"/>
                  <w:sz w:val="24"/>
                  <w:szCs w:val="24"/>
                </w:rPr>
                <w:id w:val="1888836364"/>
                <w:placeholder>
                  <w:docPart w:val="{6a8a7304-9d54-4805-9446-b61b8a67ff02}"/>
                </w:placeholder>
              </w:sdtPr>
              <w:sdtContent>
                <w:r>
                  <w:rPr>
                    <w:rFonts w:ascii="宋体" w:hAnsi="宋体" w:cs="宋体" w:hint="eastAsia"/>
                    <w:sz w:val="24"/>
                    <w:szCs w:val="24"/>
                  </w:rPr>
                  <w:t>4.5 声环境现状调查与评价</w:t>
                </w:r>
              </w:sdtContent>
            </w:sdt>
            <w:r>
              <w:rPr>
                <w:rFonts w:ascii="宋体" w:hAnsi="宋体" w:cs="宋体" w:hint="eastAsia"/>
                <w:sz w:val="24"/>
                <w:szCs w:val="24"/>
              </w:rPr>
              <w:tab/>
            </w:r>
            <w:bookmarkStart w:id="26" w:name="_Toc32033_WPSOffice_Level2Page"/>
            <w:r>
              <w:rPr>
                <w:rFonts w:ascii="宋体" w:hAnsi="宋体" w:cs="宋体" w:hint="eastAsia"/>
                <w:sz w:val="24"/>
                <w:szCs w:val="24"/>
              </w:rPr>
              <w:t>99</w:t>
            </w:r>
            <w:bookmarkEnd w:id="26"/>
          </w:hyperlink>
        </w:p>
        <w:p w14:paraId="60072089"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1193_WPSOffice_Level2" w:history="1">
            <w:sdt>
              <w:sdtPr>
                <w:rPr>
                  <w:rFonts w:ascii="宋体" w:hAnsi="宋体" w:cs="宋体" w:hint="eastAsia"/>
                  <w:b/>
                  <w:kern w:val="2"/>
                  <w:sz w:val="24"/>
                  <w:szCs w:val="24"/>
                </w:rPr>
                <w:id w:val="820771131"/>
                <w:placeholder>
                  <w:docPart w:val="{c4316bf3-4acf-49df-8929-dc1bc98f2c36}"/>
                </w:placeholder>
              </w:sdtPr>
              <w:sdtContent>
                <w:r>
                  <w:rPr>
                    <w:rFonts w:ascii="宋体" w:hAnsi="宋体" w:cs="宋体" w:hint="eastAsia"/>
                    <w:sz w:val="24"/>
                    <w:szCs w:val="24"/>
                  </w:rPr>
                  <w:t>4.6 生态现状调查与评价</w:t>
                </w:r>
              </w:sdtContent>
            </w:sdt>
            <w:r>
              <w:rPr>
                <w:rFonts w:ascii="宋体" w:hAnsi="宋体" w:cs="宋体" w:hint="eastAsia"/>
                <w:sz w:val="24"/>
                <w:szCs w:val="24"/>
              </w:rPr>
              <w:tab/>
            </w:r>
            <w:bookmarkStart w:id="27" w:name="_Toc21193_WPSOffice_Level2Page"/>
            <w:r>
              <w:rPr>
                <w:rFonts w:ascii="宋体" w:hAnsi="宋体" w:cs="宋体" w:hint="eastAsia"/>
                <w:sz w:val="24"/>
                <w:szCs w:val="24"/>
              </w:rPr>
              <w:t>101</w:t>
            </w:r>
            <w:bookmarkEnd w:id="27"/>
          </w:hyperlink>
        </w:p>
        <w:p w14:paraId="0C780668"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8005_WPSOffice_Level2" w:history="1">
            <w:sdt>
              <w:sdtPr>
                <w:rPr>
                  <w:rFonts w:ascii="宋体" w:hAnsi="宋体" w:cs="宋体" w:hint="eastAsia"/>
                  <w:b/>
                  <w:kern w:val="2"/>
                  <w:sz w:val="24"/>
                  <w:szCs w:val="24"/>
                </w:rPr>
                <w:id w:val="-955317625"/>
                <w:placeholder>
                  <w:docPart w:val="{cadb23d2-4d5b-4b77-bc61-8d4448137516}"/>
                </w:placeholder>
              </w:sdtPr>
              <w:sdtContent>
                <w:r>
                  <w:rPr>
                    <w:rFonts w:ascii="宋体" w:hAnsi="宋体" w:cs="宋体" w:hint="eastAsia"/>
                    <w:sz w:val="24"/>
                    <w:szCs w:val="24"/>
                  </w:rPr>
                  <w:t>4.7 结论</w:t>
                </w:r>
              </w:sdtContent>
            </w:sdt>
            <w:r>
              <w:rPr>
                <w:rFonts w:ascii="宋体" w:hAnsi="宋体" w:cs="宋体" w:hint="eastAsia"/>
                <w:sz w:val="24"/>
                <w:szCs w:val="24"/>
              </w:rPr>
              <w:tab/>
            </w:r>
            <w:bookmarkStart w:id="28" w:name="_Toc28005_WPSOffice_Level2Page"/>
            <w:r>
              <w:rPr>
                <w:rFonts w:ascii="宋体" w:hAnsi="宋体" w:cs="宋体" w:hint="eastAsia"/>
                <w:sz w:val="24"/>
                <w:szCs w:val="24"/>
              </w:rPr>
              <w:t>108</w:t>
            </w:r>
            <w:bookmarkEnd w:id="28"/>
          </w:hyperlink>
        </w:p>
        <w:p w14:paraId="739A8710" w14:textId="77777777" w:rsidR="005A1A44" w:rsidRDefault="005A1A44">
          <w:pPr>
            <w:pStyle w:val="WPSOffice1"/>
            <w:tabs>
              <w:tab w:val="right" w:leader="dot" w:pos="8634"/>
            </w:tabs>
            <w:spacing w:line="360" w:lineRule="auto"/>
            <w:rPr>
              <w:rFonts w:ascii="宋体" w:hAnsi="宋体" w:cs="宋体" w:hint="eastAsia"/>
              <w:sz w:val="24"/>
              <w:szCs w:val="24"/>
            </w:rPr>
          </w:pPr>
          <w:hyperlink w:anchor="_Toc21861_WPSOffice_Level1" w:history="1">
            <w:sdt>
              <w:sdtPr>
                <w:rPr>
                  <w:rFonts w:ascii="宋体" w:hAnsi="宋体" w:cs="宋体" w:hint="eastAsia"/>
                  <w:b/>
                  <w:bCs/>
                  <w:kern w:val="2"/>
                  <w:sz w:val="24"/>
                  <w:szCs w:val="24"/>
                </w:rPr>
                <w:id w:val="1108394342"/>
                <w:placeholder>
                  <w:docPart w:val="{6eaee802-e1fb-4c4e-a7d0-32f853638141}"/>
                </w:placeholder>
              </w:sdtPr>
              <w:sdtContent>
                <w:r>
                  <w:rPr>
                    <w:rFonts w:ascii="宋体" w:hAnsi="宋体" w:cs="宋体" w:hint="eastAsia"/>
                    <w:b/>
                    <w:bCs/>
                    <w:sz w:val="24"/>
                    <w:szCs w:val="24"/>
                  </w:rPr>
                  <w:t>5 施工期环境影响预测与评价</w:t>
                </w:r>
              </w:sdtContent>
            </w:sdt>
            <w:r>
              <w:rPr>
                <w:rFonts w:ascii="宋体" w:hAnsi="宋体" w:cs="宋体" w:hint="eastAsia"/>
                <w:b/>
                <w:bCs/>
                <w:sz w:val="24"/>
                <w:szCs w:val="24"/>
              </w:rPr>
              <w:tab/>
            </w:r>
            <w:bookmarkStart w:id="29" w:name="_Toc21861_WPSOffice_Level1Page"/>
            <w:r>
              <w:rPr>
                <w:rFonts w:ascii="宋体" w:hAnsi="宋体" w:cs="宋体" w:hint="eastAsia"/>
                <w:b/>
                <w:bCs/>
                <w:sz w:val="24"/>
                <w:szCs w:val="24"/>
              </w:rPr>
              <w:t>110</w:t>
            </w:r>
            <w:bookmarkEnd w:id="29"/>
          </w:hyperlink>
        </w:p>
        <w:p w14:paraId="0A3C755D"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8198_WPSOffice_Level2" w:history="1">
            <w:sdt>
              <w:sdtPr>
                <w:rPr>
                  <w:rFonts w:ascii="宋体" w:hAnsi="宋体" w:cs="宋体" w:hint="eastAsia"/>
                  <w:b/>
                  <w:kern w:val="2"/>
                  <w:sz w:val="24"/>
                  <w:szCs w:val="24"/>
                </w:rPr>
                <w:id w:val="-964120366"/>
                <w:placeholder>
                  <w:docPart w:val="{92cd1629-8be9-4be0-a38e-caf7e825a86b}"/>
                </w:placeholder>
              </w:sdtPr>
              <w:sdtContent>
                <w:r>
                  <w:rPr>
                    <w:rFonts w:ascii="宋体" w:hAnsi="宋体" w:cs="宋体" w:hint="eastAsia"/>
                    <w:sz w:val="24"/>
                    <w:szCs w:val="24"/>
                  </w:rPr>
                  <w:t>5.1 施工期大气环境影响分析</w:t>
                </w:r>
              </w:sdtContent>
            </w:sdt>
            <w:r>
              <w:rPr>
                <w:rFonts w:ascii="宋体" w:hAnsi="宋体" w:cs="宋体" w:hint="eastAsia"/>
                <w:sz w:val="24"/>
                <w:szCs w:val="24"/>
              </w:rPr>
              <w:tab/>
            </w:r>
            <w:bookmarkStart w:id="30" w:name="_Toc8198_WPSOffice_Level2Page"/>
            <w:r>
              <w:rPr>
                <w:rFonts w:ascii="宋体" w:hAnsi="宋体" w:cs="宋体" w:hint="eastAsia"/>
                <w:sz w:val="24"/>
                <w:szCs w:val="24"/>
              </w:rPr>
              <w:t>110</w:t>
            </w:r>
            <w:bookmarkEnd w:id="30"/>
          </w:hyperlink>
        </w:p>
        <w:p w14:paraId="4C6F30B3"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6690_WPSOffice_Level2" w:history="1">
            <w:sdt>
              <w:sdtPr>
                <w:rPr>
                  <w:rFonts w:ascii="宋体" w:hAnsi="宋体" w:cs="宋体" w:hint="eastAsia"/>
                  <w:b/>
                  <w:kern w:val="2"/>
                  <w:sz w:val="24"/>
                  <w:szCs w:val="24"/>
                </w:rPr>
                <w:id w:val="-958956633"/>
                <w:placeholder>
                  <w:docPart w:val="{c0172776-9913-49d1-962f-2628e5fd71d9}"/>
                </w:placeholder>
              </w:sdtPr>
              <w:sdtContent>
                <w:r>
                  <w:rPr>
                    <w:rFonts w:ascii="宋体" w:hAnsi="宋体" w:cs="宋体" w:hint="eastAsia"/>
                    <w:sz w:val="24"/>
                    <w:szCs w:val="24"/>
                  </w:rPr>
                  <w:t>5.2 施工期地表水环境影响评价</w:t>
                </w:r>
              </w:sdtContent>
            </w:sdt>
            <w:r>
              <w:rPr>
                <w:rFonts w:ascii="宋体" w:hAnsi="宋体" w:cs="宋体" w:hint="eastAsia"/>
                <w:sz w:val="24"/>
                <w:szCs w:val="24"/>
              </w:rPr>
              <w:tab/>
            </w:r>
            <w:bookmarkStart w:id="31" w:name="_Toc16690_WPSOffice_Level2Page"/>
            <w:r>
              <w:rPr>
                <w:rFonts w:ascii="宋体" w:hAnsi="宋体" w:cs="宋体" w:hint="eastAsia"/>
                <w:sz w:val="24"/>
                <w:szCs w:val="24"/>
              </w:rPr>
              <w:t>114</w:t>
            </w:r>
            <w:bookmarkEnd w:id="31"/>
          </w:hyperlink>
        </w:p>
        <w:p w14:paraId="60AC1A8B"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2591_WPSOffice_Level2" w:history="1">
            <w:sdt>
              <w:sdtPr>
                <w:rPr>
                  <w:rFonts w:ascii="宋体" w:hAnsi="宋体" w:cs="宋体" w:hint="eastAsia"/>
                  <w:b/>
                  <w:kern w:val="2"/>
                  <w:sz w:val="24"/>
                  <w:szCs w:val="24"/>
                </w:rPr>
                <w:id w:val="65697322"/>
                <w:placeholder>
                  <w:docPart w:val="{da42f0f6-39a2-42be-baab-61fd7b0efdb4}"/>
                </w:placeholder>
              </w:sdtPr>
              <w:sdtContent>
                <w:r>
                  <w:rPr>
                    <w:rFonts w:ascii="宋体" w:hAnsi="宋体" w:cs="宋体" w:hint="eastAsia"/>
                    <w:sz w:val="24"/>
                    <w:szCs w:val="24"/>
                  </w:rPr>
                  <w:t>5.3 地下水环境影响评价</w:t>
                </w:r>
              </w:sdtContent>
            </w:sdt>
            <w:r>
              <w:rPr>
                <w:rFonts w:ascii="宋体" w:hAnsi="宋体" w:cs="宋体" w:hint="eastAsia"/>
                <w:sz w:val="24"/>
                <w:szCs w:val="24"/>
              </w:rPr>
              <w:tab/>
            </w:r>
            <w:bookmarkStart w:id="32" w:name="_Toc12591_WPSOffice_Level2Page"/>
            <w:r>
              <w:rPr>
                <w:rFonts w:ascii="宋体" w:hAnsi="宋体" w:cs="宋体" w:hint="eastAsia"/>
                <w:sz w:val="24"/>
                <w:szCs w:val="24"/>
              </w:rPr>
              <w:t>117</w:t>
            </w:r>
            <w:bookmarkEnd w:id="32"/>
          </w:hyperlink>
        </w:p>
        <w:p w14:paraId="45832654"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0922_WPSOffice_Level2" w:history="1">
            <w:sdt>
              <w:sdtPr>
                <w:rPr>
                  <w:rFonts w:ascii="宋体" w:hAnsi="宋体" w:cs="宋体" w:hint="eastAsia"/>
                  <w:b/>
                  <w:kern w:val="2"/>
                  <w:sz w:val="24"/>
                  <w:szCs w:val="24"/>
                </w:rPr>
                <w:id w:val="2093049537"/>
                <w:placeholder>
                  <w:docPart w:val="{de7e0ed0-2e5a-4a2a-92bc-517b433fc0de}"/>
                </w:placeholder>
              </w:sdtPr>
              <w:sdtContent>
                <w:r>
                  <w:rPr>
                    <w:rFonts w:ascii="宋体" w:hAnsi="宋体" w:cs="宋体" w:hint="eastAsia"/>
                    <w:sz w:val="24"/>
                    <w:szCs w:val="24"/>
                  </w:rPr>
                  <w:t>5.4 施工期环境噪声影响评价</w:t>
                </w:r>
              </w:sdtContent>
            </w:sdt>
            <w:r>
              <w:rPr>
                <w:rFonts w:ascii="宋体" w:hAnsi="宋体" w:cs="宋体" w:hint="eastAsia"/>
                <w:sz w:val="24"/>
                <w:szCs w:val="24"/>
              </w:rPr>
              <w:tab/>
            </w:r>
            <w:bookmarkStart w:id="33" w:name="_Toc10922_WPSOffice_Level2Page"/>
            <w:r>
              <w:rPr>
                <w:rFonts w:ascii="宋体" w:hAnsi="宋体" w:cs="宋体" w:hint="eastAsia"/>
                <w:sz w:val="24"/>
                <w:szCs w:val="24"/>
              </w:rPr>
              <w:t>118</w:t>
            </w:r>
            <w:bookmarkEnd w:id="33"/>
          </w:hyperlink>
        </w:p>
        <w:p w14:paraId="53624A91"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2043_WPSOffice_Level2" w:history="1">
            <w:sdt>
              <w:sdtPr>
                <w:rPr>
                  <w:rFonts w:ascii="宋体" w:hAnsi="宋体" w:cs="宋体" w:hint="eastAsia"/>
                  <w:b/>
                  <w:kern w:val="2"/>
                  <w:sz w:val="24"/>
                  <w:szCs w:val="24"/>
                </w:rPr>
                <w:id w:val="1611391777"/>
                <w:placeholder>
                  <w:docPart w:val="{5d581b1d-a36c-4a0c-a9a7-3df1469c5902}"/>
                </w:placeholder>
              </w:sdtPr>
              <w:sdtContent>
                <w:r>
                  <w:rPr>
                    <w:rFonts w:ascii="宋体" w:hAnsi="宋体" w:cs="宋体" w:hint="eastAsia"/>
                    <w:sz w:val="24"/>
                    <w:szCs w:val="24"/>
                  </w:rPr>
                  <w:t>5.5 施工期固废污染影响分析</w:t>
                </w:r>
              </w:sdtContent>
            </w:sdt>
            <w:r>
              <w:rPr>
                <w:rFonts w:ascii="宋体" w:hAnsi="宋体" w:cs="宋体" w:hint="eastAsia"/>
                <w:sz w:val="24"/>
                <w:szCs w:val="24"/>
              </w:rPr>
              <w:tab/>
            </w:r>
            <w:bookmarkStart w:id="34" w:name="_Toc22043_WPSOffice_Level2Page"/>
            <w:r>
              <w:rPr>
                <w:rFonts w:ascii="宋体" w:hAnsi="宋体" w:cs="宋体" w:hint="eastAsia"/>
                <w:sz w:val="24"/>
                <w:szCs w:val="24"/>
              </w:rPr>
              <w:t>120</w:t>
            </w:r>
            <w:bookmarkEnd w:id="34"/>
          </w:hyperlink>
        </w:p>
        <w:p w14:paraId="7CD385A6"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8561_WPSOffice_Level2" w:history="1">
            <w:sdt>
              <w:sdtPr>
                <w:rPr>
                  <w:rFonts w:ascii="宋体" w:hAnsi="宋体" w:cs="宋体" w:hint="eastAsia"/>
                  <w:b/>
                  <w:kern w:val="2"/>
                  <w:sz w:val="24"/>
                  <w:szCs w:val="24"/>
                </w:rPr>
                <w:id w:val="-575046678"/>
                <w:placeholder>
                  <w:docPart w:val="{007840a9-8fe3-4d29-bd3f-c66057287de4}"/>
                </w:placeholder>
              </w:sdtPr>
              <w:sdtContent>
                <w:r>
                  <w:rPr>
                    <w:rFonts w:ascii="宋体" w:hAnsi="宋体" w:cs="宋体" w:hint="eastAsia"/>
                    <w:sz w:val="24"/>
                    <w:szCs w:val="24"/>
                  </w:rPr>
                  <w:t>5.6 施工期生态环境影响</w:t>
                </w:r>
              </w:sdtContent>
            </w:sdt>
            <w:r>
              <w:rPr>
                <w:rFonts w:ascii="宋体" w:hAnsi="宋体" w:cs="宋体" w:hint="eastAsia"/>
                <w:sz w:val="24"/>
                <w:szCs w:val="24"/>
              </w:rPr>
              <w:tab/>
            </w:r>
            <w:bookmarkStart w:id="35" w:name="_Toc28561_WPSOffice_Level2Page"/>
            <w:r>
              <w:rPr>
                <w:rFonts w:ascii="宋体" w:hAnsi="宋体" w:cs="宋体" w:hint="eastAsia"/>
                <w:sz w:val="24"/>
                <w:szCs w:val="24"/>
              </w:rPr>
              <w:t>121</w:t>
            </w:r>
            <w:bookmarkEnd w:id="35"/>
          </w:hyperlink>
        </w:p>
        <w:p w14:paraId="59BB1D80"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5985_WPSOffice_Level2" w:history="1">
            <w:sdt>
              <w:sdtPr>
                <w:rPr>
                  <w:rFonts w:ascii="宋体" w:hAnsi="宋体" w:cs="宋体" w:hint="eastAsia"/>
                  <w:b/>
                  <w:kern w:val="2"/>
                  <w:sz w:val="24"/>
                  <w:szCs w:val="24"/>
                </w:rPr>
                <w:id w:val="686874869"/>
                <w:placeholder>
                  <w:docPart w:val="{01f6b6ce-6bb3-42fd-9db0-cfd26d2ce460}"/>
                </w:placeholder>
              </w:sdtPr>
              <w:sdtContent>
                <w:r>
                  <w:rPr>
                    <w:rFonts w:ascii="宋体" w:hAnsi="宋体" w:cs="宋体" w:hint="eastAsia"/>
                    <w:sz w:val="24"/>
                    <w:szCs w:val="24"/>
                  </w:rPr>
                  <w:t>5.7 施工期社会影响分析</w:t>
                </w:r>
              </w:sdtContent>
            </w:sdt>
            <w:r>
              <w:rPr>
                <w:rFonts w:ascii="宋体" w:hAnsi="宋体" w:cs="宋体" w:hint="eastAsia"/>
                <w:sz w:val="24"/>
                <w:szCs w:val="24"/>
              </w:rPr>
              <w:tab/>
            </w:r>
            <w:bookmarkStart w:id="36" w:name="_Toc25985_WPSOffice_Level2Page"/>
            <w:r>
              <w:rPr>
                <w:rFonts w:ascii="宋体" w:hAnsi="宋体" w:cs="宋体" w:hint="eastAsia"/>
                <w:sz w:val="24"/>
                <w:szCs w:val="24"/>
              </w:rPr>
              <w:t>125</w:t>
            </w:r>
            <w:bookmarkEnd w:id="36"/>
          </w:hyperlink>
        </w:p>
        <w:p w14:paraId="7A679C6D" w14:textId="77777777" w:rsidR="005A1A44" w:rsidRDefault="005A1A44">
          <w:pPr>
            <w:pStyle w:val="WPSOffice1"/>
            <w:tabs>
              <w:tab w:val="right" w:leader="dot" w:pos="8634"/>
            </w:tabs>
            <w:spacing w:line="360" w:lineRule="auto"/>
            <w:rPr>
              <w:rFonts w:ascii="宋体" w:hAnsi="宋体" w:cs="宋体" w:hint="eastAsia"/>
              <w:sz w:val="24"/>
              <w:szCs w:val="24"/>
            </w:rPr>
          </w:pPr>
          <w:hyperlink w:anchor="_Toc32193_WPSOffice_Level1" w:history="1">
            <w:sdt>
              <w:sdtPr>
                <w:rPr>
                  <w:rFonts w:ascii="宋体" w:hAnsi="宋体" w:cs="宋体" w:hint="eastAsia"/>
                  <w:b/>
                  <w:bCs/>
                  <w:kern w:val="2"/>
                  <w:sz w:val="24"/>
                  <w:szCs w:val="24"/>
                </w:rPr>
                <w:id w:val="-1965265269"/>
                <w:placeholder>
                  <w:docPart w:val="{f39bba4b-8274-4d58-9b0c-8c4deed593bd}"/>
                </w:placeholder>
              </w:sdtPr>
              <w:sdtContent>
                <w:r>
                  <w:rPr>
                    <w:rFonts w:ascii="宋体" w:hAnsi="宋体" w:cs="宋体" w:hint="eastAsia"/>
                    <w:b/>
                    <w:bCs/>
                    <w:sz w:val="24"/>
                    <w:szCs w:val="24"/>
                  </w:rPr>
                  <w:t>6 运营期环境影响评价</w:t>
                </w:r>
              </w:sdtContent>
            </w:sdt>
            <w:r>
              <w:rPr>
                <w:rFonts w:ascii="宋体" w:hAnsi="宋体" w:cs="宋体" w:hint="eastAsia"/>
                <w:b/>
                <w:bCs/>
                <w:sz w:val="24"/>
                <w:szCs w:val="24"/>
              </w:rPr>
              <w:tab/>
            </w:r>
            <w:bookmarkStart w:id="37" w:name="_Toc32193_WPSOffice_Level1Page"/>
            <w:r>
              <w:rPr>
                <w:rFonts w:ascii="宋体" w:hAnsi="宋体" w:cs="宋体" w:hint="eastAsia"/>
                <w:b/>
                <w:bCs/>
                <w:sz w:val="24"/>
                <w:szCs w:val="24"/>
              </w:rPr>
              <w:t>126</w:t>
            </w:r>
            <w:bookmarkEnd w:id="37"/>
          </w:hyperlink>
        </w:p>
        <w:p w14:paraId="73E8F522"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5271_WPSOffice_Level2" w:history="1">
            <w:sdt>
              <w:sdtPr>
                <w:rPr>
                  <w:rFonts w:ascii="宋体" w:hAnsi="宋体" w:cs="宋体" w:hint="eastAsia"/>
                  <w:b/>
                  <w:kern w:val="2"/>
                  <w:sz w:val="24"/>
                  <w:szCs w:val="24"/>
                </w:rPr>
                <w:id w:val="713617911"/>
                <w:placeholder>
                  <w:docPart w:val="{86bc0989-f7b3-42ad-9b14-72c8c4f04371}"/>
                </w:placeholder>
              </w:sdtPr>
              <w:sdtContent>
                <w:r>
                  <w:rPr>
                    <w:rFonts w:ascii="宋体" w:hAnsi="宋体" w:cs="宋体" w:hint="eastAsia"/>
                    <w:sz w:val="24"/>
                    <w:szCs w:val="24"/>
                  </w:rPr>
                  <w:t>6.1 运营期大气环境影响分析</w:t>
                </w:r>
              </w:sdtContent>
            </w:sdt>
            <w:r>
              <w:rPr>
                <w:rFonts w:ascii="宋体" w:hAnsi="宋体" w:cs="宋体" w:hint="eastAsia"/>
                <w:sz w:val="24"/>
                <w:szCs w:val="24"/>
              </w:rPr>
              <w:tab/>
            </w:r>
            <w:bookmarkStart w:id="38" w:name="_Toc15271_WPSOffice_Level2Page"/>
            <w:r>
              <w:rPr>
                <w:rFonts w:ascii="宋体" w:hAnsi="宋体" w:cs="宋体" w:hint="eastAsia"/>
                <w:sz w:val="24"/>
                <w:szCs w:val="24"/>
              </w:rPr>
              <w:t>126</w:t>
            </w:r>
            <w:bookmarkEnd w:id="38"/>
          </w:hyperlink>
        </w:p>
        <w:p w14:paraId="4B111D26"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1634_WPSOffice_Level2" w:history="1">
            <w:sdt>
              <w:sdtPr>
                <w:rPr>
                  <w:rFonts w:ascii="宋体" w:hAnsi="宋体" w:cs="宋体" w:hint="eastAsia"/>
                  <w:b/>
                  <w:kern w:val="2"/>
                  <w:sz w:val="24"/>
                  <w:szCs w:val="24"/>
                </w:rPr>
                <w:id w:val="-112516650"/>
                <w:placeholder>
                  <w:docPart w:val="{6e29c513-1926-49cf-90f1-1681be43a8c8}"/>
                </w:placeholder>
              </w:sdtPr>
              <w:sdtContent>
                <w:r>
                  <w:rPr>
                    <w:rFonts w:ascii="宋体" w:hAnsi="宋体" w:cs="宋体" w:hint="eastAsia"/>
                    <w:sz w:val="24"/>
                    <w:szCs w:val="24"/>
                  </w:rPr>
                  <w:t>6.2 运营期噪声环境影响分析</w:t>
                </w:r>
              </w:sdtContent>
            </w:sdt>
            <w:r>
              <w:rPr>
                <w:rFonts w:ascii="宋体" w:hAnsi="宋体" w:cs="宋体" w:hint="eastAsia"/>
                <w:sz w:val="24"/>
                <w:szCs w:val="24"/>
              </w:rPr>
              <w:tab/>
            </w:r>
            <w:bookmarkStart w:id="39" w:name="_Toc21634_WPSOffice_Level2Page"/>
            <w:r>
              <w:rPr>
                <w:rFonts w:ascii="宋体" w:hAnsi="宋体" w:cs="宋体" w:hint="eastAsia"/>
                <w:sz w:val="24"/>
                <w:szCs w:val="24"/>
              </w:rPr>
              <w:t>126</w:t>
            </w:r>
            <w:bookmarkEnd w:id="39"/>
          </w:hyperlink>
        </w:p>
        <w:p w14:paraId="6A98281F"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1904_WPSOffice_Level2" w:history="1">
            <w:sdt>
              <w:sdtPr>
                <w:rPr>
                  <w:rFonts w:ascii="宋体" w:hAnsi="宋体" w:cs="宋体" w:hint="eastAsia"/>
                  <w:b/>
                  <w:kern w:val="2"/>
                  <w:sz w:val="24"/>
                  <w:szCs w:val="24"/>
                </w:rPr>
                <w:id w:val="1465780872"/>
                <w:placeholder>
                  <w:docPart w:val="{65d10d63-3b8f-459f-861b-6df2f6206bfe}"/>
                </w:placeholder>
              </w:sdtPr>
              <w:sdtContent>
                <w:r>
                  <w:rPr>
                    <w:rFonts w:ascii="宋体" w:hAnsi="宋体" w:cs="宋体" w:hint="eastAsia"/>
                    <w:sz w:val="24"/>
                    <w:szCs w:val="24"/>
                  </w:rPr>
                  <w:t>6.3 运营期地表水、地下水环境影响分析</w:t>
                </w:r>
              </w:sdtContent>
            </w:sdt>
            <w:r>
              <w:rPr>
                <w:rFonts w:ascii="宋体" w:hAnsi="宋体" w:cs="宋体" w:hint="eastAsia"/>
                <w:sz w:val="24"/>
                <w:szCs w:val="24"/>
              </w:rPr>
              <w:tab/>
            </w:r>
            <w:bookmarkStart w:id="40" w:name="_Toc11904_WPSOffice_Level2Page"/>
            <w:r>
              <w:rPr>
                <w:rFonts w:ascii="宋体" w:hAnsi="宋体" w:cs="宋体" w:hint="eastAsia"/>
                <w:sz w:val="24"/>
                <w:szCs w:val="24"/>
              </w:rPr>
              <w:t>126</w:t>
            </w:r>
            <w:bookmarkEnd w:id="40"/>
          </w:hyperlink>
        </w:p>
        <w:p w14:paraId="6A482DFC"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3976_WPSOffice_Level2" w:history="1">
            <w:sdt>
              <w:sdtPr>
                <w:rPr>
                  <w:rFonts w:ascii="宋体" w:hAnsi="宋体" w:cs="宋体" w:hint="eastAsia"/>
                  <w:b/>
                  <w:kern w:val="2"/>
                  <w:sz w:val="24"/>
                  <w:szCs w:val="24"/>
                </w:rPr>
                <w:id w:val="1588184848"/>
                <w:placeholder>
                  <w:docPart w:val="{132c0d89-4a21-4fcb-86a4-e492f5cc70e1}"/>
                </w:placeholder>
              </w:sdtPr>
              <w:sdtContent>
                <w:r>
                  <w:rPr>
                    <w:rFonts w:ascii="宋体" w:hAnsi="宋体" w:cs="宋体" w:hint="eastAsia"/>
                    <w:sz w:val="24"/>
                    <w:szCs w:val="24"/>
                  </w:rPr>
                  <w:t>6.4 运营期固体废物影响分析</w:t>
                </w:r>
              </w:sdtContent>
            </w:sdt>
            <w:r>
              <w:rPr>
                <w:rFonts w:ascii="宋体" w:hAnsi="宋体" w:cs="宋体" w:hint="eastAsia"/>
                <w:sz w:val="24"/>
                <w:szCs w:val="24"/>
              </w:rPr>
              <w:tab/>
            </w:r>
            <w:bookmarkStart w:id="41" w:name="_Toc3976_WPSOffice_Level2Page"/>
            <w:r>
              <w:rPr>
                <w:rFonts w:ascii="宋体" w:hAnsi="宋体" w:cs="宋体" w:hint="eastAsia"/>
                <w:sz w:val="24"/>
                <w:szCs w:val="24"/>
              </w:rPr>
              <w:t>127</w:t>
            </w:r>
            <w:bookmarkEnd w:id="41"/>
          </w:hyperlink>
        </w:p>
        <w:p w14:paraId="6E191EFF"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8779_WPSOffice_Level2" w:history="1">
            <w:sdt>
              <w:sdtPr>
                <w:rPr>
                  <w:rFonts w:ascii="宋体" w:hAnsi="宋体" w:cs="宋体" w:hint="eastAsia"/>
                  <w:b/>
                  <w:kern w:val="2"/>
                  <w:sz w:val="24"/>
                  <w:szCs w:val="24"/>
                </w:rPr>
                <w:id w:val="688571343"/>
                <w:placeholder>
                  <w:docPart w:val="{9ae45946-deac-4d03-a3a5-087eee5d78fb}"/>
                </w:placeholder>
              </w:sdtPr>
              <w:sdtContent>
                <w:r>
                  <w:rPr>
                    <w:rFonts w:ascii="宋体" w:hAnsi="宋体" w:cs="宋体" w:hint="eastAsia"/>
                    <w:sz w:val="24"/>
                    <w:szCs w:val="24"/>
                  </w:rPr>
                  <w:t>6.5 运营期生态环境影响分析</w:t>
                </w:r>
              </w:sdtContent>
            </w:sdt>
            <w:r>
              <w:rPr>
                <w:rFonts w:ascii="宋体" w:hAnsi="宋体" w:cs="宋体" w:hint="eastAsia"/>
                <w:sz w:val="24"/>
                <w:szCs w:val="24"/>
              </w:rPr>
              <w:tab/>
            </w:r>
            <w:bookmarkStart w:id="42" w:name="_Toc18779_WPSOffice_Level2Page"/>
            <w:r>
              <w:rPr>
                <w:rFonts w:ascii="宋体" w:hAnsi="宋体" w:cs="宋体" w:hint="eastAsia"/>
                <w:sz w:val="24"/>
                <w:szCs w:val="24"/>
              </w:rPr>
              <w:t>127</w:t>
            </w:r>
            <w:bookmarkEnd w:id="42"/>
          </w:hyperlink>
        </w:p>
        <w:p w14:paraId="54C6FF8B"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8256_WPSOffice_Level2" w:history="1">
            <w:sdt>
              <w:sdtPr>
                <w:rPr>
                  <w:rFonts w:ascii="宋体" w:hAnsi="宋体" w:cs="宋体" w:hint="eastAsia"/>
                  <w:b/>
                  <w:kern w:val="2"/>
                  <w:sz w:val="24"/>
                  <w:szCs w:val="24"/>
                </w:rPr>
                <w:id w:val="1419749079"/>
                <w:placeholder>
                  <w:docPart w:val="{da1f6388-e4ae-4edb-b04f-d8f83e4471f1}"/>
                </w:placeholder>
              </w:sdtPr>
              <w:sdtContent>
                <w:r>
                  <w:rPr>
                    <w:rFonts w:ascii="宋体" w:hAnsi="宋体" w:cs="宋体" w:hint="eastAsia"/>
                    <w:sz w:val="24"/>
                    <w:szCs w:val="24"/>
                  </w:rPr>
                  <w:t>6.6 社会经济影响分析</w:t>
                </w:r>
              </w:sdtContent>
            </w:sdt>
            <w:r>
              <w:rPr>
                <w:rFonts w:ascii="宋体" w:hAnsi="宋体" w:cs="宋体" w:hint="eastAsia"/>
                <w:sz w:val="24"/>
                <w:szCs w:val="24"/>
              </w:rPr>
              <w:tab/>
            </w:r>
            <w:bookmarkStart w:id="43" w:name="_Toc18256_WPSOffice_Level2Page"/>
            <w:r>
              <w:rPr>
                <w:rFonts w:ascii="宋体" w:hAnsi="宋体" w:cs="宋体" w:hint="eastAsia"/>
                <w:sz w:val="24"/>
                <w:szCs w:val="24"/>
              </w:rPr>
              <w:t>130</w:t>
            </w:r>
            <w:bookmarkEnd w:id="43"/>
          </w:hyperlink>
        </w:p>
        <w:p w14:paraId="71464857" w14:textId="77777777" w:rsidR="005A1A44" w:rsidRDefault="005A1A44">
          <w:pPr>
            <w:pStyle w:val="WPSOffice1"/>
            <w:tabs>
              <w:tab w:val="right" w:leader="dot" w:pos="8634"/>
            </w:tabs>
            <w:spacing w:line="360" w:lineRule="auto"/>
            <w:rPr>
              <w:rFonts w:ascii="宋体" w:hAnsi="宋体" w:cs="宋体" w:hint="eastAsia"/>
              <w:sz w:val="24"/>
              <w:szCs w:val="24"/>
            </w:rPr>
          </w:pPr>
          <w:hyperlink w:anchor="_Toc12178_WPSOffice_Level1" w:history="1">
            <w:sdt>
              <w:sdtPr>
                <w:rPr>
                  <w:rFonts w:ascii="宋体" w:hAnsi="宋体" w:cs="宋体" w:hint="eastAsia"/>
                  <w:b/>
                  <w:bCs/>
                  <w:kern w:val="2"/>
                  <w:sz w:val="24"/>
                  <w:szCs w:val="24"/>
                </w:rPr>
                <w:id w:val="-716819324"/>
                <w:placeholder>
                  <w:docPart w:val="{72ed388e-e70d-467b-8ce8-d3f88b8b3ed8}"/>
                </w:placeholder>
              </w:sdtPr>
              <w:sdtContent>
                <w:r>
                  <w:rPr>
                    <w:rFonts w:ascii="宋体" w:hAnsi="宋体" w:cs="宋体" w:hint="eastAsia"/>
                    <w:b/>
                    <w:bCs/>
                    <w:sz w:val="24"/>
                    <w:szCs w:val="24"/>
                  </w:rPr>
                  <w:t>7 环境风险分析</w:t>
                </w:r>
              </w:sdtContent>
            </w:sdt>
            <w:r>
              <w:rPr>
                <w:rFonts w:ascii="宋体" w:hAnsi="宋体" w:cs="宋体" w:hint="eastAsia"/>
                <w:b/>
                <w:bCs/>
                <w:sz w:val="24"/>
                <w:szCs w:val="24"/>
              </w:rPr>
              <w:tab/>
            </w:r>
            <w:bookmarkStart w:id="44" w:name="_Toc12178_WPSOffice_Level1Page"/>
            <w:r>
              <w:rPr>
                <w:rFonts w:ascii="宋体" w:hAnsi="宋体" w:cs="宋体" w:hint="eastAsia"/>
                <w:b/>
                <w:bCs/>
                <w:sz w:val="24"/>
                <w:szCs w:val="24"/>
              </w:rPr>
              <w:t>131</w:t>
            </w:r>
            <w:bookmarkEnd w:id="44"/>
          </w:hyperlink>
        </w:p>
        <w:p w14:paraId="3052316F"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7554_WPSOffice_Level2" w:history="1">
            <w:sdt>
              <w:sdtPr>
                <w:rPr>
                  <w:rFonts w:ascii="宋体" w:hAnsi="宋体" w:cs="宋体" w:hint="eastAsia"/>
                  <w:b/>
                  <w:kern w:val="2"/>
                  <w:sz w:val="24"/>
                  <w:szCs w:val="24"/>
                </w:rPr>
                <w:id w:val="189269460"/>
                <w:placeholder>
                  <w:docPart w:val="{19f9d479-419a-416e-baa9-cd855c9a0ca0}"/>
                </w:placeholder>
              </w:sdtPr>
              <w:sdtContent>
                <w:r>
                  <w:rPr>
                    <w:rFonts w:ascii="宋体" w:hAnsi="宋体" w:cs="宋体" w:hint="eastAsia"/>
                    <w:sz w:val="24"/>
                    <w:szCs w:val="24"/>
                  </w:rPr>
                  <w:t>7.1 环境风险分析目的</w:t>
                </w:r>
              </w:sdtContent>
            </w:sdt>
            <w:r>
              <w:rPr>
                <w:rFonts w:ascii="宋体" w:hAnsi="宋体" w:cs="宋体" w:hint="eastAsia"/>
                <w:sz w:val="24"/>
                <w:szCs w:val="24"/>
              </w:rPr>
              <w:tab/>
            </w:r>
            <w:bookmarkStart w:id="45" w:name="_Toc17554_WPSOffice_Level2Page"/>
            <w:r>
              <w:rPr>
                <w:rFonts w:ascii="宋体" w:hAnsi="宋体" w:cs="宋体" w:hint="eastAsia"/>
                <w:sz w:val="24"/>
                <w:szCs w:val="24"/>
              </w:rPr>
              <w:t>131</w:t>
            </w:r>
            <w:bookmarkEnd w:id="45"/>
          </w:hyperlink>
        </w:p>
        <w:p w14:paraId="5C3F44AB"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5129_WPSOffice_Level2" w:history="1">
            <w:sdt>
              <w:sdtPr>
                <w:rPr>
                  <w:rFonts w:ascii="宋体" w:hAnsi="宋体" w:cs="宋体" w:hint="eastAsia"/>
                  <w:b/>
                  <w:kern w:val="2"/>
                  <w:sz w:val="24"/>
                  <w:szCs w:val="24"/>
                </w:rPr>
                <w:id w:val="-693149066"/>
                <w:placeholder>
                  <w:docPart w:val="{55314206-d2e5-48c5-9f88-37a93154e95c}"/>
                </w:placeholder>
              </w:sdtPr>
              <w:sdtContent>
                <w:r>
                  <w:rPr>
                    <w:rFonts w:ascii="宋体" w:hAnsi="宋体" w:cs="宋体" w:hint="eastAsia"/>
                    <w:sz w:val="24"/>
                    <w:szCs w:val="24"/>
                  </w:rPr>
                  <w:t>7.2 环境风险识别</w:t>
                </w:r>
              </w:sdtContent>
            </w:sdt>
            <w:r>
              <w:rPr>
                <w:rFonts w:ascii="宋体" w:hAnsi="宋体" w:cs="宋体" w:hint="eastAsia"/>
                <w:sz w:val="24"/>
                <w:szCs w:val="24"/>
              </w:rPr>
              <w:tab/>
            </w:r>
            <w:bookmarkStart w:id="46" w:name="_Toc15129_WPSOffice_Level2Page"/>
            <w:r>
              <w:rPr>
                <w:rFonts w:ascii="宋体" w:hAnsi="宋体" w:cs="宋体" w:hint="eastAsia"/>
                <w:sz w:val="24"/>
                <w:szCs w:val="24"/>
              </w:rPr>
              <w:t>131</w:t>
            </w:r>
            <w:bookmarkEnd w:id="46"/>
          </w:hyperlink>
        </w:p>
        <w:p w14:paraId="023A29B1"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0879_WPSOffice_Level2" w:history="1">
            <w:sdt>
              <w:sdtPr>
                <w:rPr>
                  <w:rFonts w:ascii="宋体" w:hAnsi="宋体" w:cs="宋体" w:hint="eastAsia"/>
                  <w:b/>
                  <w:kern w:val="2"/>
                  <w:sz w:val="24"/>
                  <w:szCs w:val="24"/>
                </w:rPr>
                <w:id w:val="-1499718086"/>
                <w:placeholder>
                  <w:docPart w:val="{069100f9-07da-4af2-ab0b-597e6b0b4bf4}"/>
                </w:placeholder>
              </w:sdtPr>
              <w:sdtContent>
                <w:r>
                  <w:rPr>
                    <w:rFonts w:ascii="宋体" w:hAnsi="宋体" w:cs="宋体" w:hint="eastAsia"/>
                    <w:sz w:val="24"/>
                    <w:szCs w:val="24"/>
                  </w:rPr>
                  <w:t>7.3 事故应急预案框架</w:t>
                </w:r>
              </w:sdtContent>
            </w:sdt>
            <w:r>
              <w:rPr>
                <w:rFonts w:ascii="宋体" w:hAnsi="宋体" w:cs="宋体" w:hint="eastAsia"/>
                <w:sz w:val="24"/>
                <w:szCs w:val="24"/>
              </w:rPr>
              <w:tab/>
            </w:r>
            <w:bookmarkStart w:id="47" w:name="_Toc20879_WPSOffice_Level2Page"/>
            <w:r>
              <w:rPr>
                <w:rFonts w:ascii="宋体" w:hAnsi="宋体" w:cs="宋体" w:hint="eastAsia"/>
                <w:sz w:val="24"/>
                <w:szCs w:val="24"/>
              </w:rPr>
              <w:t>132</w:t>
            </w:r>
            <w:bookmarkEnd w:id="47"/>
          </w:hyperlink>
        </w:p>
        <w:p w14:paraId="0C5E2F6A"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4415_WPSOffice_Level2" w:history="1">
            <w:sdt>
              <w:sdtPr>
                <w:rPr>
                  <w:rFonts w:ascii="宋体" w:hAnsi="宋体" w:cs="宋体" w:hint="eastAsia"/>
                  <w:b/>
                  <w:kern w:val="2"/>
                  <w:sz w:val="24"/>
                  <w:szCs w:val="24"/>
                </w:rPr>
                <w:id w:val="-376317632"/>
                <w:placeholder>
                  <w:docPart w:val="{d6f2ad12-91da-4313-9a4b-cee56c917868}"/>
                </w:placeholder>
              </w:sdtPr>
              <w:sdtContent>
                <w:r>
                  <w:rPr>
                    <w:rFonts w:ascii="宋体" w:hAnsi="宋体" w:cs="宋体" w:hint="eastAsia"/>
                    <w:sz w:val="24"/>
                    <w:szCs w:val="24"/>
                  </w:rPr>
                  <w:t>（一）应急组织机构及应急处置程序</w:t>
                </w:r>
              </w:sdtContent>
            </w:sdt>
            <w:r>
              <w:rPr>
                <w:rFonts w:ascii="宋体" w:hAnsi="宋体" w:cs="宋体" w:hint="eastAsia"/>
                <w:sz w:val="24"/>
                <w:szCs w:val="24"/>
              </w:rPr>
              <w:tab/>
            </w:r>
            <w:bookmarkStart w:id="48" w:name="_Toc4415_WPSOffice_Level2Page"/>
            <w:r>
              <w:rPr>
                <w:rFonts w:ascii="宋体" w:hAnsi="宋体" w:cs="宋体" w:hint="eastAsia"/>
                <w:sz w:val="24"/>
                <w:szCs w:val="24"/>
              </w:rPr>
              <w:t>132</w:t>
            </w:r>
            <w:bookmarkEnd w:id="48"/>
          </w:hyperlink>
        </w:p>
        <w:p w14:paraId="144DAD43"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3677_WPSOffice_Level2" w:history="1">
            <w:sdt>
              <w:sdtPr>
                <w:rPr>
                  <w:rFonts w:ascii="宋体" w:hAnsi="宋体" w:cs="宋体" w:hint="eastAsia"/>
                  <w:b/>
                  <w:kern w:val="2"/>
                  <w:sz w:val="24"/>
                  <w:szCs w:val="24"/>
                </w:rPr>
                <w:id w:val="-972665448"/>
                <w:placeholder>
                  <w:docPart w:val="{39c3e274-91a9-48f0-ac4d-074f4a2020c3}"/>
                </w:placeholder>
              </w:sdtPr>
              <w:sdtContent>
                <w:r>
                  <w:rPr>
                    <w:rFonts w:ascii="宋体" w:hAnsi="宋体" w:cs="宋体" w:hint="eastAsia"/>
                    <w:sz w:val="24"/>
                    <w:szCs w:val="24"/>
                  </w:rPr>
                  <w:t>（二）重大危险源的确定</w:t>
                </w:r>
              </w:sdtContent>
            </w:sdt>
            <w:r>
              <w:rPr>
                <w:rFonts w:ascii="宋体" w:hAnsi="宋体" w:cs="宋体" w:hint="eastAsia"/>
                <w:sz w:val="24"/>
                <w:szCs w:val="24"/>
              </w:rPr>
              <w:tab/>
            </w:r>
            <w:bookmarkStart w:id="49" w:name="_Toc13677_WPSOffice_Level2Page"/>
            <w:r>
              <w:rPr>
                <w:rFonts w:ascii="宋体" w:hAnsi="宋体" w:cs="宋体" w:hint="eastAsia"/>
                <w:sz w:val="24"/>
                <w:szCs w:val="24"/>
              </w:rPr>
              <w:t>133</w:t>
            </w:r>
            <w:bookmarkEnd w:id="49"/>
          </w:hyperlink>
        </w:p>
        <w:p w14:paraId="02FC8CD8"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6612_WPSOffice_Level2" w:history="1">
            <w:sdt>
              <w:sdtPr>
                <w:rPr>
                  <w:rFonts w:ascii="宋体" w:hAnsi="宋体" w:cs="宋体" w:hint="eastAsia"/>
                  <w:b/>
                  <w:kern w:val="2"/>
                  <w:sz w:val="24"/>
                  <w:szCs w:val="24"/>
                </w:rPr>
                <w:id w:val="100615226"/>
                <w:placeholder>
                  <w:docPart w:val="{a9320c70-aefd-446e-bdc2-99ee033ea57d}"/>
                </w:placeholder>
              </w:sdtPr>
              <w:sdtContent>
                <w:r>
                  <w:rPr>
                    <w:rFonts w:ascii="宋体" w:hAnsi="宋体" w:cs="宋体" w:hint="eastAsia"/>
                    <w:sz w:val="24"/>
                    <w:szCs w:val="24"/>
                  </w:rPr>
                  <w:t>（三）对事故的控制措施</w:t>
                </w:r>
              </w:sdtContent>
            </w:sdt>
            <w:r>
              <w:rPr>
                <w:rFonts w:ascii="宋体" w:hAnsi="宋体" w:cs="宋体" w:hint="eastAsia"/>
                <w:sz w:val="24"/>
                <w:szCs w:val="24"/>
              </w:rPr>
              <w:tab/>
            </w:r>
            <w:bookmarkStart w:id="50" w:name="_Toc6612_WPSOffice_Level2Page"/>
            <w:r>
              <w:rPr>
                <w:rFonts w:ascii="宋体" w:hAnsi="宋体" w:cs="宋体" w:hint="eastAsia"/>
                <w:sz w:val="24"/>
                <w:szCs w:val="24"/>
              </w:rPr>
              <w:t>133</w:t>
            </w:r>
            <w:bookmarkEnd w:id="50"/>
          </w:hyperlink>
        </w:p>
        <w:p w14:paraId="2DB3F6D3" w14:textId="77777777" w:rsidR="005A1A44" w:rsidRDefault="005A1A44">
          <w:pPr>
            <w:pStyle w:val="WPSOffice1"/>
            <w:tabs>
              <w:tab w:val="right" w:leader="dot" w:pos="8634"/>
            </w:tabs>
            <w:spacing w:line="360" w:lineRule="auto"/>
            <w:rPr>
              <w:rFonts w:ascii="宋体" w:hAnsi="宋体" w:cs="宋体" w:hint="eastAsia"/>
              <w:sz w:val="24"/>
              <w:szCs w:val="24"/>
            </w:rPr>
          </w:pPr>
          <w:hyperlink w:anchor="_Toc29988_WPSOffice_Level1" w:history="1">
            <w:sdt>
              <w:sdtPr>
                <w:rPr>
                  <w:rFonts w:ascii="宋体" w:hAnsi="宋体" w:cs="宋体" w:hint="eastAsia"/>
                  <w:b/>
                  <w:bCs/>
                  <w:kern w:val="2"/>
                  <w:sz w:val="24"/>
                  <w:szCs w:val="24"/>
                </w:rPr>
                <w:id w:val="-1199615781"/>
                <w:placeholder>
                  <w:docPart w:val="{168b6f17-aaa1-4550-b6c7-d1c2861c069c}"/>
                </w:placeholder>
              </w:sdtPr>
              <w:sdtContent>
                <w:r>
                  <w:rPr>
                    <w:rFonts w:ascii="宋体" w:hAnsi="宋体" w:cs="宋体" w:hint="eastAsia"/>
                    <w:b/>
                    <w:bCs/>
                    <w:sz w:val="24"/>
                    <w:szCs w:val="24"/>
                  </w:rPr>
                  <w:t>8 环境保护措施及其可行性论证</w:t>
                </w:r>
              </w:sdtContent>
            </w:sdt>
            <w:r>
              <w:rPr>
                <w:rFonts w:ascii="宋体" w:hAnsi="宋体" w:cs="宋体" w:hint="eastAsia"/>
                <w:b/>
                <w:bCs/>
                <w:sz w:val="24"/>
                <w:szCs w:val="24"/>
              </w:rPr>
              <w:tab/>
            </w:r>
            <w:bookmarkStart w:id="51" w:name="_Toc29988_WPSOffice_Level1Page"/>
            <w:r>
              <w:rPr>
                <w:rFonts w:ascii="宋体" w:hAnsi="宋体" w:cs="宋体" w:hint="eastAsia"/>
                <w:b/>
                <w:bCs/>
                <w:sz w:val="24"/>
                <w:szCs w:val="24"/>
              </w:rPr>
              <w:t>136</w:t>
            </w:r>
            <w:bookmarkEnd w:id="51"/>
          </w:hyperlink>
        </w:p>
        <w:p w14:paraId="6C10CF43"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8870_WPSOffice_Level2" w:history="1">
            <w:sdt>
              <w:sdtPr>
                <w:rPr>
                  <w:rFonts w:ascii="宋体" w:hAnsi="宋体" w:cs="宋体" w:hint="eastAsia"/>
                  <w:b/>
                  <w:kern w:val="2"/>
                  <w:sz w:val="24"/>
                  <w:szCs w:val="24"/>
                </w:rPr>
                <w:id w:val="700359312"/>
                <w:placeholder>
                  <w:docPart w:val="{e540c82f-b55b-433a-85c2-f8d895a696e0}"/>
                </w:placeholder>
              </w:sdtPr>
              <w:sdtContent>
                <w:r>
                  <w:rPr>
                    <w:rFonts w:ascii="宋体" w:hAnsi="宋体" w:cs="宋体" w:hint="eastAsia"/>
                    <w:sz w:val="24"/>
                    <w:szCs w:val="24"/>
                  </w:rPr>
                  <w:t>8.1 施工期环保工程措施</w:t>
                </w:r>
              </w:sdtContent>
            </w:sdt>
            <w:r>
              <w:rPr>
                <w:rFonts w:ascii="宋体" w:hAnsi="宋体" w:cs="宋体" w:hint="eastAsia"/>
                <w:sz w:val="24"/>
                <w:szCs w:val="24"/>
              </w:rPr>
              <w:tab/>
            </w:r>
            <w:bookmarkStart w:id="52" w:name="_Toc18870_WPSOffice_Level2Page"/>
            <w:r>
              <w:rPr>
                <w:rFonts w:ascii="宋体" w:hAnsi="宋体" w:cs="宋体" w:hint="eastAsia"/>
                <w:sz w:val="24"/>
                <w:szCs w:val="24"/>
              </w:rPr>
              <w:t>136</w:t>
            </w:r>
            <w:bookmarkEnd w:id="52"/>
          </w:hyperlink>
        </w:p>
        <w:p w14:paraId="5BEC24ED"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9438_WPSOffice_Level2" w:history="1">
            <w:sdt>
              <w:sdtPr>
                <w:rPr>
                  <w:rFonts w:ascii="宋体" w:hAnsi="宋体" w:cs="宋体" w:hint="eastAsia"/>
                  <w:b/>
                  <w:kern w:val="2"/>
                  <w:sz w:val="24"/>
                  <w:szCs w:val="24"/>
                </w:rPr>
                <w:id w:val="-607428842"/>
                <w:placeholder>
                  <w:docPart w:val="{5e31ab20-d998-4b04-bd26-0d0abc821851}"/>
                </w:placeholder>
              </w:sdtPr>
              <w:sdtContent>
                <w:r>
                  <w:rPr>
                    <w:rFonts w:ascii="宋体" w:hAnsi="宋体" w:cs="宋体" w:hint="eastAsia"/>
                    <w:sz w:val="24"/>
                    <w:szCs w:val="24"/>
                  </w:rPr>
                  <w:t>8.2 运营期环境保护措施</w:t>
                </w:r>
              </w:sdtContent>
            </w:sdt>
            <w:r>
              <w:rPr>
                <w:rFonts w:ascii="宋体" w:hAnsi="宋体" w:cs="宋体" w:hint="eastAsia"/>
                <w:sz w:val="24"/>
                <w:szCs w:val="24"/>
              </w:rPr>
              <w:tab/>
            </w:r>
            <w:bookmarkStart w:id="53" w:name="_Toc29438_WPSOffice_Level2Page"/>
            <w:r>
              <w:rPr>
                <w:rFonts w:ascii="宋体" w:hAnsi="宋体" w:cs="宋体" w:hint="eastAsia"/>
                <w:sz w:val="24"/>
                <w:szCs w:val="24"/>
              </w:rPr>
              <w:t>143</w:t>
            </w:r>
            <w:bookmarkEnd w:id="53"/>
          </w:hyperlink>
        </w:p>
        <w:p w14:paraId="0D5189C4"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7119_WPSOffice_Level2" w:history="1">
            <w:sdt>
              <w:sdtPr>
                <w:rPr>
                  <w:rFonts w:ascii="宋体" w:hAnsi="宋体" w:cs="宋体" w:hint="eastAsia"/>
                  <w:b/>
                  <w:kern w:val="2"/>
                  <w:sz w:val="24"/>
                  <w:szCs w:val="24"/>
                </w:rPr>
                <w:id w:val="542259365"/>
                <w:placeholder>
                  <w:docPart w:val="{c90bba11-d744-49e2-b261-9275edc08186}"/>
                </w:placeholder>
              </w:sdtPr>
              <w:sdtContent>
                <w:r>
                  <w:rPr>
                    <w:rFonts w:ascii="宋体" w:hAnsi="宋体" w:cs="宋体" w:hint="eastAsia"/>
                    <w:sz w:val="24"/>
                    <w:szCs w:val="24"/>
                  </w:rPr>
                  <w:t>8.3 运营期环保工程措施</w:t>
                </w:r>
              </w:sdtContent>
            </w:sdt>
            <w:r>
              <w:rPr>
                <w:rFonts w:ascii="宋体" w:hAnsi="宋体" w:cs="宋体" w:hint="eastAsia"/>
                <w:sz w:val="24"/>
                <w:szCs w:val="24"/>
              </w:rPr>
              <w:tab/>
            </w:r>
            <w:bookmarkStart w:id="54" w:name="_Toc7119_WPSOffice_Level2Page"/>
            <w:r>
              <w:rPr>
                <w:rFonts w:ascii="宋体" w:hAnsi="宋体" w:cs="宋体" w:hint="eastAsia"/>
                <w:sz w:val="24"/>
                <w:szCs w:val="24"/>
              </w:rPr>
              <w:t>144</w:t>
            </w:r>
            <w:bookmarkEnd w:id="54"/>
          </w:hyperlink>
        </w:p>
        <w:p w14:paraId="0C1EECBD"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298_WPSOffice_Level2" w:history="1">
            <w:sdt>
              <w:sdtPr>
                <w:rPr>
                  <w:rFonts w:ascii="宋体" w:hAnsi="宋体" w:cs="宋体" w:hint="eastAsia"/>
                  <w:b/>
                  <w:kern w:val="2"/>
                  <w:sz w:val="24"/>
                  <w:szCs w:val="24"/>
                </w:rPr>
                <w:id w:val="1803730992"/>
                <w:placeholder>
                  <w:docPart w:val="{20fcd14b-4413-4df1-8e5b-3834ceb50c45}"/>
                </w:placeholder>
              </w:sdtPr>
              <w:sdtContent>
                <w:r>
                  <w:rPr>
                    <w:rFonts w:ascii="宋体" w:hAnsi="宋体" w:cs="宋体" w:hint="eastAsia"/>
                    <w:sz w:val="24"/>
                    <w:szCs w:val="24"/>
                  </w:rPr>
                  <w:t>8.4 工程环保投资</w:t>
                </w:r>
              </w:sdtContent>
            </w:sdt>
            <w:r>
              <w:rPr>
                <w:rFonts w:ascii="宋体" w:hAnsi="宋体" w:cs="宋体" w:hint="eastAsia"/>
                <w:sz w:val="24"/>
                <w:szCs w:val="24"/>
              </w:rPr>
              <w:tab/>
            </w:r>
            <w:bookmarkStart w:id="55" w:name="_Toc1298_WPSOffice_Level2Page"/>
            <w:r>
              <w:rPr>
                <w:rFonts w:ascii="宋体" w:hAnsi="宋体" w:cs="宋体" w:hint="eastAsia"/>
                <w:sz w:val="24"/>
                <w:szCs w:val="24"/>
              </w:rPr>
              <w:t>144</w:t>
            </w:r>
            <w:bookmarkEnd w:id="55"/>
          </w:hyperlink>
        </w:p>
        <w:p w14:paraId="196CBB8B" w14:textId="77777777" w:rsidR="005A1A44" w:rsidRDefault="005A1A44">
          <w:pPr>
            <w:pStyle w:val="WPSOffice1"/>
            <w:tabs>
              <w:tab w:val="right" w:leader="dot" w:pos="8634"/>
            </w:tabs>
            <w:spacing w:line="360" w:lineRule="auto"/>
            <w:rPr>
              <w:rFonts w:ascii="宋体" w:hAnsi="宋体" w:cs="宋体" w:hint="eastAsia"/>
              <w:sz w:val="24"/>
              <w:szCs w:val="24"/>
            </w:rPr>
          </w:pPr>
          <w:hyperlink w:anchor="_Toc16460_WPSOffice_Level1" w:history="1">
            <w:sdt>
              <w:sdtPr>
                <w:rPr>
                  <w:rFonts w:ascii="宋体" w:hAnsi="宋体" w:cs="宋体" w:hint="eastAsia"/>
                  <w:b/>
                  <w:bCs/>
                  <w:kern w:val="2"/>
                  <w:sz w:val="24"/>
                  <w:szCs w:val="24"/>
                </w:rPr>
                <w:id w:val="-601652565"/>
                <w:placeholder>
                  <w:docPart w:val="{1840a25f-9088-4233-813e-7781020f0863}"/>
                </w:placeholder>
              </w:sdtPr>
              <w:sdtContent>
                <w:r>
                  <w:rPr>
                    <w:rFonts w:ascii="宋体" w:hAnsi="宋体" w:cs="宋体" w:hint="eastAsia"/>
                    <w:b/>
                    <w:bCs/>
                    <w:sz w:val="24"/>
                    <w:szCs w:val="24"/>
                  </w:rPr>
                  <w:t>9 环境影响经济损益分析</w:t>
                </w:r>
              </w:sdtContent>
            </w:sdt>
            <w:r>
              <w:rPr>
                <w:rFonts w:ascii="宋体" w:hAnsi="宋体" w:cs="宋体" w:hint="eastAsia"/>
                <w:b/>
                <w:bCs/>
                <w:sz w:val="24"/>
                <w:szCs w:val="24"/>
              </w:rPr>
              <w:tab/>
            </w:r>
            <w:bookmarkStart w:id="56" w:name="_Toc16460_WPSOffice_Level1Page"/>
            <w:r>
              <w:rPr>
                <w:rFonts w:ascii="宋体" w:hAnsi="宋体" w:cs="宋体" w:hint="eastAsia"/>
                <w:b/>
                <w:bCs/>
                <w:sz w:val="24"/>
                <w:szCs w:val="24"/>
              </w:rPr>
              <w:t>146</w:t>
            </w:r>
            <w:bookmarkEnd w:id="56"/>
          </w:hyperlink>
        </w:p>
        <w:p w14:paraId="7B6395C4"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5563_WPSOffice_Level2" w:history="1">
            <w:sdt>
              <w:sdtPr>
                <w:rPr>
                  <w:rFonts w:ascii="宋体" w:hAnsi="宋体" w:cs="宋体" w:hint="eastAsia"/>
                  <w:b/>
                  <w:kern w:val="2"/>
                  <w:sz w:val="24"/>
                  <w:szCs w:val="24"/>
                </w:rPr>
                <w:id w:val="975337480"/>
                <w:placeholder>
                  <w:docPart w:val="{80ff12a4-bf8d-4908-a446-9346570d5bc2}"/>
                </w:placeholder>
              </w:sdtPr>
              <w:sdtContent>
                <w:r>
                  <w:rPr>
                    <w:rFonts w:ascii="宋体" w:hAnsi="宋体" w:cs="宋体" w:hint="eastAsia"/>
                    <w:sz w:val="24"/>
                    <w:szCs w:val="24"/>
                  </w:rPr>
                  <w:t>9.1 环境影响损益分析</w:t>
                </w:r>
              </w:sdtContent>
            </w:sdt>
            <w:r>
              <w:rPr>
                <w:rFonts w:ascii="宋体" w:hAnsi="宋体" w:cs="宋体" w:hint="eastAsia"/>
                <w:sz w:val="24"/>
                <w:szCs w:val="24"/>
              </w:rPr>
              <w:tab/>
            </w:r>
            <w:bookmarkStart w:id="57" w:name="_Toc15563_WPSOffice_Level2Page"/>
            <w:r>
              <w:rPr>
                <w:rFonts w:ascii="宋体" w:hAnsi="宋体" w:cs="宋体" w:hint="eastAsia"/>
                <w:sz w:val="24"/>
                <w:szCs w:val="24"/>
              </w:rPr>
              <w:t>146</w:t>
            </w:r>
            <w:bookmarkEnd w:id="57"/>
          </w:hyperlink>
        </w:p>
        <w:p w14:paraId="36756AFA"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5807_WPSOffice_Level2" w:history="1">
            <w:sdt>
              <w:sdtPr>
                <w:rPr>
                  <w:rFonts w:ascii="宋体" w:hAnsi="宋体" w:cs="宋体" w:hint="eastAsia"/>
                  <w:b/>
                  <w:kern w:val="2"/>
                  <w:sz w:val="24"/>
                  <w:szCs w:val="24"/>
                </w:rPr>
                <w:id w:val="635458479"/>
                <w:placeholder>
                  <w:docPart w:val="{0796188b-111a-4e38-9e81-c430e561dd7b}"/>
                </w:placeholder>
              </w:sdtPr>
              <w:sdtContent>
                <w:r>
                  <w:rPr>
                    <w:rFonts w:ascii="宋体" w:hAnsi="宋体" w:cs="宋体" w:hint="eastAsia"/>
                    <w:sz w:val="24"/>
                    <w:szCs w:val="24"/>
                  </w:rPr>
                  <w:t>9.2 社会效益分析</w:t>
                </w:r>
              </w:sdtContent>
            </w:sdt>
            <w:r>
              <w:rPr>
                <w:rFonts w:ascii="宋体" w:hAnsi="宋体" w:cs="宋体" w:hint="eastAsia"/>
                <w:sz w:val="24"/>
                <w:szCs w:val="24"/>
              </w:rPr>
              <w:tab/>
            </w:r>
            <w:bookmarkStart w:id="58" w:name="_Toc25807_WPSOffice_Level2Page"/>
            <w:r>
              <w:rPr>
                <w:rFonts w:ascii="宋体" w:hAnsi="宋体" w:cs="宋体" w:hint="eastAsia"/>
                <w:sz w:val="24"/>
                <w:szCs w:val="24"/>
              </w:rPr>
              <w:t>146</w:t>
            </w:r>
            <w:bookmarkEnd w:id="58"/>
          </w:hyperlink>
        </w:p>
        <w:p w14:paraId="5195CC84"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3576_WPSOffice_Level2" w:history="1">
            <w:sdt>
              <w:sdtPr>
                <w:rPr>
                  <w:rFonts w:ascii="宋体" w:hAnsi="宋体" w:cs="宋体" w:hint="eastAsia"/>
                  <w:b/>
                  <w:kern w:val="2"/>
                  <w:sz w:val="24"/>
                  <w:szCs w:val="24"/>
                </w:rPr>
                <w:id w:val="-1408066438"/>
                <w:placeholder>
                  <w:docPart w:val="{024635ae-aca8-4bdd-9059-b3af528ba926}"/>
                </w:placeholder>
              </w:sdtPr>
              <w:sdtContent>
                <w:r>
                  <w:rPr>
                    <w:rFonts w:ascii="宋体" w:hAnsi="宋体" w:cs="宋体" w:hint="eastAsia"/>
                    <w:sz w:val="24"/>
                    <w:szCs w:val="24"/>
                  </w:rPr>
                  <w:t>9.3 生态环境效益分析</w:t>
                </w:r>
              </w:sdtContent>
            </w:sdt>
            <w:r>
              <w:rPr>
                <w:rFonts w:ascii="宋体" w:hAnsi="宋体" w:cs="宋体" w:hint="eastAsia"/>
                <w:sz w:val="24"/>
                <w:szCs w:val="24"/>
              </w:rPr>
              <w:tab/>
            </w:r>
            <w:bookmarkStart w:id="59" w:name="_Toc23576_WPSOffice_Level2Page"/>
            <w:r>
              <w:rPr>
                <w:rFonts w:ascii="宋体" w:hAnsi="宋体" w:cs="宋体" w:hint="eastAsia"/>
                <w:sz w:val="24"/>
                <w:szCs w:val="24"/>
              </w:rPr>
              <w:t>147</w:t>
            </w:r>
            <w:bookmarkEnd w:id="59"/>
          </w:hyperlink>
        </w:p>
        <w:p w14:paraId="7AD3B9AB"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4111_WPSOffice_Level2" w:history="1">
            <w:sdt>
              <w:sdtPr>
                <w:rPr>
                  <w:rFonts w:ascii="宋体" w:hAnsi="宋体" w:cs="宋体" w:hint="eastAsia"/>
                  <w:b/>
                  <w:kern w:val="2"/>
                  <w:sz w:val="24"/>
                  <w:szCs w:val="24"/>
                </w:rPr>
                <w:id w:val="1636674571"/>
                <w:placeholder>
                  <w:docPart w:val="{1aa7ff65-a858-45fb-962d-6efce88f0937}"/>
                </w:placeholder>
              </w:sdtPr>
              <w:sdtContent>
                <w:r>
                  <w:rPr>
                    <w:rFonts w:ascii="宋体" w:hAnsi="宋体" w:cs="宋体" w:hint="eastAsia"/>
                    <w:sz w:val="24"/>
                    <w:szCs w:val="24"/>
                  </w:rPr>
                  <w:t>9.4 环境经济损益分析</w:t>
                </w:r>
              </w:sdtContent>
            </w:sdt>
            <w:r>
              <w:rPr>
                <w:rFonts w:ascii="宋体" w:hAnsi="宋体" w:cs="宋体" w:hint="eastAsia"/>
                <w:sz w:val="24"/>
                <w:szCs w:val="24"/>
              </w:rPr>
              <w:tab/>
            </w:r>
            <w:bookmarkStart w:id="60" w:name="_Toc24111_WPSOffice_Level2Page"/>
            <w:r>
              <w:rPr>
                <w:rFonts w:ascii="宋体" w:hAnsi="宋体" w:cs="宋体" w:hint="eastAsia"/>
                <w:sz w:val="24"/>
                <w:szCs w:val="24"/>
              </w:rPr>
              <w:t>148</w:t>
            </w:r>
            <w:bookmarkEnd w:id="60"/>
          </w:hyperlink>
        </w:p>
        <w:p w14:paraId="2786CD88" w14:textId="77777777" w:rsidR="005A1A44" w:rsidRDefault="005A1A44">
          <w:pPr>
            <w:pStyle w:val="WPSOffice1"/>
            <w:tabs>
              <w:tab w:val="right" w:leader="dot" w:pos="8634"/>
            </w:tabs>
            <w:spacing w:line="360" w:lineRule="auto"/>
            <w:rPr>
              <w:rFonts w:ascii="宋体" w:hAnsi="宋体" w:cs="宋体" w:hint="eastAsia"/>
              <w:sz w:val="24"/>
              <w:szCs w:val="24"/>
            </w:rPr>
          </w:pPr>
          <w:hyperlink w:anchor="_Toc17517_WPSOffice_Level1" w:history="1">
            <w:sdt>
              <w:sdtPr>
                <w:rPr>
                  <w:rFonts w:ascii="宋体" w:hAnsi="宋体" w:cs="宋体" w:hint="eastAsia"/>
                  <w:b/>
                  <w:bCs/>
                  <w:kern w:val="2"/>
                  <w:sz w:val="24"/>
                  <w:szCs w:val="24"/>
                </w:rPr>
                <w:id w:val="1919974854"/>
                <w:placeholder>
                  <w:docPart w:val="{0b5510d3-f3bd-4ca2-86ce-fdfedb088839}"/>
                </w:placeholder>
              </w:sdtPr>
              <w:sdtContent>
                <w:r>
                  <w:rPr>
                    <w:rFonts w:ascii="宋体" w:hAnsi="宋体" w:cs="宋体" w:hint="eastAsia"/>
                    <w:b/>
                    <w:bCs/>
                    <w:sz w:val="24"/>
                    <w:szCs w:val="24"/>
                  </w:rPr>
                  <w:t>10 环境管理与监测计划</w:t>
                </w:r>
              </w:sdtContent>
            </w:sdt>
            <w:r>
              <w:rPr>
                <w:rFonts w:ascii="宋体" w:hAnsi="宋体" w:cs="宋体" w:hint="eastAsia"/>
                <w:b/>
                <w:bCs/>
                <w:sz w:val="24"/>
                <w:szCs w:val="24"/>
              </w:rPr>
              <w:tab/>
            </w:r>
            <w:bookmarkStart w:id="61" w:name="_Toc17517_WPSOffice_Level1Page"/>
            <w:r>
              <w:rPr>
                <w:rFonts w:ascii="宋体" w:hAnsi="宋体" w:cs="宋体" w:hint="eastAsia"/>
                <w:b/>
                <w:bCs/>
                <w:sz w:val="24"/>
                <w:szCs w:val="24"/>
              </w:rPr>
              <w:t>151</w:t>
            </w:r>
            <w:bookmarkEnd w:id="61"/>
          </w:hyperlink>
        </w:p>
        <w:p w14:paraId="7987B059"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15940_WPSOffice_Level2" w:history="1">
            <w:sdt>
              <w:sdtPr>
                <w:rPr>
                  <w:rFonts w:ascii="宋体" w:hAnsi="宋体" w:cs="宋体" w:hint="eastAsia"/>
                  <w:b/>
                  <w:kern w:val="2"/>
                  <w:sz w:val="24"/>
                  <w:szCs w:val="24"/>
                </w:rPr>
                <w:id w:val="1834878761"/>
                <w:placeholder>
                  <w:docPart w:val="{68297074-48ec-4859-a466-244074829e40}"/>
                </w:placeholder>
              </w:sdtPr>
              <w:sdtContent>
                <w:r>
                  <w:rPr>
                    <w:rFonts w:ascii="宋体" w:hAnsi="宋体" w:cs="宋体" w:hint="eastAsia"/>
                    <w:sz w:val="24"/>
                    <w:szCs w:val="24"/>
                  </w:rPr>
                  <w:t>10.1 环境管理</w:t>
                </w:r>
              </w:sdtContent>
            </w:sdt>
            <w:r>
              <w:rPr>
                <w:rFonts w:ascii="宋体" w:hAnsi="宋体" w:cs="宋体" w:hint="eastAsia"/>
                <w:sz w:val="24"/>
                <w:szCs w:val="24"/>
              </w:rPr>
              <w:tab/>
            </w:r>
            <w:bookmarkStart w:id="62" w:name="_Toc15940_WPSOffice_Level2Page"/>
            <w:r>
              <w:rPr>
                <w:rFonts w:ascii="宋体" w:hAnsi="宋体" w:cs="宋体" w:hint="eastAsia"/>
                <w:sz w:val="24"/>
                <w:szCs w:val="24"/>
              </w:rPr>
              <w:t>151</w:t>
            </w:r>
            <w:bookmarkEnd w:id="62"/>
          </w:hyperlink>
        </w:p>
        <w:p w14:paraId="65852D48"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0582_WPSOffice_Level2" w:history="1">
            <w:sdt>
              <w:sdtPr>
                <w:rPr>
                  <w:rFonts w:ascii="宋体" w:hAnsi="宋体" w:cs="宋体" w:hint="eastAsia"/>
                  <w:b/>
                  <w:kern w:val="2"/>
                  <w:sz w:val="24"/>
                  <w:szCs w:val="24"/>
                </w:rPr>
                <w:id w:val="15046308"/>
                <w:placeholder>
                  <w:docPart w:val="{eb1c848e-94f7-48f8-98c9-06654877e604}"/>
                </w:placeholder>
              </w:sdtPr>
              <w:sdtContent>
                <w:r>
                  <w:rPr>
                    <w:rFonts w:ascii="宋体" w:hAnsi="宋体" w:cs="宋体" w:hint="eastAsia"/>
                    <w:sz w:val="24"/>
                    <w:szCs w:val="24"/>
                  </w:rPr>
                  <w:t>10.2 环境监测计划</w:t>
                </w:r>
              </w:sdtContent>
            </w:sdt>
            <w:r>
              <w:rPr>
                <w:rFonts w:ascii="宋体" w:hAnsi="宋体" w:cs="宋体" w:hint="eastAsia"/>
                <w:sz w:val="24"/>
                <w:szCs w:val="24"/>
              </w:rPr>
              <w:tab/>
            </w:r>
            <w:bookmarkStart w:id="63" w:name="_Toc20582_WPSOffice_Level2Page"/>
            <w:r>
              <w:rPr>
                <w:rFonts w:ascii="宋体" w:hAnsi="宋体" w:cs="宋体" w:hint="eastAsia"/>
                <w:sz w:val="24"/>
                <w:szCs w:val="24"/>
              </w:rPr>
              <w:t>154</w:t>
            </w:r>
            <w:bookmarkEnd w:id="63"/>
          </w:hyperlink>
        </w:p>
        <w:p w14:paraId="4127132D"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4753_WPSOffice_Level2" w:history="1">
            <w:sdt>
              <w:sdtPr>
                <w:rPr>
                  <w:rFonts w:ascii="宋体" w:hAnsi="宋体" w:cs="宋体" w:hint="eastAsia"/>
                  <w:b/>
                  <w:kern w:val="2"/>
                  <w:sz w:val="24"/>
                  <w:szCs w:val="24"/>
                </w:rPr>
                <w:id w:val="2059430484"/>
                <w:placeholder>
                  <w:docPart w:val="{b032e886-8a9e-4efe-b52e-4cc5cd5a5d5d}"/>
                </w:placeholder>
              </w:sdtPr>
              <w:sdtContent>
                <w:r>
                  <w:rPr>
                    <w:rFonts w:ascii="宋体" w:hAnsi="宋体" w:cs="宋体" w:hint="eastAsia"/>
                    <w:sz w:val="24"/>
                    <w:szCs w:val="24"/>
                  </w:rPr>
                  <w:t>10.3 环境监理</w:t>
                </w:r>
              </w:sdtContent>
            </w:sdt>
            <w:r>
              <w:rPr>
                <w:rFonts w:ascii="宋体" w:hAnsi="宋体" w:cs="宋体" w:hint="eastAsia"/>
                <w:sz w:val="24"/>
                <w:szCs w:val="24"/>
              </w:rPr>
              <w:tab/>
            </w:r>
            <w:bookmarkStart w:id="64" w:name="_Toc4753_WPSOffice_Level2Page"/>
            <w:r>
              <w:rPr>
                <w:rFonts w:ascii="宋体" w:hAnsi="宋体" w:cs="宋体" w:hint="eastAsia"/>
                <w:sz w:val="24"/>
                <w:szCs w:val="24"/>
              </w:rPr>
              <w:t>156</w:t>
            </w:r>
            <w:bookmarkEnd w:id="64"/>
          </w:hyperlink>
        </w:p>
        <w:p w14:paraId="13176E08"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9521_WPSOffice_Level2" w:history="1">
            <w:sdt>
              <w:sdtPr>
                <w:rPr>
                  <w:rFonts w:ascii="宋体" w:hAnsi="宋体" w:cs="宋体" w:hint="eastAsia"/>
                  <w:b/>
                  <w:kern w:val="2"/>
                  <w:sz w:val="24"/>
                  <w:szCs w:val="24"/>
                </w:rPr>
                <w:id w:val="1879736628"/>
                <w:placeholder>
                  <w:docPart w:val="{317dbf40-8b95-43d3-bc72-6d9691616688}"/>
                </w:placeholder>
              </w:sdtPr>
              <w:sdtContent>
                <w:r>
                  <w:rPr>
                    <w:rFonts w:ascii="宋体" w:hAnsi="宋体" w:cs="宋体" w:hint="eastAsia"/>
                    <w:sz w:val="24"/>
                    <w:szCs w:val="24"/>
                  </w:rPr>
                  <w:t>10.4 竣工验收</w:t>
                </w:r>
              </w:sdtContent>
            </w:sdt>
            <w:r>
              <w:rPr>
                <w:rFonts w:ascii="宋体" w:hAnsi="宋体" w:cs="宋体" w:hint="eastAsia"/>
                <w:sz w:val="24"/>
                <w:szCs w:val="24"/>
              </w:rPr>
              <w:tab/>
            </w:r>
            <w:bookmarkStart w:id="65" w:name="_Toc29521_WPSOffice_Level2Page"/>
            <w:r>
              <w:rPr>
                <w:rFonts w:ascii="宋体" w:hAnsi="宋体" w:cs="宋体" w:hint="eastAsia"/>
                <w:sz w:val="24"/>
                <w:szCs w:val="24"/>
              </w:rPr>
              <w:t>159</w:t>
            </w:r>
            <w:bookmarkEnd w:id="65"/>
          </w:hyperlink>
        </w:p>
        <w:p w14:paraId="04E4E3BB" w14:textId="77777777" w:rsidR="005A1A44" w:rsidRDefault="00BE76A0">
          <w:pPr>
            <w:pStyle w:val="WPSOffice1"/>
            <w:tabs>
              <w:tab w:val="right" w:leader="dot" w:pos="8634"/>
            </w:tabs>
            <w:spacing w:line="360" w:lineRule="auto"/>
            <w:rPr>
              <w:rFonts w:ascii="宋体" w:hAnsi="宋体" w:cs="宋体" w:hint="eastAsia"/>
              <w:sz w:val="24"/>
              <w:szCs w:val="24"/>
            </w:rPr>
          </w:pPr>
          <w:hyperlink w:anchor="_Toc7084_WPSOffice_Level1" w:history="1">
            <w:sdt>
              <w:sdtPr>
                <w:rPr>
                  <w:rFonts w:ascii="宋体" w:hAnsi="宋体" w:cs="宋体" w:hint="eastAsia"/>
                  <w:b/>
                  <w:bCs/>
                  <w:kern w:val="2"/>
                  <w:sz w:val="24"/>
                  <w:szCs w:val="24"/>
                </w:rPr>
                <w:id w:val="-591385012"/>
                <w:placeholder>
                  <w:docPart w:val="{84442d8e-7e52-4dcf-8810-326e6e706f14}"/>
                </w:placeholder>
              </w:sdtPr>
              <w:sdtContent>
                <w:r w:rsidR="0008059E">
                  <w:rPr>
                    <w:rFonts w:ascii="宋体" w:hAnsi="宋体" w:cs="宋体" w:hint="eastAsia"/>
                    <w:b/>
                    <w:bCs/>
                    <w:sz w:val="24"/>
                    <w:szCs w:val="24"/>
                  </w:rPr>
                  <w:t>11 环境影响评价结论</w:t>
                </w:r>
              </w:sdtContent>
            </w:sdt>
            <w:r w:rsidR="0008059E">
              <w:rPr>
                <w:rFonts w:ascii="宋体" w:hAnsi="宋体" w:cs="宋体" w:hint="eastAsia"/>
                <w:b/>
                <w:bCs/>
                <w:sz w:val="24"/>
                <w:szCs w:val="24"/>
              </w:rPr>
              <w:tab/>
            </w:r>
            <w:bookmarkStart w:id="66" w:name="_Toc7084_WPSOffice_Level1Page"/>
            <w:r w:rsidR="0008059E">
              <w:rPr>
                <w:rFonts w:ascii="宋体" w:hAnsi="宋体" w:cs="宋体" w:hint="eastAsia"/>
                <w:b/>
                <w:bCs/>
                <w:sz w:val="24"/>
                <w:szCs w:val="24"/>
              </w:rPr>
              <w:t>161</w:t>
            </w:r>
            <w:bookmarkEnd w:id="66"/>
          </w:hyperlink>
        </w:p>
        <w:p w14:paraId="5C012099"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3341_WPSOffice_Level2" w:history="1">
            <w:sdt>
              <w:sdtPr>
                <w:rPr>
                  <w:rFonts w:ascii="宋体" w:hAnsi="宋体" w:cs="宋体" w:hint="eastAsia"/>
                  <w:b/>
                  <w:kern w:val="2"/>
                  <w:sz w:val="24"/>
                  <w:szCs w:val="24"/>
                </w:rPr>
                <w:id w:val="1978329839"/>
                <w:placeholder>
                  <w:docPart w:val="{a1032f52-e1c5-44b7-9ef3-671de5b034df}"/>
                </w:placeholder>
              </w:sdtPr>
              <w:sdtContent>
                <w:r>
                  <w:rPr>
                    <w:rFonts w:ascii="宋体" w:hAnsi="宋体" w:cs="宋体" w:hint="eastAsia"/>
                    <w:sz w:val="24"/>
                    <w:szCs w:val="24"/>
                  </w:rPr>
                  <w:t>11.1 拟建项目工程概况</w:t>
                </w:r>
              </w:sdtContent>
            </w:sdt>
            <w:r>
              <w:rPr>
                <w:rFonts w:ascii="宋体" w:hAnsi="宋体" w:cs="宋体" w:hint="eastAsia"/>
                <w:sz w:val="24"/>
                <w:szCs w:val="24"/>
              </w:rPr>
              <w:tab/>
            </w:r>
            <w:bookmarkStart w:id="67" w:name="_Toc23341_WPSOffice_Level2Page"/>
            <w:r>
              <w:rPr>
                <w:rFonts w:ascii="宋体" w:hAnsi="宋体" w:cs="宋体" w:hint="eastAsia"/>
                <w:sz w:val="24"/>
                <w:szCs w:val="24"/>
              </w:rPr>
              <w:t>161</w:t>
            </w:r>
            <w:bookmarkEnd w:id="67"/>
          </w:hyperlink>
        </w:p>
        <w:p w14:paraId="324C791B"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827_WPSOffice_Level2" w:history="1">
            <w:sdt>
              <w:sdtPr>
                <w:rPr>
                  <w:rFonts w:ascii="宋体" w:hAnsi="宋体" w:cs="宋体" w:hint="eastAsia"/>
                  <w:b/>
                  <w:kern w:val="2"/>
                  <w:sz w:val="24"/>
                  <w:szCs w:val="24"/>
                </w:rPr>
                <w:id w:val="1066614270"/>
                <w:placeholder>
                  <w:docPart w:val="{fb92dcca-2d20-4868-a52e-998b5d025665}"/>
                </w:placeholder>
              </w:sdtPr>
              <w:sdtContent>
                <w:r>
                  <w:rPr>
                    <w:rFonts w:ascii="宋体" w:hAnsi="宋体" w:cs="宋体" w:hint="eastAsia"/>
                    <w:sz w:val="24"/>
                    <w:szCs w:val="24"/>
                  </w:rPr>
                  <w:t>11.2 项目建设与产业政策、城市规划相符性</w:t>
                </w:r>
              </w:sdtContent>
            </w:sdt>
            <w:r>
              <w:rPr>
                <w:rFonts w:ascii="宋体" w:hAnsi="宋体" w:cs="宋体" w:hint="eastAsia"/>
                <w:sz w:val="24"/>
                <w:szCs w:val="24"/>
              </w:rPr>
              <w:tab/>
            </w:r>
            <w:bookmarkStart w:id="68" w:name="_Toc827_WPSOffice_Level2Page"/>
            <w:r>
              <w:rPr>
                <w:rFonts w:ascii="宋体" w:hAnsi="宋体" w:cs="宋体" w:hint="eastAsia"/>
                <w:sz w:val="24"/>
                <w:szCs w:val="24"/>
              </w:rPr>
              <w:t>161</w:t>
            </w:r>
            <w:bookmarkEnd w:id="68"/>
          </w:hyperlink>
        </w:p>
        <w:p w14:paraId="3ACECD63"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6256_WPSOffice_Level2" w:history="1">
            <w:sdt>
              <w:sdtPr>
                <w:rPr>
                  <w:rFonts w:ascii="宋体" w:hAnsi="宋体" w:cs="宋体" w:hint="eastAsia"/>
                  <w:b/>
                  <w:kern w:val="2"/>
                  <w:sz w:val="24"/>
                  <w:szCs w:val="24"/>
                </w:rPr>
                <w:id w:val="-1959785873"/>
                <w:placeholder>
                  <w:docPart w:val="{5a5d2aa7-8e19-4cb1-9736-a523802ba133}"/>
                </w:placeholder>
              </w:sdtPr>
              <w:sdtContent>
                <w:r>
                  <w:rPr>
                    <w:rFonts w:ascii="宋体" w:hAnsi="宋体" w:cs="宋体" w:hint="eastAsia"/>
                    <w:sz w:val="24"/>
                    <w:szCs w:val="24"/>
                  </w:rPr>
                  <w:t>11.3 环境质量现状</w:t>
                </w:r>
              </w:sdtContent>
            </w:sdt>
            <w:r>
              <w:rPr>
                <w:rFonts w:ascii="宋体" w:hAnsi="宋体" w:cs="宋体" w:hint="eastAsia"/>
                <w:sz w:val="24"/>
                <w:szCs w:val="24"/>
              </w:rPr>
              <w:tab/>
            </w:r>
            <w:bookmarkStart w:id="69" w:name="_Toc26256_WPSOffice_Level2Page"/>
            <w:r>
              <w:rPr>
                <w:rFonts w:ascii="宋体" w:hAnsi="宋体" w:cs="宋体" w:hint="eastAsia"/>
                <w:sz w:val="24"/>
                <w:szCs w:val="24"/>
              </w:rPr>
              <w:t>161</w:t>
            </w:r>
            <w:bookmarkEnd w:id="69"/>
          </w:hyperlink>
        </w:p>
        <w:p w14:paraId="2AAA1ADE" w14:textId="77777777" w:rsidR="005A1A44" w:rsidRDefault="005A1A44">
          <w:pPr>
            <w:pStyle w:val="WPSOffice2"/>
            <w:tabs>
              <w:tab w:val="right" w:leader="dot" w:pos="8634"/>
            </w:tabs>
            <w:spacing w:line="360" w:lineRule="auto"/>
            <w:ind w:left="480"/>
            <w:rPr>
              <w:rFonts w:ascii="宋体" w:hAnsi="宋体" w:cs="宋体" w:hint="eastAsia"/>
              <w:sz w:val="24"/>
              <w:szCs w:val="24"/>
            </w:rPr>
          </w:pPr>
          <w:hyperlink w:anchor="_Toc22088_WPSOffice_Level2" w:history="1">
            <w:sdt>
              <w:sdtPr>
                <w:rPr>
                  <w:rFonts w:ascii="宋体" w:hAnsi="宋体" w:cs="宋体" w:hint="eastAsia"/>
                  <w:b/>
                  <w:kern w:val="2"/>
                  <w:sz w:val="24"/>
                  <w:szCs w:val="24"/>
                </w:rPr>
                <w:id w:val="-2064556554"/>
                <w:placeholder>
                  <w:docPart w:val="{36e0d8f3-b56e-401d-9076-d5e567a4387b}"/>
                </w:placeholder>
              </w:sdtPr>
              <w:sdtContent>
                <w:r>
                  <w:rPr>
                    <w:rFonts w:ascii="宋体" w:hAnsi="宋体" w:cs="宋体" w:hint="eastAsia"/>
                    <w:sz w:val="24"/>
                    <w:szCs w:val="24"/>
                  </w:rPr>
                  <w:t>11.4 环境影响评价及拟采取的主要环保措施</w:t>
                </w:r>
              </w:sdtContent>
            </w:sdt>
            <w:r>
              <w:rPr>
                <w:rFonts w:ascii="宋体" w:hAnsi="宋体" w:cs="宋体" w:hint="eastAsia"/>
                <w:sz w:val="24"/>
                <w:szCs w:val="24"/>
              </w:rPr>
              <w:tab/>
            </w:r>
            <w:bookmarkStart w:id="70" w:name="_Toc22088_WPSOffice_Level2Page"/>
            <w:r>
              <w:rPr>
                <w:rFonts w:ascii="宋体" w:hAnsi="宋体" w:cs="宋体" w:hint="eastAsia"/>
                <w:sz w:val="24"/>
                <w:szCs w:val="24"/>
              </w:rPr>
              <w:t>162</w:t>
            </w:r>
            <w:bookmarkEnd w:id="70"/>
          </w:hyperlink>
        </w:p>
        <w:p w14:paraId="5AD59090" w14:textId="77777777" w:rsidR="005A1A44" w:rsidRDefault="005A1A44">
          <w:pPr>
            <w:pStyle w:val="WPSOffice2"/>
            <w:tabs>
              <w:tab w:val="right" w:leader="dot" w:pos="8634"/>
            </w:tabs>
            <w:spacing w:line="360" w:lineRule="auto"/>
            <w:ind w:left="480"/>
          </w:pPr>
          <w:hyperlink w:anchor="_Toc30056_WPSOffice_Level2" w:history="1">
            <w:sdt>
              <w:sdtPr>
                <w:rPr>
                  <w:rFonts w:ascii="宋体" w:hAnsi="宋体" w:cs="宋体" w:hint="eastAsia"/>
                  <w:b/>
                  <w:kern w:val="2"/>
                  <w:sz w:val="24"/>
                  <w:szCs w:val="24"/>
                </w:rPr>
                <w:id w:val="107022197"/>
              </w:sdtPr>
              <w:sdtContent>
                <w:r>
                  <w:rPr>
                    <w:rFonts w:ascii="宋体" w:hAnsi="宋体" w:cs="宋体" w:hint="eastAsia"/>
                    <w:sz w:val="24"/>
                    <w:szCs w:val="24"/>
                  </w:rPr>
                  <w:t>11.5 评价总结论</w:t>
                </w:r>
              </w:sdtContent>
            </w:sdt>
            <w:r>
              <w:rPr>
                <w:rFonts w:ascii="宋体" w:hAnsi="宋体" w:cs="宋体" w:hint="eastAsia"/>
                <w:sz w:val="24"/>
                <w:szCs w:val="24"/>
              </w:rPr>
              <w:tab/>
            </w:r>
            <w:bookmarkStart w:id="71" w:name="_Toc30056_WPSOffice_Level2Page"/>
            <w:r>
              <w:rPr>
                <w:rFonts w:ascii="宋体" w:hAnsi="宋体" w:cs="宋体" w:hint="eastAsia"/>
                <w:sz w:val="24"/>
                <w:szCs w:val="24"/>
              </w:rPr>
              <w:t>165</w:t>
            </w:r>
            <w:bookmarkEnd w:id="71"/>
          </w:hyperlink>
        </w:p>
        <w:bookmarkEnd w:id="0" w:displacedByCustomXml="next"/>
      </w:sdtContent>
    </w:sdt>
    <w:p w14:paraId="4E17BCF4" w14:textId="77777777" w:rsidR="005A1A44" w:rsidRDefault="005A1A44">
      <w:pPr>
        <w:pStyle w:val="2"/>
        <w:sectPr w:rsidR="005A1A44">
          <w:footerReference w:type="default" r:id="rId14"/>
          <w:pgSz w:w="12240" w:h="15840"/>
          <w:pgMar w:top="1440" w:right="1803" w:bottom="1440" w:left="1803" w:header="720" w:footer="720" w:gutter="0"/>
          <w:pgNumType w:start="1"/>
          <w:cols w:space="0"/>
          <w:docGrid w:linePitch="312"/>
        </w:sectPr>
      </w:pPr>
      <w:bookmarkStart w:id="72" w:name="_Toc15925_WPSOffice_Level2"/>
    </w:p>
    <w:p w14:paraId="7FB8B1E8" w14:textId="77777777" w:rsidR="005A1A44" w:rsidRDefault="0008059E">
      <w:pPr>
        <w:pStyle w:val="1"/>
        <w:numPr>
          <w:ilvl w:val="0"/>
          <w:numId w:val="2"/>
        </w:numPr>
      </w:pPr>
      <w:r>
        <w:rPr>
          <w:rFonts w:hint="eastAsia"/>
        </w:rPr>
        <w:lastRenderedPageBreak/>
        <w:tab/>
      </w:r>
      <w:bookmarkStart w:id="73" w:name="_Toc15063_WPSOffice_Level1"/>
      <w:bookmarkStart w:id="74" w:name="_Toc21160_WPSOffice_Level1"/>
      <w:bookmarkStart w:id="75" w:name="_Toc22927_WPSOffice_Level1"/>
      <w:r>
        <w:rPr>
          <w:rFonts w:hint="eastAsia"/>
        </w:rPr>
        <w:t>前言</w:t>
      </w:r>
      <w:bookmarkEnd w:id="73"/>
      <w:bookmarkEnd w:id="74"/>
      <w:bookmarkEnd w:id="75"/>
    </w:p>
    <w:p w14:paraId="6B8E063E" w14:textId="77777777" w:rsidR="005A1A44" w:rsidRDefault="0008059E">
      <w:pPr>
        <w:pStyle w:val="2"/>
        <w:numPr>
          <w:ilvl w:val="1"/>
          <w:numId w:val="2"/>
        </w:numPr>
      </w:pPr>
      <w:r>
        <w:rPr>
          <w:rFonts w:hint="eastAsia"/>
        </w:rPr>
        <w:t xml:space="preserve"> </w:t>
      </w:r>
      <w:bookmarkStart w:id="76" w:name="_Toc16145_WPSOffice_Level2"/>
      <w:bookmarkStart w:id="77" w:name="_Toc13190_WPSOffice_Level2"/>
      <w:r>
        <w:rPr>
          <w:rFonts w:hint="eastAsia"/>
        </w:rPr>
        <w:t>环境影响评价的工作过程</w:t>
      </w:r>
      <w:bookmarkEnd w:id="72"/>
      <w:bookmarkEnd w:id="76"/>
      <w:bookmarkEnd w:id="77"/>
    </w:p>
    <w:p w14:paraId="42926731" w14:textId="77777777" w:rsidR="005A1A44" w:rsidRDefault="0008059E">
      <w:pPr>
        <w:ind w:firstLine="480"/>
      </w:pPr>
      <w:r>
        <w:rPr>
          <w:rFonts w:hint="eastAsia"/>
        </w:rPr>
        <w:t>依据《中华人民共和国环境保护法》、《中华人民共和国环境影响评价法》以及《建设项目环境保护管理条例》的有关要求，实施本项目以前必须开展环境影响评价工作。根据《建设项目环境影响评价分类管理名录》（生态环境部部令第</w:t>
      </w:r>
      <w:r>
        <w:rPr>
          <w:rFonts w:hint="eastAsia"/>
        </w:rPr>
        <w:t>1</w:t>
      </w:r>
      <w:r>
        <w:rPr>
          <w:rFonts w:hint="eastAsia"/>
        </w:rPr>
        <w:t>号），本项目须编制环境影响报告书。为此，</w:t>
      </w:r>
      <w:r>
        <w:rPr>
          <w:rFonts w:hint="eastAsia"/>
        </w:rPr>
        <w:t>2019</w:t>
      </w:r>
      <w:r>
        <w:rPr>
          <w:rFonts w:hint="eastAsia"/>
        </w:rPr>
        <w:t>年</w:t>
      </w:r>
      <w:r>
        <w:rPr>
          <w:rFonts w:hint="eastAsia"/>
        </w:rPr>
        <w:t>3</w:t>
      </w:r>
      <w:r>
        <w:rPr>
          <w:rFonts w:hint="eastAsia"/>
        </w:rPr>
        <w:t>月，新疆健坤生态文旅有限公司委托新疆大域智汇环保咨询服务有限公司进行本项目的环境影响评价工作（见附件《委托书》），编制该项目的环境影响报告书。</w:t>
      </w:r>
    </w:p>
    <w:p w14:paraId="058DA795" w14:textId="77777777" w:rsidR="005A1A44" w:rsidRDefault="0008059E">
      <w:pPr>
        <w:ind w:firstLine="480"/>
      </w:pPr>
      <w:r>
        <w:rPr>
          <w:rFonts w:hint="eastAsia"/>
        </w:rPr>
        <w:t>新疆大域智汇环保咨询服务有限公司在接受委托后，进行了资料收集、分析和现场踏勘，在对本项目的环境现状和可能造成的环境影响进行分析后，依照环境影响评价技术导则的要求编制完成了该项目的环境影响报告书。编制完成的《新疆健坤生态文旅有限公司玉龙喀什河和田市段河道治理及两岸生态修复项目环境影响评价报告书》呈报生态环境主管部门审批，审批后环境影响报告书作为生态环境主管部门及建设单位实施环境管理工作的科学依据。</w:t>
      </w:r>
    </w:p>
    <w:p w14:paraId="2662BE5F" w14:textId="77777777" w:rsidR="005A1A44" w:rsidRDefault="0008059E">
      <w:pPr>
        <w:pStyle w:val="2"/>
        <w:numPr>
          <w:ilvl w:val="1"/>
          <w:numId w:val="2"/>
        </w:numPr>
      </w:pPr>
      <w:bookmarkStart w:id="78" w:name="_Toc27674"/>
      <w:bookmarkStart w:id="79" w:name="_Toc13866_WPSOffice_Level2"/>
      <w:bookmarkStart w:id="80" w:name="_Toc14763"/>
      <w:bookmarkStart w:id="81" w:name="_Toc18262"/>
      <w:r>
        <w:rPr>
          <w:rFonts w:hint="eastAsia"/>
        </w:rPr>
        <w:t xml:space="preserve"> </w:t>
      </w:r>
      <w:bookmarkStart w:id="82" w:name="_Toc2486_WPSOffice_Level2"/>
      <w:bookmarkStart w:id="83" w:name="_Toc27598_WPSOffice_Level2"/>
      <w:r>
        <w:rPr>
          <w:rFonts w:hint="eastAsia"/>
        </w:rPr>
        <w:t>分析判定相关情况</w:t>
      </w:r>
      <w:bookmarkEnd w:id="78"/>
      <w:bookmarkEnd w:id="79"/>
      <w:bookmarkEnd w:id="80"/>
      <w:bookmarkEnd w:id="81"/>
      <w:bookmarkEnd w:id="82"/>
      <w:bookmarkEnd w:id="83"/>
    </w:p>
    <w:p w14:paraId="352E01AD" w14:textId="77777777" w:rsidR="005A1A44" w:rsidRDefault="0008059E">
      <w:pPr>
        <w:ind w:firstLine="480"/>
      </w:pPr>
      <w:r>
        <w:rPr>
          <w:rFonts w:hint="eastAsia"/>
        </w:rPr>
        <w:t>本项目为河道环境整治项目，依据《产业结构调整指导目录（</w:t>
      </w:r>
      <w:r>
        <w:rPr>
          <w:rFonts w:hint="eastAsia"/>
        </w:rPr>
        <w:t>2011</w:t>
      </w:r>
      <w:r>
        <w:rPr>
          <w:rFonts w:hint="eastAsia"/>
        </w:rPr>
        <w:t>年本）》（</w:t>
      </w:r>
      <w:r>
        <w:rPr>
          <w:rFonts w:hint="eastAsia"/>
        </w:rPr>
        <w:t>2013</w:t>
      </w:r>
      <w:r>
        <w:rPr>
          <w:rFonts w:hint="eastAsia"/>
        </w:rPr>
        <w:t>年修正），本项目为第一类鼓励类中的“二、水利”中的“</w:t>
      </w:r>
      <w:r>
        <w:rPr>
          <w:rFonts w:hint="eastAsia"/>
        </w:rPr>
        <w:t>1</w:t>
      </w:r>
      <w:r>
        <w:rPr>
          <w:rFonts w:hint="eastAsia"/>
        </w:rPr>
        <w:t>、江河堤防建设及河道、水库治理工程”、“</w:t>
      </w:r>
      <w:r>
        <w:rPr>
          <w:rFonts w:hint="eastAsia"/>
        </w:rPr>
        <w:t>7</w:t>
      </w:r>
      <w:r>
        <w:rPr>
          <w:rFonts w:hint="eastAsia"/>
        </w:rPr>
        <w:t>、江河湖库清淤疏浚工程项目”、“</w:t>
      </w:r>
      <w:r>
        <w:rPr>
          <w:rFonts w:hint="eastAsia"/>
        </w:rPr>
        <w:t>26</w:t>
      </w:r>
      <w:r>
        <w:rPr>
          <w:rFonts w:hint="eastAsia"/>
        </w:rPr>
        <w:t>、水生态系统及地下水保护与修复工程”，项目的建设符合国家当前产业政策。</w:t>
      </w:r>
    </w:p>
    <w:p w14:paraId="41032868" w14:textId="77777777" w:rsidR="005A1A44" w:rsidRDefault="0008059E">
      <w:pPr>
        <w:ind w:firstLine="480"/>
      </w:pPr>
      <w:r>
        <w:rPr>
          <w:rFonts w:hint="eastAsia"/>
        </w:rPr>
        <w:t>项目区不属于自然保护区、风景名胜区、森林公园等生态敏感区；项目区涉及城镇集中式饮用水水源保护区，项目实施过程中应避开饮用水水源保护区，除了水源保护工程（如水源涵养林草的建设等）外，禁止其他一切可能对水源水质产生不</w:t>
      </w:r>
      <w:r>
        <w:rPr>
          <w:rFonts w:hint="eastAsia"/>
        </w:rPr>
        <w:lastRenderedPageBreak/>
        <w:t>利影响的建设活动，在此基础上本项目符合准入条件要求。</w:t>
      </w:r>
    </w:p>
    <w:p w14:paraId="31320077" w14:textId="77777777" w:rsidR="005A1A44" w:rsidRDefault="0008059E">
      <w:pPr>
        <w:ind w:firstLine="480"/>
      </w:pPr>
      <w:r>
        <w:rPr>
          <w:rFonts w:hint="eastAsia"/>
        </w:rPr>
        <w:t>根据《新疆维吾尔自治区环境保护条例》（修订）中的规定，任何单位和个人不得在水源涵养区、饮用水水源保护区内和河流、湖泊、水库周围建设重化工、涉重金属等工业污染项目；对已建成的工业污染项目，当地人民政府应当组织限期搬迁。玉龙喀什河河道治理及两岸生态修复项目两岸生态修复工程不属于化工及涉重金属的工业污染项目，属于生态治理修复类，符合自治区环保条例中的要求。</w:t>
      </w:r>
    </w:p>
    <w:p w14:paraId="6648912C" w14:textId="77777777" w:rsidR="005A1A44" w:rsidRDefault="0008059E">
      <w:pPr>
        <w:pStyle w:val="2"/>
        <w:numPr>
          <w:ilvl w:val="1"/>
          <w:numId w:val="2"/>
        </w:numPr>
      </w:pPr>
      <w:bookmarkStart w:id="84" w:name="_Toc23571_WPSOffice_Level2"/>
      <w:r>
        <w:rPr>
          <w:rFonts w:hint="eastAsia"/>
        </w:rPr>
        <w:t xml:space="preserve"> </w:t>
      </w:r>
      <w:bookmarkStart w:id="85" w:name="_Toc20333_WPSOffice_Level2"/>
      <w:bookmarkStart w:id="86" w:name="_Toc3729_WPSOffice_Level2"/>
      <w:r>
        <w:rPr>
          <w:rFonts w:hint="eastAsia"/>
        </w:rPr>
        <w:t>环境影响评价技术路线</w:t>
      </w:r>
      <w:bookmarkEnd w:id="84"/>
      <w:bookmarkEnd w:id="85"/>
      <w:bookmarkEnd w:id="86"/>
    </w:p>
    <w:p w14:paraId="08F62AD1" w14:textId="77777777" w:rsidR="005A1A44" w:rsidRDefault="0008059E">
      <w:pPr>
        <w:ind w:firstLine="480"/>
        <w:jc w:val="left"/>
        <w:rPr>
          <w:rFonts w:ascii="宋体" w:eastAsia="宋体" w:hAnsi="宋体" w:hint="eastAsia"/>
          <w:color w:val="000000"/>
        </w:rPr>
      </w:pPr>
      <w:r>
        <w:rPr>
          <w:rFonts w:hint="eastAsia"/>
        </w:rPr>
        <w:t>依据《中华人民共和国环境保护法》、《中华人民共和国环境影响评价法》以及《建设项目环境保护管理条例》的规定要求，</w:t>
      </w:r>
      <w:r>
        <w:rPr>
          <w:rFonts w:hint="eastAsia"/>
        </w:rPr>
        <w:t>2019</w:t>
      </w:r>
      <w:r>
        <w:rPr>
          <w:rFonts w:hint="eastAsia"/>
        </w:rPr>
        <w:t>年</w:t>
      </w:r>
      <w:r>
        <w:rPr>
          <w:rFonts w:hint="eastAsia"/>
        </w:rPr>
        <w:t>3</w:t>
      </w:r>
      <w:r>
        <w:rPr>
          <w:rFonts w:hint="eastAsia"/>
        </w:rPr>
        <w:t>月，新疆健坤生态文旅有限公司委托新疆大域智汇环保咨询服务有限公司进行本项目的环境影响评价工作（见附件《委托书》），编制该项目的环境影响报告书。我单位在接受委托后，按照环境影响评价的有关工作程序，进行了资料收集、现场踏勘、开展环境现状监测，</w:t>
      </w:r>
      <w:r>
        <w:rPr>
          <w:rFonts w:ascii="宋体" w:eastAsia="宋体" w:hAnsi="宋体" w:hint="eastAsia"/>
          <w:color w:val="000000"/>
        </w:rPr>
        <w:t>对建设项目进行工程分析，根据环境各要素的评价等级及其相应评价等级的要求对各环境要素影响进行预测和评价，提出环境保护措施，并进行技术经济论证，提出评价结论，在此基础上编制完成了《新疆健坤生态文旅有限公司玉龙喀什河河道治理及两岸生态修复项目环境影响报告书》。环境影响评价工作一般分三个阶段，即前期准备、调研和工作方案阶段，分析论证和预测评价阶段、环境影响评价文件编制阶段。</w:t>
      </w:r>
    </w:p>
    <w:p w14:paraId="66D541A1" w14:textId="77777777" w:rsidR="005A1A44" w:rsidRDefault="0008059E">
      <w:pPr>
        <w:ind w:firstLine="480"/>
        <w:jc w:val="left"/>
        <w:rPr>
          <w:rFonts w:ascii="Times New Roman" w:eastAsia="宋体" w:hAnsi="Times New Roman"/>
          <w:color w:val="000000"/>
        </w:rPr>
        <w:sectPr w:rsidR="005A1A44">
          <w:footerReference w:type="default" r:id="rId15"/>
          <w:pgSz w:w="12240" w:h="15840"/>
          <w:pgMar w:top="1440" w:right="1803" w:bottom="1440" w:left="1803" w:header="720" w:footer="720" w:gutter="0"/>
          <w:pgNumType w:start="1"/>
          <w:cols w:space="0"/>
          <w:docGrid w:linePitch="312"/>
        </w:sectPr>
      </w:pPr>
      <w:r>
        <w:rPr>
          <w:rFonts w:ascii="宋体" w:eastAsia="宋体" w:hAnsi="宋体" w:hint="eastAsia"/>
          <w:color w:val="000000"/>
        </w:rPr>
        <w:t>本项目环境影响评价技术路线见图</w:t>
      </w:r>
      <w:r>
        <w:rPr>
          <w:rFonts w:ascii="Times New Roman" w:eastAsia="Times New Roman" w:hAnsi="Times New Roman" w:hint="eastAsia"/>
          <w:color w:val="000000"/>
        </w:rPr>
        <w:t>1</w:t>
      </w:r>
      <w:r>
        <w:rPr>
          <w:rFonts w:ascii="Times New Roman" w:eastAsia="宋体" w:hAnsi="Times New Roman" w:hint="eastAsia"/>
          <w:color w:val="000000"/>
        </w:rPr>
        <w:t>.4-1</w:t>
      </w:r>
      <w:r>
        <w:rPr>
          <w:rFonts w:ascii="Times New Roman" w:eastAsia="宋体" w:hAnsi="Times New Roman" w:hint="eastAsia"/>
          <w:color w:val="000000"/>
        </w:rPr>
        <w:t>。</w:t>
      </w:r>
    </w:p>
    <w:p w14:paraId="1E43B60D" w14:textId="77777777" w:rsidR="005A1A44" w:rsidRDefault="0008059E">
      <w:pPr>
        <w:ind w:firstLineChars="0" w:firstLine="0"/>
        <w:jc w:val="left"/>
      </w:pPr>
      <w:r>
        <w:rPr>
          <w:noProof/>
        </w:rPr>
        <w:lastRenderedPageBreak/>
        <w:drawing>
          <wp:inline distT="0" distB="0" distL="114300" distR="114300" wp14:anchorId="3FCC8F23" wp14:editId="259C0FC0">
            <wp:extent cx="5560060" cy="69246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stretch>
                      <a:fillRect/>
                    </a:stretch>
                  </pic:blipFill>
                  <pic:spPr>
                    <a:xfrm>
                      <a:off x="0" y="0"/>
                      <a:ext cx="5560060" cy="6924675"/>
                    </a:xfrm>
                    <a:prstGeom prst="rect">
                      <a:avLst/>
                    </a:prstGeom>
                    <a:noFill/>
                    <a:ln>
                      <a:noFill/>
                    </a:ln>
                  </pic:spPr>
                </pic:pic>
              </a:graphicData>
            </a:graphic>
          </wp:inline>
        </w:drawing>
      </w:r>
    </w:p>
    <w:p w14:paraId="26ABCE2A" w14:textId="77777777" w:rsidR="005A1A44" w:rsidRDefault="0008059E">
      <w:pPr>
        <w:ind w:firstLineChars="0" w:firstLine="0"/>
        <w:jc w:val="center"/>
        <w:rPr>
          <w:rFonts w:ascii="宋体" w:eastAsia="宋体" w:hAnsi="宋体" w:hint="eastAsia"/>
          <w:color w:val="000000"/>
        </w:rPr>
        <w:sectPr w:rsidR="005A1A44">
          <w:pgSz w:w="12240" w:h="15840"/>
          <w:pgMar w:top="1440" w:right="1803" w:bottom="1440" w:left="1803" w:header="720" w:footer="720" w:gutter="0"/>
          <w:cols w:space="0"/>
          <w:docGrid w:linePitch="312"/>
        </w:sectPr>
      </w:pPr>
      <w:r>
        <w:rPr>
          <w:rFonts w:ascii="黑体" w:eastAsia="黑体" w:hAnsi="黑体" w:cs="黑体" w:hint="eastAsia"/>
          <w:color w:val="000000"/>
        </w:rPr>
        <w:t>图</w:t>
      </w:r>
      <w:r>
        <w:rPr>
          <w:rFonts w:ascii="黑体" w:eastAsia="黑体" w:hAnsi="黑体" w:cs="黑体" w:hint="eastAsia"/>
          <w:b/>
          <w:color w:val="000000"/>
        </w:rPr>
        <w:t xml:space="preserve">1.4-1 </w:t>
      </w:r>
      <w:r>
        <w:rPr>
          <w:rFonts w:ascii="黑体" w:eastAsia="黑体" w:hAnsi="黑体" w:cs="黑体" w:hint="eastAsia"/>
          <w:color w:val="000000"/>
        </w:rPr>
        <w:t>环境影响评价技术路线</w:t>
      </w:r>
    </w:p>
    <w:p w14:paraId="2810F900" w14:textId="77777777" w:rsidR="005A1A44" w:rsidRDefault="0008059E">
      <w:pPr>
        <w:pStyle w:val="2"/>
        <w:numPr>
          <w:ilvl w:val="1"/>
          <w:numId w:val="2"/>
        </w:numPr>
      </w:pPr>
      <w:bookmarkStart w:id="87" w:name="_Toc25516_WPSOffice_Level2"/>
      <w:r>
        <w:rPr>
          <w:rFonts w:hint="eastAsia"/>
        </w:rPr>
        <w:lastRenderedPageBreak/>
        <w:t xml:space="preserve"> </w:t>
      </w:r>
      <w:bookmarkStart w:id="88" w:name="_Toc28293_WPSOffice_Level2"/>
      <w:bookmarkStart w:id="89" w:name="_Toc21861_WPSOffice_Level2"/>
      <w:r>
        <w:rPr>
          <w:rFonts w:hint="eastAsia"/>
        </w:rPr>
        <w:t>关注的主要环境问题</w:t>
      </w:r>
      <w:bookmarkEnd w:id="87"/>
      <w:bookmarkEnd w:id="88"/>
      <w:bookmarkEnd w:id="89"/>
    </w:p>
    <w:p w14:paraId="2E2D4360" w14:textId="77777777" w:rsidR="005A1A44" w:rsidRDefault="0008059E">
      <w:pPr>
        <w:ind w:firstLine="480"/>
        <w:jc w:val="left"/>
      </w:pPr>
      <w:r>
        <w:rPr>
          <w:rFonts w:hint="eastAsia"/>
        </w:rPr>
        <w:t>本项目为河道治理和生态修复项目，主要关注项目施工期间的环境影响，通过模式预测、类比分析等方法，评价本工程建设对区域内的生态环境、声环境、水环境、大气环境等方面的影响程度及影响范围，并提出针对性的环保措施。根据项目的工程构成及其对环境因素的影响，结合现场调查情况及拟建项目沿线及周边的环境特征，确定本项目应关注的主要环境问题为：</w:t>
      </w:r>
    </w:p>
    <w:p w14:paraId="197E9391" w14:textId="77777777" w:rsidR="005A1A44" w:rsidRDefault="0008059E">
      <w:pPr>
        <w:ind w:firstLine="480"/>
        <w:jc w:val="left"/>
      </w:pPr>
      <w:r>
        <w:rPr>
          <w:rFonts w:hint="eastAsia"/>
        </w:rPr>
        <w:t>本项目关注的主要环境问题为：</w:t>
      </w:r>
    </w:p>
    <w:p w14:paraId="27EFE56A" w14:textId="77777777" w:rsidR="005A1A44" w:rsidRDefault="0008059E">
      <w:pPr>
        <w:ind w:firstLine="480"/>
        <w:jc w:val="left"/>
      </w:pPr>
      <w:r>
        <w:rPr>
          <w:rFonts w:hint="eastAsia"/>
        </w:rPr>
        <w:t>（</w:t>
      </w:r>
      <w:r>
        <w:rPr>
          <w:rFonts w:hint="eastAsia"/>
        </w:rPr>
        <w:t>1</w:t>
      </w:r>
      <w:r>
        <w:rPr>
          <w:rFonts w:hint="eastAsia"/>
        </w:rPr>
        <w:t>）建设项目所在地周围的环境质量现状；</w:t>
      </w:r>
    </w:p>
    <w:p w14:paraId="3940CEC7" w14:textId="77777777" w:rsidR="005A1A44" w:rsidRDefault="0008059E">
      <w:pPr>
        <w:ind w:firstLine="480"/>
        <w:jc w:val="left"/>
      </w:pPr>
      <w:r>
        <w:rPr>
          <w:rFonts w:hint="eastAsia"/>
        </w:rPr>
        <w:t>（</w:t>
      </w:r>
      <w:r>
        <w:rPr>
          <w:rFonts w:hint="eastAsia"/>
        </w:rPr>
        <w:t>2</w:t>
      </w:r>
      <w:r>
        <w:rPr>
          <w:rFonts w:hint="eastAsia"/>
        </w:rPr>
        <w:t>）施工过程中产生的生产废水、生活污水等对水环境的影响；</w:t>
      </w:r>
    </w:p>
    <w:p w14:paraId="064975C6" w14:textId="77777777" w:rsidR="005A1A44" w:rsidRDefault="0008059E">
      <w:pPr>
        <w:ind w:firstLine="480"/>
        <w:jc w:val="left"/>
      </w:pPr>
      <w:r>
        <w:rPr>
          <w:rFonts w:hint="eastAsia"/>
        </w:rPr>
        <w:t>（</w:t>
      </w:r>
      <w:r>
        <w:rPr>
          <w:rFonts w:hint="eastAsia"/>
        </w:rPr>
        <w:t>3</w:t>
      </w:r>
      <w:r>
        <w:rPr>
          <w:rFonts w:hint="eastAsia"/>
        </w:rPr>
        <w:t>）施工过程中扬尘对大气环境的影响；</w:t>
      </w:r>
    </w:p>
    <w:p w14:paraId="4B37D95D" w14:textId="77777777" w:rsidR="005A1A44" w:rsidRDefault="0008059E">
      <w:pPr>
        <w:ind w:firstLine="480"/>
        <w:jc w:val="left"/>
      </w:pPr>
      <w:r>
        <w:rPr>
          <w:rFonts w:hint="eastAsia"/>
        </w:rPr>
        <w:t>（</w:t>
      </w:r>
      <w:r>
        <w:rPr>
          <w:rFonts w:hint="eastAsia"/>
        </w:rPr>
        <w:t>4</w:t>
      </w:r>
      <w:r>
        <w:rPr>
          <w:rFonts w:hint="eastAsia"/>
        </w:rPr>
        <w:t>）施工过程中施工机械噪声对附近区域的影响</w:t>
      </w:r>
    </w:p>
    <w:p w14:paraId="389A939C" w14:textId="77777777" w:rsidR="005A1A44" w:rsidRDefault="0008059E">
      <w:pPr>
        <w:ind w:firstLine="480"/>
        <w:jc w:val="left"/>
      </w:pPr>
      <w:r>
        <w:rPr>
          <w:rFonts w:hint="eastAsia"/>
        </w:rPr>
        <w:t>（</w:t>
      </w:r>
      <w:r>
        <w:rPr>
          <w:rFonts w:hint="eastAsia"/>
        </w:rPr>
        <w:t>4</w:t>
      </w:r>
      <w:r>
        <w:rPr>
          <w:rFonts w:hint="eastAsia"/>
        </w:rPr>
        <w:t>）施工过程中临时工程对生态环境的影响；</w:t>
      </w:r>
    </w:p>
    <w:p w14:paraId="1D1DA4CF" w14:textId="77777777" w:rsidR="005A1A44" w:rsidRDefault="0008059E">
      <w:pPr>
        <w:ind w:firstLine="480"/>
        <w:jc w:val="left"/>
      </w:pPr>
      <w:r>
        <w:rPr>
          <w:rFonts w:hint="eastAsia"/>
        </w:rPr>
        <w:t>（</w:t>
      </w:r>
      <w:r>
        <w:rPr>
          <w:rFonts w:hint="eastAsia"/>
        </w:rPr>
        <w:t>5</w:t>
      </w:r>
      <w:r>
        <w:rPr>
          <w:rFonts w:hint="eastAsia"/>
        </w:rPr>
        <w:t>）项目的建设与饮用水水源保护区环境保护的相符性；</w:t>
      </w:r>
    </w:p>
    <w:p w14:paraId="15486A93" w14:textId="77777777" w:rsidR="005A1A44" w:rsidRDefault="0008059E">
      <w:pPr>
        <w:ind w:firstLine="480"/>
        <w:jc w:val="left"/>
      </w:pPr>
      <w:r>
        <w:rPr>
          <w:rFonts w:hint="eastAsia"/>
        </w:rPr>
        <w:t>（</w:t>
      </w:r>
      <w:r>
        <w:rPr>
          <w:rFonts w:hint="eastAsia"/>
        </w:rPr>
        <w:t>6</w:t>
      </w:r>
      <w:r>
        <w:rPr>
          <w:rFonts w:hint="eastAsia"/>
        </w:rPr>
        <w:t>）本项目的正效益。</w:t>
      </w:r>
    </w:p>
    <w:p w14:paraId="162D46EC" w14:textId="77777777" w:rsidR="005A1A44" w:rsidRDefault="0008059E">
      <w:pPr>
        <w:pStyle w:val="2"/>
        <w:numPr>
          <w:ilvl w:val="1"/>
          <w:numId w:val="2"/>
        </w:numPr>
      </w:pPr>
      <w:bookmarkStart w:id="90" w:name="_Toc14546_WPSOffice_Level2"/>
      <w:r>
        <w:rPr>
          <w:rFonts w:hint="eastAsia"/>
        </w:rPr>
        <w:t xml:space="preserve"> </w:t>
      </w:r>
      <w:bookmarkStart w:id="91" w:name="_Toc23800_WPSOffice_Level2"/>
      <w:bookmarkStart w:id="92" w:name="_Toc32193_WPSOffice_Level2"/>
      <w:r>
        <w:rPr>
          <w:rFonts w:hint="eastAsia"/>
        </w:rPr>
        <w:t>环境影响报告书的主要结论</w:t>
      </w:r>
      <w:bookmarkEnd w:id="90"/>
      <w:bookmarkEnd w:id="91"/>
      <w:bookmarkEnd w:id="92"/>
    </w:p>
    <w:p w14:paraId="62068414" w14:textId="77777777" w:rsidR="005A1A44" w:rsidRDefault="0008059E">
      <w:pPr>
        <w:ind w:firstLine="480"/>
        <w:jc w:val="left"/>
        <w:rPr>
          <w:rFonts w:ascii="宋体" w:hAnsi="宋体" w:hint="eastAsia"/>
        </w:rPr>
      </w:pPr>
      <w:r>
        <w:rPr>
          <w:rFonts w:ascii="宋体" w:eastAsia="宋体" w:hAnsi="宋体" w:hint="eastAsia"/>
        </w:rPr>
        <w:t>根据国家发展和改革委员会发布的《产业结构调整指导目录（</w:t>
      </w:r>
      <w:r>
        <w:rPr>
          <w:rFonts w:ascii="Times New Roman" w:eastAsia="Times New Roman" w:hAnsi="Times New Roman" w:hint="eastAsia"/>
        </w:rPr>
        <w:t>201</w:t>
      </w:r>
      <w:r>
        <w:rPr>
          <w:rFonts w:ascii="Times New Roman" w:eastAsia="宋体" w:hAnsi="Times New Roman" w:hint="eastAsia"/>
        </w:rPr>
        <w:t>3</w:t>
      </w:r>
      <w:r>
        <w:rPr>
          <w:rFonts w:ascii="Times New Roman" w:eastAsia="宋体" w:hAnsi="Times New Roman" w:hint="eastAsia"/>
        </w:rPr>
        <w:t>修订</w:t>
      </w:r>
      <w:r>
        <w:rPr>
          <w:rFonts w:ascii="宋体" w:eastAsia="宋体" w:hAnsi="宋体" w:hint="eastAsia"/>
        </w:rPr>
        <w:t>）》相关规定，本项目为鼓励类中</w:t>
      </w:r>
      <w:r>
        <w:rPr>
          <w:rFonts w:hint="eastAsia"/>
        </w:rPr>
        <w:t>的“二、水利”中的“</w:t>
      </w:r>
      <w:r>
        <w:rPr>
          <w:rFonts w:hint="eastAsia"/>
        </w:rPr>
        <w:t>1</w:t>
      </w:r>
      <w:r>
        <w:rPr>
          <w:rFonts w:hint="eastAsia"/>
        </w:rPr>
        <w:t>、江河堤防建设及河道、水库治理工程”、“</w:t>
      </w:r>
      <w:r>
        <w:rPr>
          <w:rFonts w:hint="eastAsia"/>
        </w:rPr>
        <w:t>7</w:t>
      </w:r>
      <w:r>
        <w:rPr>
          <w:rFonts w:hint="eastAsia"/>
        </w:rPr>
        <w:t>、江河湖库清淤疏浚工程项目”、“</w:t>
      </w:r>
      <w:r>
        <w:rPr>
          <w:rFonts w:hint="eastAsia"/>
        </w:rPr>
        <w:t>26</w:t>
      </w:r>
      <w:r>
        <w:rPr>
          <w:rFonts w:hint="eastAsia"/>
        </w:rPr>
        <w:t>、水生态系统及地下水保护与修复工程”</w:t>
      </w:r>
      <w:r>
        <w:rPr>
          <w:rFonts w:ascii="宋体" w:eastAsia="宋体" w:hAnsi="宋体" w:hint="eastAsia"/>
        </w:rPr>
        <w:t>，符合国家相关产业政策，</w:t>
      </w:r>
      <w:r>
        <w:rPr>
          <w:rFonts w:hint="eastAsia"/>
        </w:rPr>
        <w:t>符合区域防洪规划，符合和田市城市总体规划、符合新疆维吾尔自治区主体功能区规划、符合和田地区饮用水水源地保护区划，符合中华人民共和国水污染防治法。</w:t>
      </w:r>
    </w:p>
    <w:p w14:paraId="2F05E3E2" w14:textId="77777777" w:rsidR="005A1A44" w:rsidRDefault="0008059E">
      <w:pPr>
        <w:ind w:firstLine="480"/>
        <w:jc w:val="left"/>
        <w:rPr>
          <w:rFonts w:ascii="宋体" w:eastAsia="宋体" w:hAnsi="宋体" w:hint="eastAsia"/>
        </w:rPr>
      </w:pPr>
      <w:r>
        <w:rPr>
          <w:rFonts w:ascii="宋体" w:eastAsia="宋体" w:hAnsi="宋体" w:hint="eastAsia"/>
        </w:rPr>
        <w:t>该工程建成后，提高了防洪标准，有利于安全泄洪；抬高水位回灌补源，使周边环境的地下水位有所抬升，有利于周边环境的绿化美化；使河道能保持一定水深的水面，有利于水生生物的繁衍、生长、使该区域逐步形成一个完整的生物链，改</w:t>
      </w:r>
      <w:r>
        <w:rPr>
          <w:rFonts w:ascii="宋体" w:eastAsia="宋体" w:hAnsi="宋体" w:hint="eastAsia"/>
        </w:rPr>
        <w:lastRenderedPageBreak/>
        <w:t>变周边地区的生态环境。工程修建将会对所在地区的自然生态、水、气、声等环境产生不同程度的影响，由于在设计中采取了积极有效的防治措施，本报告也提出了有针对性的环保措施和建议，只要这些环保措施落实与主体工程实现</w:t>
      </w:r>
      <w:r>
        <w:rPr>
          <w:rFonts w:ascii="Times New Roman" w:eastAsia="宋体" w:hAnsi="Times New Roman" w:hint="eastAsia"/>
        </w:rPr>
        <w:t>“</w:t>
      </w:r>
      <w:r>
        <w:rPr>
          <w:rFonts w:ascii="宋体" w:eastAsia="宋体" w:hAnsi="宋体" w:hint="eastAsia"/>
        </w:rPr>
        <w:t>三同时</w:t>
      </w:r>
      <w:r>
        <w:rPr>
          <w:rFonts w:ascii="Times New Roman" w:eastAsia="宋体" w:hAnsi="Times New Roman" w:hint="eastAsia"/>
        </w:rPr>
        <w:t>”</w:t>
      </w:r>
      <w:r>
        <w:rPr>
          <w:rFonts w:ascii="宋体" w:eastAsia="宋体" w:hAnsi="宋体" w:hint="eastAsia"/>
        </w:rPr>
        <w:t>，工程对环境的不利影响就可以控制在最小程度，从环保角度分析，项目建设可行。</w:t>
      </w:r>
    </w:p>
    <w:p w14:paraId="10042F2B" w14:textId="77777777" w:rsidR="005A1A44" w:rsidRDefault="005A1A44">
      <w:pPr>
        <w:pStyle w:val="Char"/>
        <w:ind w:firstLine="602"/>
        <w:rPr>
          <w:rFonts w:ascii="宋体" w:eastAsia="宋体" w:hAnsi="宋体" w:hint="eastAsia"/>
          <w:color w:val="000000"/>
        </w:rPr>
      </w:pPr>
    </w:p>
    <w:p w14:paraId="0B9244D7" w14:textId="77777777" w:rsidR="005A1A44" w:rsidRDefault="005A1A44">
      <w:pPr>
        <w:ind w:firstLine="480"/>
        <w:jc w:val="left"/>
        <w:rPr>
          <w:rFonts w:ascii="宋体" w:eastAsia="宋体" w:hAnsi="宋体" w:hint="eastAsia"/>
          <w:color w:val="000000"/>
        </w:rPr>
      </w:pPr>
    </w:p>
    <w:p w14:paraId="056792C6" w14:textId="77777777" w:rsidR="005A1A44" w:rsidRDefault="005A1A44">
      <w:pPr>
        <w:ind w:firstLine="480"/>
        <w:jc w:val="left"/>
        <w:rPr>
          <w:rFonts w:ascii="Times New Roman" w:hAnsi="Times New Roman"/>
        </w:rPr>
        <w:sectPr w:rsidR="005A1A44">
          <w:pgSz w:w="12240" w:h="15840"/>
          <w:pgMar w:top="1440" w:right="1803" w:bottom="1440" w:left="1803" w:header="720" w:footer="720" w:gutter="0"/>
          <w:cols w:space="0"/>
          <w:docGrid w:linePitch="312"/>
        </w:sectPr>
      </w:pPr>
    </w:p>
    <w:p w14:paraId="71765EEA" w14:textId="77777777" w:rsidR="005A1A44" w:rsidRDefault="0008059E">
      <w:pPr>
        <w:pStyle w:val="1"/>
        <w:numPr>
          <w:ilvl w:val="0"/>
          <w:numId w:val="2"/>
        </w:numPr>
      </w:pPr>
      <w:bookmarkStart w:id="93" w:name="_Toc14139_WPSOffice_Level1"/>
      <w:r>
        <w:rPr>
          <w:rFonts w:hint="eastAsia"/>
        </w:rPr>
        <w:lastRenderedPageBreak/>
        <w:t xml:space="preserve"> </w:t>
      </w:r>
      <w:bookmarkStart w:id="94" w:name="_Toc16375_WPSOffice_Level1"/>
      <w:bookmarkStart w:id="95" w:name="_Toc16145_WPSOffice_Level1"/>
      <w:bookmarkStart w:id="96" w:name="_Toc13190_WPSOffice_Level1"/>
      <w:r>
        <w:rPr>
          <w:rFonts w:hint="eastAsia"/>
        </w:rPr>
        <w:t>总则</w:t>
      </w:r>
      <w:bookmarkEnd w:id="93"/>
      <w:bookmarkEnd w:id="94"/>
      <w:bookmarkEnd w:id="95"/>
      <w:bookmarkEnd w:id="96"/>
    </w:p>
    <w:p w14:paraId="65241E8F" w14:textId="77777777" w:rsidR="005A1A44" w:rsidRDefault="0008059E">
      <w:pPr>
        <w:pStyle w:val="2"/>
        <w:numPr>
          <w:ilvl w:val="1"/>
          <w:numId w:val="2"/>
        </w:numPr>
      </w:pPr>
      <w:bookmarkStart w:id="97" w:name="_Toc11711_WPSOffice_Level2"/>
      <w:r>
        <w:rPr>
          <w:rFonts w:hint="eastAsia"/>
        </w:rPr>
        <w:t xml:space="preserve"> </w:t>
      </w:r>
      <w:bookmarkStart w:id="98" w:name="_Toc6430_WPSOffice_Level2"/>
      <w:bookmarkStart w:id="99" w:name="_Toc12178_WPSOffice_Level2"/>
      <w:r>
        <w:rPr>
          <w:rFonts w:hint="eastAsia"/>
        </w:rPr>
        <w:t>编制依据</w:t>
      </w:r>
      <w:bookmarkEnd w:id="97"/>
      <w:bookmarkEnd w:id="98"/>
      <w:bookmarkEnd w:id="99"/>
    </w:p>
    <w:p w14:paraId="35B52EFD" w14:textId="77777777" w:rsidR="005A1A44" w:rsidRDefault="0008059E">
      <w:pPr>
        <w:pStyle w:val="3"/>
        <w:numPr>
          <w:ilvl w:val="2"/>
          <w:numId w:val="2"/>
        </w:numPr>
      </w:pPr>
      <w:r>
        <w:rPr>
          <w:rFonts w:hint="eastAsia"/>
        </w:rPr>
        <w:t xml:space="preserve"> </w:t>
      </w:r>
      <w:r>
        <w:rPr>
          <w:rFonts w:hint="eastAsia"/>
        </w:rPr>
        <w:t>相关法律、法规</w:t>
      </w:r>
    </w:p>
    <w:p w14:paraId="02D86DFD"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1</w:t>
      </w:r>
      <w:r>
        <w:rPr>
          <w:rFonts w:ascii="宋体" w:eastAsia="宋体" w:hAnsi="宋体" w:hint="eastAsia"/>
          <w:color w:val="000000"/>
        </w:rPr>
        <w:t>）《中华人民共和国环境保护法》（</w:t>
      </w:r>
      <w:r>
        <w:rPr>
          <w:rFonts w:ascii="Times New Roman" w:eastAsia="Times New Roman" w:hAnsi="Times New Roman" w:hint="eastAsia"/>
          <w:color w:val="000000"/>
        </w:rPr>
        <w:t>2015</w:t>
      </w:r>
      <w:r>
        <w:rPr>
          <w:rFonts w:ascii="宋体" w:eastAsia="宋体" w:hAnsi="宋体" w:hint="eastAsia"/>
          <w:color w:val="000000"/>
        </w:rPr>
        <w:t>年</w:t>
      </w:r>
      <w:r>
        <w:rPr>
          <w:rFonts w:ascii="Times New Roman" w:eastAsia="Times New Roman" w:hAnsi="Times New Roman" w:hint="eastAsia"/>
          <w:color w:val="000000"/>
        </w:rPr>
        <w:t>1</w:t>
      </w:r>
      <w:r>
        <w:rPr>
          <w:rFonts w:ascii="宋体" w:eastAsia="宋体" w:hAnsi="宋体" w:hint="eastAsia"/>
          <w:color w:val="000000"/>
        </w:rPr>
        <w:t>月</w:t>
      </w:r>
      <w:r>
        <w:rPr>
          <w:rFonts w:ascii="Times New Roman" w:eastAsia="Times New Roman" w:hAnsi="Times New Roman" w:hint="eastAsia"/>
          <w:color w:val="000000"/>
        </w:rPr>
        <w:t>1</w:t>
      </w:r>
      <w:r>
        <w:rPr>
          <w:rFonts w:ascii="宋体" w:eastAsia="宋体" w:hAnsi="宋体" w:hint="eastAsia"/>
          <w:color w:val="000000"/>
        </w:rPr>
        <w:t>日）；</w:t>
      </w:r>
    </w:p>
    <w:p w14:paraId="440040BA"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2</w:t>
      </w:r>
      <w:r>
        <w:rPr>
          <w:rFonts w:ascii="宋体" w:eastAsia="宋体" w:hAnsi="宋体" w:hint="eastAsia"/>
          <w:color w:val="000000"/>
        </w:rPr>
        <w:t>）《中华人民共和国环境影响评价法》（</w:t>
      </w:r>
      <w:r>
        <w:rPr>
          <w:rFonts w:ascii="Times New Roman" w:eastAsia="Times New Roman" w:hAnsi="Times New Roman" w:hint="eastAsia"/>
          <w:color w:val="000000"/>
        </w:rPr>
        <w:t>2018</w:t>
      </w:r>
      <w:r>
        <w:rPr>
          <w:rFonts w:ascii="宋体" w:eastAsia="宋体" w:hAnsi="宋体" w:hint="eastAsia"/>
          <w:color w:val="000000"/>
        </w:rPr>
        <w:t>年</w:t>
      </w:r>
      <w:r>
        <w:rPr>
          <w:rFonts w:ascii="Times New Roman" w:eastAsia="Times New Roman" w:hAnsi="Times New Roman" w:hint="eastAsia"/>
          <w:color w:val="000000"/>
        </w:rPr>
        <w:t>12</w:t>
      </w:r>
      <w:r>
        <w:rPr>
          <w:rFonts w:ascii="宋体" w:eastAsia="宋体" w:hAnsi="宋体" w:hint="eastAsia"/>
          <w:color w:val="000000"/>
        </w:rPr>
        <w:t>月</w:t>
      </w:r>
      <w:r>
        <w:rPr>
          <w:rFonts w:ascii="Times New Roman" w:eastAsia="Times New Roman" w:hAnsi="Times New Roman" w:hint="eastAsia"/>
          <w:color w:val="000000"/>
        </w:rPr>
        <w:t>29</w:t>
      </w:r>
      <w:r>
        <w:rPr>
          <w:rFonts w:ascii="宋体" w:eastAsia="宋体" w:hAnsi="宋体" w:hint="eastAsia"/>
          <w:color w:val="000000"/>
        </w:rPr>
        <w:t>日）；</w:t>
      </w:r>
    </w:p>
    <w:p w14:paraId="58BFF3CA"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3</w:t>
      </w:r>
      <w:r>
        <w:rPr>
          <w:rFonts w:ascii="宋体" w:eastAsia="宋体" w:hAnsi="宋体" w:hint="eastAsia"/>
          <w:color w:val="000000"/>
        </w:rPr>
        <w:t>）《中华人民共和国水污染防治法》（</w:t>
      </w:r>
      <w:r>
        <w:rPr>
          <w:rFonts w:ascii="Times New Roman" w:eastAsia="Times New Roman" w:hAnsi="Times New Roman" w:hint="eastAsia"/>
          <w:color w:val="000000"/>
        </w:rPr>
        <w:t>2018</w:t>
      </w:r>
      <w:r>
        <w:rPr>
          <w:rFonts w:ascii="宋体" w:eastAsia="宋体" w:hAnsi="宋体" w:hint="eastAsia"/>
          <w:color w:val="000000"/>
        </w:rPr>
        <w:t>年</w:t>
      </w:r>
      <w:r>
        <w:rPr>
          <w:rFonts w:ascii="Times New Roman" w:eastAsia="Times New Roman" w:hAnsi="Times New Roman" w:hint="eastAsia"/>
          <w:color w:val="000000"/>
        </w:rPr>
        <w:t>1</w:t>
      </w:r>
      <w:r>
        <w:rPr>
          <w:rFonts w:ascii="宋体" w:eastAsia="宋体" w:hAnsi="宋体" w:hint="eastAsia"/>
          <w:color w:val="000000"/>
        </w:rPr>
        <w:t>月</w:t>
      </w:r>
      <w:r>
        <w:rPr>
          <w:rFonts w:ascii="Times New Roman" w:eastAsia="Times New Roman" w:hAnsi="Times New Roman" w:hint="eastAsia"/>
          <w:color w:val="000000"/>
        </w:rPr>
        <w:t>1</w:t>
      </w:r>
      <w:r>
        <w:rPr>
          <w:rFonts w:ascii="宋体" w:eastAsia="宋体" w:hAnsi="宋体" w:hint="eastAsia"/>
          <w:color w:val="000000"/>
        </w:rPr>
        <w:t>日实施）；</w:t>
      </w:r>
    </w:p>
    <w:p w14:paraId="56F88385"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4</w:t>
      </w:r>
      <w:r>
        <w:rPr>
          <w:rFonts w:ascii="宋体" w:eastAsia="宋体" w:hAnsi="宋体" w:hint="eastAsia"/>
          <w:color w:val="000000"/>
        </w:rPr>
        <w:t>）《中华人民共和国大气污染防治法》（</w:t>
      </w:r>
      <w:r>
        <w:rPr>
          <w:rFonts w:ascii="Times New Roman" w:eastAsia="Times New Roman" w:hAnsi="Times New Roman" w:hint="eastAsia"/>
          <w:color w:val="000000"/>
        </w:rPr>
        <w:t>2016</w:t>
      </w:r>
      <w:r>
        <w:rPr>
          <w:rFonts w:ascii="宋体" w:eastAsia="宋体" w:hAnsi="宋体" w:hint="eastAsia"/>
          <w:color w:val="000000"/>
        </w:rPr>
        <w:t>年</w:t>
      </w:r>
      <w:r>
        <w:rPr>
          <w:rFonts w:ascii="Times New Roman" w:eastAsia="Times New Roman" w:hAnsi="Times New Roman" w:hint="eastAsia"/>
          <w:color w:val="000000"/>
        </w:rPr>
        <w:t>1</w:t>
      </w:r>
      <w:r>
        <w:rPr>
          <w:rFonts w:ascii="宋体" w:eastAsia="宋体" w:hAnsi="宋体" w:hint="eastAsia"/>
          <w:color w:val="000000"/>
        </w:rPr>
        <w:t>月</w:t>
      </w:r>
      <w:r>
        <w:rPr>
          <w:rFonts w:ascii="Times New Roman" w:eastAsia="Times New Roman" w:hAnsi="Times New Roman" w:hint="eastAsia"/>
          <w:color w:val="000000"/>
        </w:rPr>
        <w:t>1</w:t>
      </w:r>
      <w:r>
        <w:rPr>
          <w:rFonts w:ascii="宋体" w:eastAsia="宋体" w:hAnsi="宋体" w:hint="eastAsia"/>
          <w:color w:val="000000"/>
        </w:rPr>
        <w:t>日）；</w:t>
      </w:r>
    </w:p>
    <w:p w14:paraId="16DA57D1"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5</w:t>
      </w:r>
      <w:r>
        <w:rPr>
          <w:rFonts w:ascii="宋体" w:eastAsia="宋体" w:hAnsi="宋体" w:hint="eastAsia"/>
          <w:color w:val="000000"/>
        </w:rPr>
        <w:t>）《中华人民共和国环境噪声污染防治法》（</w:t>
      </w:r>
      <w:r>
        <w:rPr>
          <w:rFonts w:ascii="Times New Roman" w:eastAsia="Times New Roman" w:hAnsi="Times New Roman" w:hint="eastAsia"/>
          <w:color w:val="000000"/>
        </w:rPr>
        <w:t>2018</w:t>
      </w:r>
      <w:r>
        <w:rPr>
          <w:rFonts w:ascii="宋体" w:eastAsia="宋体" w:hAnsi="宋体" w:hint="eastAsia"/>
          <w:color w:val="000000"/>
        </w:rPr>
        <w:t>年</w:t>
      </w:r>
      <w:r>
        <w:rPr>
          <w:rFonts w:ascii="Times New Roman" w:eastAsia="Times New Roman" w:hAnsi="Times New Roman" w:hint="eastAsia"/>
          <w:color w:val="000000"/>
        </w:rPr>
        <w:t>12</w:t>
      </w:r>
      <w:r>
        <w:rPr>
          <w:rFonts w:ascii="宋体" w:eastAsia="宋体" w:hAnsi="宋体" w:hint="eastAsia"/>
          <w:color w:val="000000"/>
        </w:rPr>
        <w:t>月</w:t>
      </w:r>
      <w:r>
        <w:rPr>
          <w:rFonts w:ascii="Times New Roman" w:eastAsia="Times New Roman" w:hAnsi="Times New Roman" w:hint="eastAsia"/>
          <w:color w:val="000000"/>
        </w:rPr>
        <w:t>29</w:t>
      </w:r>
      <w:r>
        <w:rPr>
          <w:rFonts w:ascii="宋体" w:eastAsia="宋体" w:hAnsi="宋体" w:hint="eastAsia"/>
          <w:color w:val="000000"/>
        </w:rPr>
        <w:t>日）；</w:t>
      </w:r>
    </w:p>
    <w:p w14:paraId="51679FE0"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6</w:t>
      </w:r>
      <w:r>
        <w:rPr>
          <w:rFonts w:ascii="宋体" w:eastAsia="宋体" w:hAnsi="宋体" w:hint="eastAsia"/>
          <w:color w:val="000000"/>
        </w:rPr>
        <w:t>）《中华人民共和国固体废物污染环境防治法》（</w:t>
      </w:r>
      <w:r>
        <w:rPr>
          <w:rFonts w:ascii="Times New Roman" w:eastAsia="Times New Roman" w:hAnsi="Times New Roman" w:hint="eastAsia"/>
          <w:color w:val="000000"/>
        </w:rPr>
        <w:t>2016</w:t>
      </w:r>
      <w:r>
        <w:rPr>
          <w:rFonts w:ascii="宋体" w:eastAsia="宋体" w:hAnsi="宋体" w:hint="eastAsia"/>
          <w:color w:val="000000"/>
        </w:rPr>
        <w:t>年</w:t>
      </w:r>
      <w:r>
        <w:rPr>
          <w:rFonts w:ascii="Times New Roman" w:eastAsia="Times New Roman" w:hAnsi="Times New Roman" w:hint="eastAsia"/>
          <w:color w:val="000000"/>
        </w:rPr>
        <w:t>11</w:t>
      </w:r>
      <w:r>
        <w:rPr>
          <w:rFonts w:ascii="宋体" w:eastAsia="宋体" w:hAnsi="宋体" w:hint="eastAsia"/>
          <w:color w:val="000000"/>
        </w:rPr>
        <w:t>月</w:t>
      </w:r>
      <w:r>
        <w:rPr>
          <w:rFonts w:ascii="Times New Roman" w:eastAsia="Times New Roman" w:hAnsi="Times New Roman" w:hint="eastAsia"/>
          <w:color w:val="000000"/>
        </w:rPr>
        <w:t>7</w:t>
      </w:r>
      <w:r>
        <w:rPr>
          <w:rFonts w:ascii="宋体" w:eastAsia="宋体" w:hAnsi="宋体" w:hint="eastAsia"/>
          <w:color w:val="000000"/>
        </w:rPr>
        <w:t>日）；</w:t>
      </w:r>
    </w:p>
    <w:p w14:paraId="0F6D4200"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7</w:t>
      </w:r>
      <w:r>
        <w:rPr>
          <w:rFonts w:ascii="宋体" w:eastAsia="宋体" w:hAnsi="宋体" w:hint="eastAsia"/>
          <w:color w:val="000000"/>
        </w:rPr>
        <w:t>）《中华人民共和国土壤污染防治法》（</w:t>
      </w:r>
      <w:r>
        <w:rPr>
          <w:rFonts w:ascii="Times New Roman" w:eastAsia="Times New Roman" w:hAnsi="Times New Roman" w:hint="eastAsia"/>
          <w:color w:val="000000"/>
        </w:rPr>
        <w:t>2019</w:t>
      </w:r>
      <w:r>
        <w:rPr>
          <w:rFonts w:ascii="宋体" w:eastAsia="宋体" w:hAnsi="宋体" w:hint="eastAsia"/>
          <w:color w:val="000000"/>
        </w:rPr>
        <w:t>年</w:t>
      </w:r>
      <w:r>
        <w:rPr>
          <w:rFonts w:ascii="Times New Roman" w:eastAsia="Times New Roman" w:hAnsi="Times New Roman" w:hint="eastAsia"/>
          <w:color w:val="000000"/>
        </w:rPr>
        <w:t>1</w:t>
      </w:r>
      <w:r>
        <w:rPr>
          <w:rFonts w:ascii="宋体" w:eastAsia="宋体" w:hAnsi="宋体" w:hint="eastAsia"/>
          <w:color w:val="000000"/>
        </w:rPr>
        <w:t>月</w:t>
      </w:r>
      <w:r>
        <w:rPr>
          <w:rFonts w:ascii="Times New Roman" w:eastAsia="Times New Roman" w:hAnsi="Times New Roman" w:hint="eastAsia"/>
          <w:color w:val="000000"/>
        </w:rPr>
        <w:t>1</w:t>
      </w:r>
      <w:r>
        <w:rPr>
          <w:rFonts w:ascii="宋体" w:eastAsia="宋体" w:hAnsi="宋体" w:hint="eastAsia"/>
          <w:color w:val="000000"/>
        </w:rPr>
        <w:t>日实施）；</w:t>
      </w:r>
    </w:p>
    <w:p w14:paraId="6D89A382"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8</w:t>
      </w:r>
      <w:r>
        <w:rPr>
          <w:rFonts w:ascii="宋体" w:eastAsia="宋体" w:hAnsi="宋体" w:hint="eastAsia"/>
          <w:color w:val="000000"/>
        </w:rPr>
        <w:t>）《中华人民共和国公路法》（</w:t>
      </w:r>
      <w:r>
        <w:rPr>
          <w:rFonts w:ascii="Times New Roman" w:eastAsia="Times New Roman" w:hAnsi="Times New Roman" w:hint="eastAsia"/>
          <w:color w:val="000000"/>
        </w:rPr>
        <w:t>2004</w:t>
      </w:r>
      <w:r>
        <w:rPr>
          <w:rFonts w:ascii="宋体" w:eastAsia="宋体" w:hAnsi="宋体" w:hint="eastAsia"/>
          <w:color w:val="000000"/>
        </w:rPr>
        <w:t>年</w:t>
      </w:r>
      <w:r>
        <w:rPr>
          <w:rFonts w:ascii="Times New Roman" w:eastAsia="Times New Roman" w:hAnsi="Times New Roman" w:hint="eastAsia"/>
          <w:color w:val="000000"/>
        </w:rPr>
        <w:t>8</w:t>
      </w:r>
      <w:r>
        <w:rPr>
          <w:rFonts w:ascii="宋体" w:eastAsia="宋体" w:hAnsi="宋体" w:hint="eastAsia"/>
          <w:color w:val="000000"/>
        </w:rPr>
        <w:t>月</w:t>
      </w:r>
      <w:r>
        <w:rPr>
          <w:rFonts w:ascii="Times New Roman" w:eastAsia="Times New Roman" w:hAnsi="Times New Roman" w:hint="eastAsia"/>
          <w:color w:val="000000"/>
        </w:rPr>
        <w:t>28</w:t>
      </w:r>
      <w:r>
        <w:rPr>
          <w:rFonts w:ascii="宋体" w:eastAsia="宋体" w:hAnsi="宋体" w:hint="eastAsia"/>
          <w:color w:val="000000"/>
        </w:rPr>
        <w:t>日）；</w:t>
      </w:r>
    </w:p>
    <w:p w14:paraId="5452A431"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9</w:t>
      </w:r>
      <w:r>
        <w:rPr>
          <w:rFonts w:ascii="宋体" w:eastAsia="宋体" w:hAnsi="宋体" w:hint="eastAsia"/>
          <w:color w:val="000000"/>
        </w:rPr>
        <w:t>）《中华人民共和国土地管理法》（</w:t>
      </w:r>
      <w:r>
        <w:rPr>
          <w:rFonts w:ascii="Times New Roman" w:eastAsia="Times New Roman" w:hAnsi="Times New Roman" w:hint="eastAsia"/>
          <w:color w:val="000000"/>
        </w:rPr>
        <w:t>2004</w:t>
      </w:r>
      <w:r>
        <w:rPr>
          <w:rFonts w:ascii="宋体" w:eastAsia="宋体" w:hAnsi="宋体" w:hint="eastAsia"/>
          <w:color w:val="000000"/>
        </w:rPr>
        <w:t>年</w:t>
      </w:r>
      <w:r>
        <w:rPr>
          <w:rFonts w:ascii="Times New Roman" w:eastAsia="Times New Roman" w:hAnsi="Times New Roman" w:hint="eastAsia"/>
          <w:color w:val="000000"/>
        </w:rPr>
        <w:t>8</w:t>
      </w:r>
      <w:r>
        <w:rPr>
          <w:rFonts w:ascii="宋体" w:eastAsia="宋体" w:hAnsi="宋体" w:hint="eastAsia"/>
          <w:color w:val="000000"/>
        </w:rPr>
        <w:t>月</w:t>
      </w:r>
      <w:r>
        <w:rPr>
          <w:rFonts w:ascii="Times New Roman" w:eastAsia="Times New Roman" w:hAnsi="Times New Roman" w:hint="eastAsia"/>
          <w:color w:val="000000"/>
        </w:rPr>
        <w:t>28</w:t>
      </w:r>
      <w:r>
        <w:rPr>
          <w:rFonts w:ascii="宋体" w:eastAsia="宋体" w:hAnsi="宋体" w:hint="eastAsia"/>
          <w:color w:val="000000"/>
        </w:rPr>
        <w:t>日）；</w:t>
      </w:r>
    </w:p>
    <w:p w14:paraId="0171D049"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10</w:t>
      </w:r>
      <w:r>
        <w:rPr>
          <w:rFonts w:ascii="宋体" w:eastAsia="宋体" w:hAnsi="宋体" w:hint="eastAsia"/>
          <w:color w:val="000000"/>
        </w:rPr>
        <w:t>）《中华人民共和国防洪法》（</w:t>
      </w:r>
      <w:r>
        <w:rPr>
          <w:rFonts w:ascii="Times New Roman" w:eastAsia="Times New Roman" w:hAnsi="Times New Roman" w:hint="eastAsia"/>
          <w:color w:val="000000"/>
        </w:rPr>
        <w:t>1997</w:t>
      </w:r>
      <w:r>
        <w:rPr>
          <w:rFonts w:ascii="宋体" w:eastAsia="宋体" w:hAnsi="宋体" w:hint="eastAsia"/>
          <w:color w:val="000000"/>
        </w:rPr>
        <w:t>年</w:t>
      </w:r>
      <w:r>
        <w:rPr>
          <w:rFonts w:ascii="Times New Roman" w:eastAsia="Times New Roman" w:hAnsi="Times New Roman" w:hint="eastAsia"/>
          <w:color w:val="000000"/>
        </w:rPr>
        <w:t>8</w:t>
      </w:r>
      <w:r>
        <w:rPr>
          <w:rFonts w:ascii="宋体" w:eastAsia="宋体" w:hAnsi="宋体" w:hint="eastAsia"/>
          <w:color w:val="000000"/>
        </w:rPr>
        <w:t>月</w:t>
      </w:r>
      <w:r>
        <w:rPr>
          <w:rFonts w:ascii="Times New Roman" w:eastAsia="Times New Roman" w:hAnsi="Times New Roman" w:hint="eastAsia"/>
          <w:color w:val="000000"/>
        </w:rPr>
        <w:t>29</w:t>
      </w:r>
      <w:r>
        <w:rPr>
          <w:rFonts w:ascii="宋体" w:eastAsia="宋体" w:hAnsi="宋体" w:hint="eastAsia"/>
          <w:color w:val="000000"/>
        </w:rPr>
        <w:t>日颁布）；</w:t>
      </w:r>
    </w:p>
    <w:p w14:paraId="065023E4"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11</w:t>
      </w:r>
      <w:r>
        <w:rPr>
          <w:rFonts w:ascii="宋体" w:eastAsia="宋体" w:hAnsi="宋体" w:hint="eastAsia"/>
          <w:color w:val="000000"/>
        </w:rPr>
        <w:t>）《中华人民共和国森林法》（</w:t>
      </w:r>
      <w:r>
        <w:rPr>
          <w:rFonts w:ascii="Times New Roman" w:eastAsia="Times New Roman" w:hAnsi="Times New Roman" w:hint="eastAsia"/>
          <w:color w:val="000000"/>
        </w:rPr>
        <w:t>1998</w:t>
      </w:r>
      <w:r>
        <w:rPr>
          <w:rFonts w:ascii="宋体" w:eastAsia="宋体" w:hAnsi="宋体" w:hint="eastAsia"/>
          <w:color w:val="000000"/>
        </w:rPr>
        <w:t>年</w:t>
      </w:r>
      <w:r>
        <w:rPr>
          <w:rFonts w:ascii="Times New Roman" w:eastAsia="Times New Roman" w:hAnsi="Times New Roman" w:hint="eastAsia"/>
          <w:color w:val="000000"/>
        </w:rPr>
        <w:t>4</w:t>
      </w:r>
      <w:r>
        <w:rPr>
          <w:rFonts w:ascii="宋体" w:eastAsia="宋体" w:hAnsi="宋体" w:hint="eastAsia"/>
          <w:color w:val="000000"/>
        </w:rPr>
        <w:t>月</w:t>
      </w:r>
      <w:r>
        <w:rPr>
          <w:rFonts w:ascii="Times New Roman" w:eastAsia="Times New Roman" w:hAnsi="Times New Roman" w:hint="eastAsia"/>
          <w:color w:val="000000"/>
        </w:rPr>
        <w:t>29</w:t>
      </w:r>
      <w:r>
        <w:rPr>
          <w:rFonts w:ascii="宋体" w:eastAsia="宋体" w:hAnsi="宋体" w:hint="eastAsia"/>
          <w:color w:val="000000"/>
        </w:rPr>
        <w:t>日修订）；</w:t>
      </w:r>
    </w:p>
    <w:p w14:paraId="4B7D8B1D"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12</w:t>
      </w:r>
      <w:r>
        <w:rPr>
          <w:rFonts w:ascii="宋体" w:eastAsia="宋体" w:hAnsi="宋体" w:hint="eastAsia"/>
          <w:color w:val="000000"/>
        </w:rPr>
        <w:t>）《中华人民共和国草原法》（</w:t>
      </w:r>
      <w:r>
        <w:rPr>
          <w:rFonts w:ascii="Times New Roman" w:eastAsia="Times New Roman" w:hAnsi="Times New Roman" w:hint="eastAsia"/>
          <w:color w:val="000000"/>
        </w:rPr>
        <w:t>2002</w:t>
      </w:r>
      <w:r>
        <w:rPr>
          <w:rFonts w:ascii="宋体" w:eastAsia="宋体" w:hAnsi="宋体" w:hint="eastAsia"/>
          <w:color w:val="000000"/>
        </w:rPr>
        <w:t>年</w:t>
      </w:r>
      <w:r>
        <w:rPr>
          <w:rFonts w:ascii="Times New Roman" w:eastAsia="Times New Roman" w:hAnsi="Times New Roman" w:hint="eastAsia"/>
          <w:color w:val="000000"/>
        </w:rPr>
        <w:t>12</w:t>
      </w:r>
      <w:r>
        <w:rPr>
          <w:rFonts w:ascii="宋体" w:eastAsia="宋体" w:hAnsi="宋体" w:hint="eastAsia"/>
          <w:color w:val="000000"/>
        </w:rPr>
        <w:t>月</w:t>
      </w:r>
      <w:r>
        <w:rPr>
          <w:rFonts w:ascii="Times New Roman" w:eastAsia="Times New Roman" w:hAnsi="Times New Roman" w:hint="eastAsia"/>
          <w:color w:val="000000"/>
        </w:rPr>
        <w:t>28</w:t>
      </w:r>
      <w:r>
        <w:rPr>
          <w:rFonts w:ascii="宋体" w:eastAsia="宋体" w:hAnsi="宋体" w:hint="eastAsia"/>
          <w:color w:val="000000"/>
        </w:rPr>
        <w:t>日修订）；</w:t>
      </w:r>
    </w:p>
    <w:p w14:paraId="2A4EC018"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13</w:t>
      </w:r>
      <w:r>
        <w:rPr>
          <w:rFonts w:ascii="宋体" w:eastAsia="宋体" w:hAnsi="宋体" w:hint="eastAsia"/>
          <w:color w:val="000000"/>
        </w:rPr>
        <w:t>）《中华人民共和国突发事件应对法》（</w:t>
      </w:r>
      <w:r>
        <w:rPr>
          <w:rFonts w:ascii="Times New Roman" w:eastAsia="Times New Roman" w:hAnsi="Times New Roman" w:hint="eastAsia"/>
          <w:color w:val="000000"/>
        </w:rPr>
        <w:t>2007</w:t>
      </w:r>
      <w:r>
        <w:rPr>
          <w:rFonts w:ascii="宋体" w:eastAsia="宋体" w:hAnsi="宋体" w:hint="eastAsia"/>
          <w:color w:val="000000"/>
        </w:rPr>
        <w:t>年</w:t>
      </w:r>
      <w:r>
        <w:rPr>
          <w:rFonts w:ascii="Times New Roman" w:eastAsia="Times New Roman" w:hAnsi="Times New Roman" w:hint="eastAsia"/>
          <w:color w:val="000000"/>
        </w:rPr>
        <w:t>8</w:t>
      </w:r>
      <w:r>
        <w:rPr>
          <w:rFonts w:ascii="宋体" w:eastAsia="宋体" w:hAnsi="宋体" w:hint="eastAsia"/>
          <w:color w:val="000000"/>
        </w:rPr>
        <w:t>月</w:t>
      </w:r>
      <w:r>
        <w:rPr>
          <w:rFonts w:ascii="Times New Roman" w:eastAsia="Times New Roman" w:hAnsi="Times New Roman" w:hint="eastAsia"/>
          <w:color w:val="000000"/>
        </w:rPr>
        <w:t>30</w:t>
      </w:r>
      <w:r>
        <w:rPr>
          <w:rFonts w:ascii="宋体" w:eastAsia="宋体" w:hAnsi="宋体" w:hint="eastAsia"/>
          <w:color w:val="000000"/>
        </w:rPr>
        <w:t>日颁布）；</w:t>
      </w:r>
    </w:p>
    <w:p w14:paraId="2A2C2A2B"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14</w:t>
      </w:r>
      <w:r>
        <w:rPr>
          <w:rFonts w:ascii="宋体" w:eastAsia="宋体" w:hAnsi="宋体" w:hint="eastAsia"/>
          <w:color w:val="000000"/>
        </w:rPr>
        <w:t>）《中华人民共和国野生动物保护法》（</w:t>
      </w:r>
      <w:r>
        <w:rPr>
          <w:rFonts w:ascii="Times New Roman" w:eastAsia="Times New Roman" w:hAnsi="Times New Roman" w:hint="eastAsia"/>
          <w:color w:val="000000"/>
        </w:rPr>
        <w:t>2004</w:t>
      </w:r>
      <w:r>
        <w:rPr>
          <w:rFonts w:ascii="宋体" w:eastAsia="宋体" w:hAnsi="宋体" w:hint="eastAsia"/>
          <w:color w:val="000000"/>
        </w:rPr>
        <w:t>年</w:t>
      </w:r>
      <w:r>
        <w:rPr>
          <w:rFonts w:ascii="Times New Roman" w:eastAsia="Times New Roman" w:hAnsi="Times New Roman" w:hint="eastAsia"/>
          <w:color w:val="000000"/>
        </w:rPr>
        <w:t>8</w:t>
      </w:r>
      <w:r>
        <w:rPr>
          <w:rFonts w:ascii="宋体" w:eastAsia="宋体" w:hAnsi="宋体" w:hint="eastAsia"/>
          <w:color w:val="000000"/>
        </w:rPr>
        <w:t>月</w:t>
      </w:r>
      <w:r>
        <w:rPr>
          <w:rFonts w:ascii="Times New Roman" w:eastAsia="Times New Roman" w:hAnsi="Times New Roman" w:hint="eastAsia"/>
          <w:color w:val="000000"/>
        </w:rPr>
        <w:t>28</w:t>
      </w:r>
      <w:r>
        <w:rPr>
          <w:rFonts w:ascii="宋体" w:eastAsia="宋体" w:hAnsi="宋体" w:hint="eastAsia"/>
          <w:color w:val="000000"/>
        </w:rPr>
        <w:t>日修正）；</w:t>
      </w:r>
    </w:p>
    <w:p w14:paraId="7B5A781A"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15</w:t>
      </w:r>
      <w:r>
        <w:rPr>
          <w:rFonts w:ascii="宋体" w:eastAsia="宋体" w:hAnsi="宋体" w:hint="eastAsia"/>
          <w:color w:val="000000"/>
        </w:rPr>
        <w:t>）《中华人民共和国土地管理法实施条例》（</w:t>
      </w:r>
      <w:r>
        <w:rPr>
          <w:rFonts w:ascii="Times New Roman" w:eastAsia="Times New Roman" w:hAnsi="Times New Roman" w:hint="eastAsia"/>
          <w:color w:val="000000"/>
        </w:rPr>
        <w:t>1998</w:t>
      </w:r>
      <w:r>
        <w:rPr>
          <w:rFonts w:ascii="宋体" w:eastAsia="宋体" w:hAnsi="宋体" w:hint="eastAsia"/>
          <w:color w:val="000000"/>
        </w:rPr>
        <w:t>年</w:t>
      </w:r>
      <w:r>
        <w:rPr>
          <w:rFonts w:ascii="Times New Roman" w:eastAsia="Times New Roman" w:hAnsi="Times New Roman" w:hint="eastAsia"/>
          <w:color w:val="000000"/>
        </w:rPr>
        <w:t>12</w:t>
      </w:r>
      <w:r>
        <w:rPr>
          <w:rFonts w:ascii="宋体" w:eastAsia="宋体" w:hAnsi="宋体" w:hint="eastAsia"/>
          <w:color w:val="000000"/>
        </w:rPr>
        <w:t>月</w:t>
      </w:r>
      <w:r>
        <w:rPr>
          <w:rFonts w:ascii="Times New Roman" w:eastAsia="Times New Roman" w:hAnsi="Times New Roman" w:hint="eastAsia"/>
          <w:color w:val="000000"/>
        </w:rPr>
        <w:t>27</w:t>
      </w:r>
      <w:r>
        <w:rPr>
          <w:rFonts w:ascii="宋体" w:eastAsia="宋体" w:hAnsi="宋体" w:hint="eastAsia"/>
          <w:color w:val="000000"/>
        </w:rPr>
        <w:t>日颁布，</w:t>
      </w:r>
      <w:r>
        <w:rPr>
          <w:rFonts w:ascii="Times New Roman" w:eastAsia="Times New Roman" w:hAnsi="Times New Roman" w:hint="eastAsia"/>
          <w:color w:val="000000"/>
        </w:rPr>
        <w:t>2011</w:t>
      </w:r>
      <w:r>
        <w:rPr>
          <w:rFonts w:ascii="宋体" w:eastAsia="宋体" w:hAnsi="宋体" w:hint="eastAsia"/>
          <w:color w:val="000000"/>
        </w:rPr>
        <w:t>年</w:t>
      </w:r>
      <w:r>
        <w:rPr>
          <w:rFonts w:ascii="Times New Roman" w:eastAsia="Times New Roman" w:hAnsi="Times New Roman" w:hint="eastAsia"/>
          <w:color w:val="000000"/>
        </w:rPr>
        <w:t>1</w:t>
      </w:r>
      <w:r>
        <w:rPr>
          <w:rFonts w:ascii="宋体" w:eastAsia="宋体" w:hAnsi="宋体" w:hint="eastAsia"/>
          <w:color w:val="000000"/>
        </w:rPr>
        <w:t>月</w:t>
      </w:r>
      <w:r>
        <w:rPr>
          <w:rFonts w:ascii="Times New Roman" w:eastAsia="Times New Roman" w:hAnsi="Times New Roman" w:hint="eastAsia"/>
          <w:color w:val="000000"/>
        </w:rPr>
        <w:t>8</w:t>
      </w:r>
      <w:r>
        <w:rPr>
          <w:rFonts w:ascii="宋体" w:eastAsia="宋体" w:hAnsi="宋体" w:hint="eastAsia"/>
          <w:color w:val="000000"/>
        </w:rPr>
        <w:t>日《国务院关于废止和修改部分行政法规的决定》修订）；</w:t>
      </w:r>
    </w:p>
    <w:p w14:paraId="58BE7E65"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16</w:t>
      </w:r>
      <w:r>
        <w:rPr>
          <w:rFonts w:ascii="宋体" w:eastAsia="宋体" w:hAnsi="宋体" w:hint="eastAsia"/>
          <w:color w:val="000000"/>
        </w:rPr>
        <w:t>）《建设项目环境保护管理条例》（</w:t>
      </w:r>
      <w:r>
        <w:rPr>
          <w:rFonts w:ascii="Times New Roman" w:eastAsia="Times New Roman" w:hAnsi="Times New Roman" w:hint="eastAsia"/>
          <w:color w:val="000000"/>
        </w:rPr>
        <w:t>2017</w:t>
      </w:r>
      <w:r>
        <w:rPr>
          <w:rFonts w:ascii="宋体" w:eastAsia="宋体" w:hAnsi="宋体" w:hint="eastAsia"/>
          <w:color w:val="000000"/>
        </w:rPr>
        <w:t>年</w:t>
      </w:r>
      <w:r>
        <w:rPr>
          <w:rFonts w:ascii="Times New Roman" w:eastAsia="Times New Roman" w:hAnsi="Times New Roman" w:hint="eastAsia"/>
          <w:color w:val="000000"/>
        </w:rPr>
        <w:t>10</w:t>
      </w:r>
      <w:r>
        <w:rPr>
          <w:rFonts w:ascii="宋体" w:eastAsia="宋体" w:hAnsi="宋体" w:hint="eastAsia"/>
          <w:color w:val="000000"/>
        </w:rPr>
        <w:t>月</w:t>
      </w:r>
      <w:r>
        <w:rPr>
          <w:rFonts w:ascii="Times New Roman" w:eastAsia="Times New Roman" w:hAnsi="Times New Roman" w:hint="eastAsia"/>
          <w:color w:val="000000"/>
        </w:rPr>
        <w:t>1</w:t>
      </w:r>
      <w:r>
        <w:rPr>
          <w:rFonts w:ascii="宋体" w:eastAsia="宋体" w:hAnsi="宋体" w:hint="eastAsia"/>
          <w:color w:val="000000"/>
        </w:rPr>
        <w:t>日实施）；（</w:t>
      </w:r>
      <w:r>
        <w:rPr>
          <w:rFonts w:ascii="Times New Roman" w:eastAsia="Times New Roman" w:hAnsi="Times New Roman" w:hint="eastAsia"/>
          <w:color w:val="000000"/>
        </w:rPr>
        <w:t>17</w:t>
      </w:r>
      <w:r>
        <w:rPr>
          <w:rFonts w:ascii="宋体" w:eastAsia="宋体" w:hAnsi="宋体" w:hint="eastAsia"/>
          <w:color w:val="000000"/>
        </w:rPr>
        <w:t>）《中华人民共和国水土保持法实施条例》（</w:t>
      </w:r>
      <w:r>
        <w:rPr>
          <w:rFonts w:ascii="Times New Roman" w:eastAsia="Times New Roman" w:hAnsi="Times New Roman" w:hint="eastAsia"/>
          <w:color w:val="000000"/>
        </w:rPr>
        <w:t>1993</w:t>
      </w:r>
      <w:r>
        <w:rPr>
          <w:rFonts w:ascii="宋体" w:eastAsia="宋体" w:hAnsi="宋体" w:hint="eastAsia"/>
          <w:color w:val="000000"/>
        </w:rPr>
        <w:t>年</w:t>
      </w:r>
      <w:r>
        <w:rPr>
          <w:rFonts w:ascii="Times New Roman" w:eastAsia="Times New Roman" w:hAnsi="Times New Roman" w:hint="eastAsia"/>
          <w:color w:val="000000"/>
        </w:rPr>
        <w:t>8</w:t>
      </w:r>
      <w:r>
        <w:rPr>
          <w:rFonts w:ascii="宋体" w:eastAsia="宋体" w:hAnsi="宋体" w:hint="eastAsia"/>
          <w:color w:val="000000"/>
        </w:rPr>
        <w:t>月</w:t>
      </w:r>
      <w:r>
        <w:rPr>
          <w:rFonts w:ascii="Times New Roman" w:eastAsia="Times New Roman" w:hAnsi="Times New Roman" w:hint="eastAsia"/>
          <w:color w:val="000000"/>
        </w:rPr>
        <w:t>1</w:t>
      </w:r>
      <w:r>
        <w:rPr>
          <w:rFonts w:ascii="宋体" w:eastAsia="宋体" w:hAnsi="宋体" w:hint="eastAsia"/>
          <w:color w:val="000000"/>
        </w:rPr>
        <w:t>日颁布，</w:t>
      </w:r>
      <w:r>
        <w:rPr>
          <w:rFonts w:ascii="Times New Roman" w:eastAsia="Times New Roman" w:hAnsi="Times New Roman" w:hint="eastAsia"/>
          <w:color w:val="000000"/>
        </w:rPr>
        <w:t>2010</w:t>
      </w:r>
      <w:r>
        <w:rPr>
          <w:rFonts w:ascii="宋体" w:eastAsia="宋体" w:hAnsi="宋体" w:hint="eastAsia"/>
          <w:color w:val="000000"/>
        </w:rPr>
        <w:t>年</w:t>
      </w:r>
      <w:r>
        <w:rPr>
          <w:rFonts w:ascii="Times New Roman" w:eastAsia="Times New Roman" w:hAnsi="Times New Roman" w:hint="eastAsia"/>
          <w:color w:val="000000"/>
        </w:rPr>
        <w:t>12</w:t>
      </w:r>
      <w:r>
        <w:rPr>
          <w:rFonts w:ascii="宋体" w:eastAsia="宋体" w:hAnsi="宋体" w:hint="eastAsia"/>
          <w:color w:val="000000"/>
        </w:rPr>
        <w:t>月</w:t>
      </w:r>
      <w:r>
        <w:rPr>
          <w:rFonts w:ascii="Times New Roman" w:eastAsia="Times New Roman" w:hAnsi="Times New Roman" w:hint="eastAsia"/>
          <w:color w:val="000000"/>
        </w:rPr>
        <w:t>25</w:t>
      </w:r>
      <w:r>
        <w:rPr>
          <w:rFonts w:ascii="宋体" w:eastAsia="宋体" w:hAnsi="宋体" w:hint="eastAsia"/>
          <w:color w:val="000000"/>
        </w:rPr>
        <w:t>日修订）；</w:t>
      </w:r>
    </w:p>
    <w:p w14:paraId="1F03D9C3"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lastRenderedPageBreak/>
        <w:t>（</w:t>
      </w:r>
      <w:r>
        <w:rPr>
          <w:rFonts w:ascii="Times New Roman" w:eastAsia="Times New Roman" w:hAnsi="Times New Roman" w:hint="eastAsia"/>
          <w:color w:val="000000"/>
        </w:rPr>
        <w:t>1</w:t>
      </w:r>
      <w:r>
        <w:rPr>
          <w:rFonts w:ascii="Times New Roman" w:eastAsia="宋体" w:hAnsi="Times New Roman" w:hint="eastAsia"/>
          <w:color w:val="000000"/>
        </w:rPr>
        <w:t>7</w:t>
      </w:r>
      <w:r>
        <w:rPr>
          <w:rFonts w:ascii="宋体" w:eastAsia="宋体" w:hAnsi="宋体" w:hint="eastAsia"/>
          <w:color w:val="000000"/>
        </w:rPr>
        <w:t>）《突发公共卫生事件应急条例》（</w:t>
      </w:r>
      <w:r>
        <w:rPr>
          <w:rFonts w:ascii="Times New Roman" w:eastAsia="Times New Roman" w:hAnsi="Times New Roman" w:hint="eastAsia"/>
          <w:color w:val="000000"/>
        </w:rPr>
        <w:t>2003</w:t>
      </w:r>
      <w:r>
        <w:rPr>
          <w:rFonts w:ascii="宋体" w:eastAsia="宋体" w:hAnsi="宋体" w:hint="eastAsia"/>
          <w:color w:val="000000"/>
        </w:rPr>
        <w:t>年</w:t>
      </w:r>
      <w:r>
        <w:rPr>
          <w:rFonts w:ascii="Times New Roman" w:eastAsia="Times New Roman" w:hAnsi="Times New Roman" w:hint="eastAsia"/>
          <w:color w:val="000000"/>
        </w:rPr>
        <w:t>5</w:t>
      </w:r>
      <w:r>
        <w:rPr>
          <w:rFonts w:ascii="宋体" w:eastAsia="宋体" w:hAnsi="宋体" w:hint="eastAsia"/>
          <w:color w:val="000000"/>
        </w:rPr>
        <w:t>月</w:t>
      </w:r>
      <w:r>
        <w:rPr>
          <w:rFonts w:ascii="Times New Roman" w:eastAsia="Times New Roman" w:hAnsi="Times New Roman" w:hint="eastAsia"/>
          <w:color w:val="000000"/>
        </w:rPr>
        <w:t>9</w:t>
      </w:r>
      <w:r>
        <w:rPr>
          <w:rFonts w:ascii="宋体" w:eastAsia="宋体" w:hAnsi="宋体" w:hint="eastAsia"/>
          <w:color w:val="000000"/>
        </w:rPr>
        <w:t>日颁布）；</w:t>
      </w:r>
    </w:p>
    <w:p w14:paraId="71C5C4FC"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color w:val="000000"/>
        </w:rPr>
        <w:t>1</w:t>
      </w:r>
      <w:r>
        <w:rPr>
          <w:rFonts w:ascii="Times New Roman" w:eastAsia="宋体" w:hAnsi="Times New Roman" w:hint="eastAsia"/>
          <w:color w:val="000000"/>
        </w:rPr>
        <w:t>8</w:t>
      </w:r>
      <w:r>
        <w:rPr>
          <w:rFonts w:ascii="宋体" w:eastAsia="宋体" w:hAnsi="宋体" w:hint="eastAsia"/>
          <w:color w:val="000000"/>
        </w:rPr>
        <w:t>）《中华人民共和国陆生野生动物保护实施条例》（</w:t>
      </w:r>
      <w:r>
        <w:rPr>
          <w:rFonts w:ascii="Times New Roman" w:eastAsia="Times New Roman" w:hAnsi="Times New Roman" w:hint="eastAsia"/>
          <w:color w:val="000000"/>
        </w:rPr>
        <w:t>1992</w:t>
      </w:r>
      <w:r>
        <w:rPr>
          <w:rFonts w:ascii="宋体" w:eastAsia="宋体" w:hAnsi="宋体" w:hint="eastAsia"/>
          <w:color w:val="000000"/>
        </w:rPr>
        <w:t>年</w:t>
      </w:r>
      <w:r>
        <w:rPr>
          <w:rFonts w:ascii="Times New Roman" w:eastAsia="Times New Roman" w:hAnsi="Times New Roman" w:hint="eastAsia"/>
          <w:color w:val="000000"/>
        </w:rPr>
        <w:t>2</w:t>
      </w:r>
      <w:r>
        <w:rPr>
          <w:rFonts w:ascii="宋体" w:eastAsia="宋体" w:hAnsi="宋体" w:hint="eastAsia"/>
          <w:color w:val="000000"/>
        </w:rPr>
        <w:t>月</w:t>
      </w:r>
      <w:r>
        <w:rPr>
          <w:rFonts w:ascii="Times New Roman" w:eastAsia="Times New Roman" w:hAnsi="Times New Roman" w:hint="eastAsia"/>
          <w:color w:val="000000"/>
        </w:rPr>
        <w:t>12</w:t>
      </w:r>
      <w:r>
        <w:rPr>
          <w:rFonts w:ascii="宋体" w:eastAsia="宋体" w:hAnsi="宋体" w:hint="eastAsia"/>
          <w:color w:val="000000"/>
        </w:rPr>
        <w:t>日）；</w:t>
      </w:r>
    </w:p>
    <w:p w14:paraId="4B22EBC3"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宋体" w:hAnsi="Times New Roman" w:hint="eastAsia"/>
          <w:color w:val="000000"/>
        </w:rPr>
        <w:t>19</w:t>
      </w:r>
      <w:r>
        <w:rPr>
          <w:rFonts w:ascii="宋体" w:eastAsia="宋体" w:hAnsi="宋体" w:hint="eastAsia"/>
          <w:color w:val="000000"/>
        </w:rPr>
        <w:t>）《中华人民共和国野生植物保护条例》（</w:t>
      </w:r>
      <w:r>
        <w:rPr>
          <w:rFonts w:ascii="Times New Roman" w:eastAsia="Times New Roman" w:hAnsi="Times New Roman" w:hint="eastAsia"/>
          <w:color w:val="000000"/>
        </w:rPr>
        <w:t>1996</w:t>
      </w:r>
      <w:r>
        <w:rPr>
          <w:rFonts w:ascii="宋体" w:eastAsia="宋体" w:hAnsi="宋体" w:hint="eastAsia"/>
          <w:color w:val="000000"/>
        </w:rPr>
        <w:t>）；</w:t>
      </w:r>
    </w:p>
    <w:p w14:paraId="15BB6731"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color w:val="000000"/>
        </w:rPr>
        <w:t>2</w:t>
      </w:r>
      <w:r>
        <w:rPr>
          <w:rFonts w:ascii="Times New Roman" w:eastAsia="宋体" w:hAnsi="Times New Roman" w:hint="eastAsia"/>
          <w:color w:val="000000"/>
        </w:rPr>
        <w:t>0</w:t>
      </w:r>
      <w:r>
        <w:rPr>
          <w:rFonts w:ascii="宋体" w:eastAsia="宋体" w:hAnsi="宋体" w:hint="eastAsia"/>
          <w:color w:val="000000"/>
        </w:rPr>
        <w:t>）《危险化学品安全管理条例》（</w:t>
      </w:r>
      <w:r>
        <w:rPr>
          <w:rFonts w:ascii="Times New Roman" w:eastAsia="Times New Roman" w:hAnsi="Times New Roman" w:hint="eastAsia"/>
          <w:color w:val="000000"/>
        </w:rPr>
        <w:t>2011</w:t>
      </w:r>
      <w:r>
        <w:rPr>
          <w:rFonts w:ascii="宋体" w:eastAsia="宋体" w:hAnsi="宋体" w:hint="eastAsia"/>
          <w:color w:val="000000"/>
        </w:rPr>
        <w:t>年</w:t>
      </w:r>
      <w:r>
        <w:rPr>
          <w:rFonts w:ascii="Times New Roman" w:eastAsia="Times New Roman" w:hAnsi="Times New Roman" w:hint="eastAsia"/>
          <w:color w:val="000000"/>
        </w:rPr>
        <w:t>2</w:t>
      </w:r>
      <w:r>
        <w:rPr>
          <w:rFonts w:ascii="宋体" w:eastAsia="宋体" w:hAnsi="宋体" w:hint="eastAsia"/>
          <w:color w:val="000000"/>
        </w:rPr>
        <w:t>月</w:t>
      </w:r>
      <w:r>
        <w:rPr>
          <w:rFonts w:ascii="Times New Roman" w:eastAsia="Times New Roman" w:hAnsi="Times New Roman" w:hint="eastAsia"/>
          <w:color w:val="000000"/>
        </w:rPr>
        <w:t>16</w:t>
      </w:r>
      <w:r>
        <w:rPr>
          <w:rFonts w:ascii="宋体" w:eastAsia="宋体" w:hAnsi="宋体" w:hint="eastAsia"/>
          <w:color w:val="000000"/>
        </w:rPr>
        <w:t>日修正）。</w:t>
      </w:r>
    </w:p>
    <w:p w14:paraId="517283FD" w14:textId="77777777" w:rsidR="005A1A44" w:rsidRDefault="0008059E">
      <w:pPr>
        <w:pStyle w:val="3"/>
        <w:numPr>
          <w:ilvl w:val="2"/>
          <w:numId w:val="2"/>
        </w:numPr>
      </w:pPr>
      <w:r>
        <w:rPr>
          <w:rFonts w:hint="eastAsia"/>
        </w:rPr>
        <w:t xml:space="preserve"> </w:t>
      </w:r>
      <w:r>
        <w:rPr>
          <w:rFonts w:hint="eastAsia"/>
        </w:rPr>
        <w:t>规章及规范性文件</w:t>
      </w:r>
    </w:p>
    <w:p w14:paraId="313E5BCD"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1</w:t>
      </w:r>
      <w:r>
        <w:rPr>
          <w:rFonts w:ascii="宋体" w:eastAsia="宋体" w:hAnsi="宋体" w:hint="eastAsia"/>
          <w:color w:val="000000"/>
        </w:rPr>
        <w:t>）《国家重点保护野生动物名录》（国家林业局令第</w:t>
      </w:r>
      <w:r>
        <w:rPr>
          <w:rFonts w:ascii="Times New Roman" w:eastAsia="Times New Roman" w:hAnsi="Times New Roman" w:hint="eastAsia"/>
          <w:color w:val="000000"/>
        </w:rPr>
        <w:t>7</w:t>
      </w:r>
      <w:r>
        <w:rPr>
          <w:rFonts w:ascii="宋体" w:eastAsia="宋体" w:hAnsi="宋体" w:hint="eastAsia"/>
          <w:color w:val="000000"/>
        </w:rPr>
        <w:t>号，</w:t>
      </w:r>
      <w:r>
        <w:rPr>
          <w:rFonts w:ascii="Times New Roman" w:eastAsia="Times New Roman" w:hAnsi="Times New Roman" w:hint="eastAsia"/>
          <w:color w:val="000000"/>
        </w:rPr>
        <w:t>2003</w:t>
      </w:r>
      <w:r>
        <w:rPr>
          <w:rFonts w:ascii="宋体" w:eastAsia="宋体" w:hAnsi="宋体" w:hint="eastAsia"/>
          <w:color w:val="000000"/>
        </w:rPr>
        <w:t>年</w:t>
      </w:r>
      <w:r>
        <w:rPr>
          <w:rFonts w:ascii="Times New Roman" w:eastAsia="Times New Roman" w:hAnsi="Times New Roman" w:hint="eastAsia"/>
          <w:color w:val="000000"/>
        </w:rPr>
        <w:t>2</w:t>
      </w:r>
      <w:r>
        <w:rPr>
          <w:rFonts w:ascii="宋体" w:eastAsia="宋体" w:hAnsi="宋体" w:hint="eastAsia"/>
          <w:color w:val="000000"/>
        </w:rPr>
        <w:t>月</w:t>
      </w:r>
      <w:r>
        <w:rPr>
          <w:rFonts w:ascii="Times New Roman" w:eastAsia="Times New Roman" w:hAnsi="Times New Roman" w:hint="eastAsia"/>
          <w:color w:val="000000"/>
        </w:rPr>
        <w:t>21</w:t>
      </w:r>
      <w:r>
        <w:rPr>
          <w:rFonts w:ascii="宋体" w:eastAsia="宋体" w:hAnsi="宋体" w:hint="eastAsia"/>
          <w:color w:val="000000"/>
        </w:rPr>
        <w:t>日）；</w:t>
      </w:r>
    </w:p>
    <w:p w14:paraId="4054879D"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宋体" w:hAnsi="Times New Roman" w:hint="eastAsia"/>
          <w:color w:val="000000"/>
        </w:rPr>
        <w:t>2</w:t>
      </w:r>
      <w:r>
        <w:rPr>
          <w:rFonts w:ascii="宋体" w:eastAsia="宋体" w:hAnsi="宋体" w:hint="eastAsia"/>
          <w:color w:val="000000"/>
        </w:rPr>
        <w:t>）《国家重点保护野生植物名录（第一批）》（国家林业局和农业部令第</w:t>
      </w:r>
      <w:r>
        <w:rPr>
          <w:rFonts w:ascii="Times New Roman" w:eastAsia="Times New Roman" w:hAnsi="Times New Roman" w:hint="eastAsia"/>
          <w:color w:val="000000"/>
        </w:rPr>
        <w:t>4</w:t>
      </w:r>
      <w:r>
        <w:rPr>
          <w:rFonts w:ascii="宋体" w:eastAsia="宋体" w:hAnsi="宋体" w:hint="eastAsia"/>
          <w:color w:val="000000"/>
        </w:rPr>
        <w:t>号，</w:t>
      </w:r>
      <w:r>
        <w:rPr>
          <w:rFonts w:ascii="Times New Roman" w:eastAsia="Times New Roman" w:hAnsi="Times New Roman" w:hint="eastAsia"/>
          <w:color w:val="000000"/>
        </w:rPr>
        <w:t>1999</w:t>
      </w:r>
      <w:r>
        <w:rPr>
          <w:rFonts w:ascii="宋体" w:eastAsia="宋体" w:hAnsi="宋体" w:hint="eastAsia"/>
          <w:color w:val="000000"/>
        </w:rPr>
        <w:t>）；</w:t>
      </w:r>
    </w:p>
    <w:p w14:paraId="05E35819"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宋体" w:hAnsi="Times New Roman" w:hint="eastAsia"/>
          <w:color w:val="000000"/>
        </w:rPr>
        <w:t>3</w:t>
      </w:r>
      <w:r>
        <w:rPr>
          <w:rFonts w:ascii="宋体" w:eastAsia="宋体" w:hAnsi="宋体" w:hint="eastAsia"/>
          <w:color w:val="000000"/>
        </w:rPr>
        <w:t>）《关于划定并严守生态保护红线的若干意见》（中共中央办公厅国务院办公厅印发，</w:t>
      </w:r>
      <w:r>
        <w:rPr>
          <w:rFonts w:ascii="Times New Roman" w:eastAsia="Times New Roman" w:hAnsi="Times New Roman" w:hint="eastAsia"/>
          <w:color w:val="000000"/>
        </w:rPr>
        <w:t>2017</w:t>
      </w:r>
      <w:r>
        <w:rPr>
          <w:rFonts w:ascii="宋体" w:eastAsia="宋体" w:hAnsi="宋体" w:hint="eastAsia"/>
          <w:color w:val="000000"/>
        </w:rPr>
        <w:t>年</w:t>
      </w:r>
      <w:r>
        <w:rPr>
          <w:rFonts w:ascii="Times New Roman" w:eastAsia="Times New Roman" w:hAnsi="Times New Roman" w:hint="eastAsia"/>
          <w:color w:val="000000"/>
        </w:rPr>
        <w:t>2</w:t>
      </w:r>
      <w:r>
        <w:rPr>
          <w:rFonts w:ascii="宋体" w:eastAsia="宋体" w:hAnsi="宋体" w:hint="eastAsia"/>
          <w:color w:val="000000"/>
        </w:rPr>
        <w:t>月</w:t>
      </w:r>
      <w:r>
        <w:rPr>
          <w:rFonts w:ascii="Times New Roman" w:eastAsia="Times New Roman" w:hAnsi="Times New Roman" w:hint="eastAsia"/>
          <w:color w:val="000000"/>
        </w:rPr>
        <w:t>7</w:t>
      </w:r>
      <w:r>
        <w:rPr>
          <w:rFonts w:ascii="宋体" w:eastAsia="宋体" w:hAnsi="宋体" w:hint="eastAsia"/>
          <w:color w:val="000000"/>
        </w:rPr>
        <w:t>日）；</w:t>
      </w:r>
    </w:p>
    <w:p w14:paraId="7DB7642F"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宋体" w:hAnsi="Times New Roman" w:hint="eastAsia"/>
          <w:color w:val="000000"/>
        </w:rPr>
        <w:t>4</w:t>
      </w:r>
      <w:r>
        <w:rPr>
          <w:rFonts w:ascii="宋体" w:eastAsia="宋体" w:hAnsi="宋体" w:hint="eastAsia"/>
          <w:color w:val="000000"/>
        </w:rPr>
        <w:t>））《建设项目环境影响评价分类管理名录》（生态环境部部令第</w:t>
      </w:r>
      <w:r>
        <w:rPr>
          <w:rFonts w:ascii="Times New Roman" w:eastAsia="Times New Roman" w:hAnsi="Times New Roman" w:hint="eastAsia"/>
          <w:color w:val="000000"/>
        </w:rPr>
        <w:t>1</w:t>
      </w:r>
      <w:r>
        <w:rPr>
          <w:rFonts w:ascii="宋体" w:eastAsia="宋体" w:hAnsi="宋体" w:hint="eastAsia"/>
          <w:color w:val="000000"/>
        </w:rPr>
        <w:t>号）</w:t>
      </w:r>
      <w:r>
        <w:rPr>
          <w:rFonts w:ascii="Times New Roman" w:eastAsia="Times New Roman" w:hAnsi="Times New Roman" w:hint="eastAsia"/>
          <w:color w:val="000000"/>
        </w:rPr>
        <w:t>2018.4.28</w:t>
      </w:r>
      <w:r>
        <w:rPr>
          <w:rFonts w:ascii="宋体" w:eastAsia="宋体" w:hAnsi="宋体" w:hint="eastAsia"/>
          <w:color w:val="000000"/>
        </w:rPr>
        <w:t>；</w:t>
      </w:r>
    </w:p>
    <w:p w14:paraId="7F8B6C9C"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宋体" w:hAnsi="Times New Roman" w:hint="eastAsia"/>
          <w:color w:val="000000"/>
        </w:rPr>
        <w:t>5</w:t>
      </w:r>
      <w:r>
        <w:rPr>
          <w:rFonts w:ascii="宋体" w:eastAsia="宋体" w:hAnsi="宋体" w:hint="eastAsia"/>
          <w:color w:val="000000"/>
        </w:rPr>
        <w:t>）《环境影响评价公众参与办法》（生态环境部令第</w:t>
      </w:r>
      <w:r>
        <w:rPr>
          <w:rFonts w:ascii="Times New Roman" w:eastAsia="Times New Roman" w:hAnsi="Times New Roman" w:hint="eastAsia"/>
          <w:color w:val="000000"/>
        </w:rPr>
        <w:t>4</w:t>
      </w:r>
      <w:r>
        <w:rPr>
          <w:rFonts w:ascii="宋体" w:eastAsia="宋体" w:hAnsi="宋体" w:hint="eastAsia"/>
          <w:color w:val="000000"/>
        </w:rPr>
        <w:t>号，</w:t>
      </w:r>
      <w:r>
        <w:rPr>
          <w:rFonts w:ascii="Times New Roman" w:eastAsia="Times New Roman" w:hAnsi="Times New Roman" w:hint="eastAsia"/>
          <w:color w:val="000000"/>
        </w:rPr>
        <w:t>2019</w:t>
      </w:r>
      <w:r>
        <w:rPr>
          <w:rFonts w:ascii="宋体" w:eastAsia="宋体" w:hAnsi="宋体" w:hint="eastAsia"/>
          <w:color w:val="000000"/>
        </w:rPr>
        <w:t>年</w:t>
      </w:r>
      <w:r>
        <w:rPr>
          <w:rFonts w:ascii="Times New Roman" w:eastAsia="Times New Roman" w:hAnsi="Times New Roman" w:hint="eastAsia"/>
          <w:color w:val="000000"/>
        </w:rPr>
        <w:t>1</w:t>
      </w:r>
      <w:r>
        <w:rPr>
          <w:rFonts w:ascii="宋体" w:eastAsia="宋体" w:hAnsi="宋体" w:hint="eastAsia"/>
          <w:color w:val="000000"/>
        </w:rPr>
        <w:t>月</w:t>
      </w:r>
      <w:r>
        <w:rPr>
          <w:rFonts w:ascii="Times New Roman" w:eastAsia="Times New Roman" w:hAnsi="Times New Roman" w:hint="eastAsia"/>
          <w:color w:val="000000"/>
        </w:rPr>
        <w:t>1</w:t>
      </w:r>
      <w:r>
        <w:rPr>
          <w:rFonts w:ascii="宋体" w:eastAsia="宋体" w:hAnsi="宋体" w:hint="eastAsia"/>
          <w:color w:val="000000"/>
        </w:rPr>
        <w:t>日）。</w:t>
      </w:r>
    </w:p>
    <w:p w14:paraId="22D2A186"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宋体" w:hAnsi="Times New Roman" w:hint="eastAsia"/>
          <w:color w:val="000000"/>
        </w:rPr>
        <w:t>6</w:t>
      </w:r>
      <w:r>
        <w:rPr>
          <w:rFonts w:ascii="Times New Roman" w:eastAsia="宋体" w:hAnsi="Times New Roman" w:hint="eastAsia"/>
          <w:color w:val="000000"/>
        </w:rPr>
        <w:t>）</w:t>
      </w:r>
      <w:r>
        <w:rPr>
          <w:rFonts w:ascii="宋体" w:eastAsia="宋体" w:hAnsi="宋体" w:hint="eastAsia"/>
          <w:color w:val="000000"/>
        </w:rPr>
        <w:t>《突发环境事件应急管理办法》（环境保护部令第</w:t>
      </w:r>
      <w:r>
        <w:rPr>
          <w:rFonts w:ascii="Times New Roman" w:eastAsia="Times New Roman" w:hAnsi="Times New Roman" w:hint="eastAsia"/>
          <w:color w:val="000000"/>
        </w:rPr>
        <w:t>34</w:t>
      </w:r>
      <w:r>
        <w:rPr>
          <w:rFonts w:ascii="宋体" w:eastAsia="宋体" w:hAnsi="宋体" w:hint="eastAsia"/>
          <w:color w:val="000000"/>
        </w:rPr>
        <w:t>号，</w:t>
      </w:r>
      <w:r>
        <w:rPr>
          <w:rFonts w:ascii="Times New Roman" w:eastAsia="Times New Roman" w:hAnsi="Times New Roman" w:hint="eastAsia"/>
          <w:color w:val="000000"/>
        </w:rPr>
        <w:t>2015</w:t>
      </w:r>
      <w:r>
        <w:rPr>
          <w:rFonts w:ascii="宋体" w:eastAsia="宋体" w:hAnsi="宋体" w:hint="eastAsia"/>
          <w:color w:val="000000"/>
        </w:rPr>
        <w:t>年</w:t>
      </w:r>
      <w:r>
        <w:rPr>
          <w:rFonts w:ascii="Times New Roman" w:eastAsia="Times New Roman" w:hAnsi="Times New Roman" w:hint="eastAsia"/>
          <w:color w:val="000000"/>
        </w:rPr>
        <w:t>6</w:t>
      </w:r>
      <w:r>
        <w:rPr>
          <w:rFonts w:ascii="宋体" w:eastAsia="宋体" w:hAnsi="宋体" w:hint="eastAsia"/>
          <w:color w:val="000000"/>
        </w:rPr>
        <w:t>月</w:t>
      </w:r>
      <w:r>
        <w:rPr>
          <w:rFonts w:ascii="Times New Roman" w:eastAsia="Times New Roman" w:hAnsi="Times New Roman" w:hint="eastAsia"/>
          <w:color w:val="000000"/>
        </w:rPr>
        <w:t>5</w:t>
      </w:r>
      <w:r>
        <w:rPr>
          <w:rFonts w:ascii="宋体" w:eastAsia="宋体" w:hAnsi="宋体" w:hint="eastAsia"/>
          <w:color w:val="000000"/>
        </w:rPr>
        <w:t>日起实施）；</w:t>
      </w:r>
    </w:p>
    <w:p w14:paraId="058B471C"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宋体" w:hAnsi="Times New Roman" w:hint="eastAsia"/>
          <w:color w:val="000000"/>
        </w:rPr>
        <w:t>7</w:t>
      </w:r>
      <w:r>
        <w:rPr>
          <w:rFonts w:ascii="宋体" w:eastAsia="宋体" w:hAnsi="宋体" w:hint="eastAsia"/>
          <w:color w:val="000000"/>
        </w:rPr>
        <w:t>）《水污染防治行动计划》（国发〔</w:t>
      </w:r>
      <w:r>
        <w:rPr>
          <w:rFonts w:ascii="Times New Roman" w:eastAsia="Times New Roman" w:hAnsi="Times New Roman" w:hint="eastAsia"/>
          <w:color w:val="000000"/>
        </w:rPr>
        <w:t>2015</w:t>
      </w:r>
      <w:r>
        <w:rPr>
          <w:rFonts w:ascii="宋体" w:eastAsia="宋体" w:hAnsi="宋体" w:hint="eastAsia"/>
          <w:color w:val="000000"/>
        </w:rPr>
        <w:t>〕</w:t>
      </w:r>
      <w:r>
        <w:rPr>
          <w:rFonts w:ascii="Times New Roman" w:eastAsia="Times New Roman" w:hAnsi="Times New Roman" w:hint="eastAsia"/>
          <w:color w:val="000000"/>
        </w:rPr>
        <w:t>17</w:t>
      </w:r>
      <w:r>
        <w:rPr>
          <w:rFonts w:ascii="宋体" w:eastAsia="宋体" w:hAnsi="宋体" w:hint="eastAsia"/>
          <w:color w:val="000000"/>
        </w:rPr>
        <w:t>号）；</w:t>
      </w:r>
    </w:p>
    <w:p w14:paraId="4B339DD7"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宋体" w:hAnsi="Times New Roman" w:hint="eastAsia"/>
          <w:color w:val="000000"/>
        </w:rPr>
        <w:t>8</w:t>
      </w:r>
      <w:r>
        <w:rPr>
          <w:rFonts w:ascii="宋体" w:eastAsia="宋体" w:hAnsi="宋体" w:hint="eastAsia"/>
          <w:color w:val="000000"/>
        </w:rPr>
        <w:t>）《土壤污染防治行动计划》（国发〔</w:t>
      </w:r>
      <w:r>
        <w:rPr>
          <w:rFonts w:ascii="Times New Roman" w:eastAsia="Times New Roman" w:hAnsi="Times New Roman" w:hint="eastAsia"/>
          <w:color w:val="000000"/>
        </w:rPr>
        <w:t>2016</w:t>
      </w:r>
      <w:r>
        <w:rPr>
          <w:rFonts w:ascii="宋体" w:eastAsia="宋体" w:hAnsi="宋体" w:hint="eastAsia"/>
          <w:color w:val="000000"/>
        </w:rPr>
        <w:t>〕</w:t>
      </w:r>
      <w:r>
        <w:rPr>
          <w:rFonts w:ascii="Times New Roman" w:eastAsia="Times New Roman" w:hAnsi="Times New Roman" w:hint="eastAsia"/>
          <w:color w:val="000000"/>
        </w:rPr>
        <w:t>31</w:t>
      </w:r>
      <w:r>
        <w:rPr>
          <w:rFonts w:ascii="宋体" w:eastAsia="宋体" w:hAnsi="宋体" w:hint="eastAsia"/>
          <w:color w:val="000000"/>
        </w:rPr>
        <w:t>号）；</w:t>
      </w:r>
    </w:p>
    <w:p w14:paraId="163B2271"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宋体" w:hAnsi="Times New Roman" w:hint="eastAsia"/>
          <w:color w:val="000000"/>
        </w:rPr>
        <w:t>9</w:t>
      </w:r>
      <w:r>
        <w:rPr>
          <w:rFonts w:ascii="宋体" w:eastAsia="宋体" w:hAnsi="宋体" w:hint="eastAsia"/>
          <w:color w:val="000000"/>
        </w:rPr>
        <w:t>）中共中央国务院《关于全面加强生态环境保护坚决打好污染防治攻坚战的意见》（</w:t>
      </w:r>
      <w:r>
        <w:rPr>
          <w:rFonts w:ascii="Times New Roman" w:eastAsia="Times New Roman" w:hAnsi="Times New Roman" w:hint="eastAsia"/>
          <w:color w:val="000000"/>
        </w:rPr>
        <w:t>2018</w:t>
      </w:r>
      <w:r>
        <w:rPr>
          <w:rFonts w:ascii="宋体" w:eastAsia="宋体" w:hAnsi="宋体" w:hint="eastAsia"/>
          <w:color w:val="000000"/>
        </w:rPr>
        <w:t>年</w:t>
      </w:r>
      <w:r>
        <w:rPr>
          <w:rFonts w:ascii="Times New Roman" w:eastAsia="Times New Roman" w:hAnsi="Times New Roman" w:hint="eastAsia"/>
          <w:color w:val="000000"/>
        </w:rPr>
        <w:t>6</w:t>
      </w:r>
      <w:r>
        <w:rPr>
          <w:rFonts w:ascii="宋体" w:eastAsia="宋体" w:hAnsi="宋体" w:hint="eastAsia"/>
          <w:color w:val="000000"/>
        </w:rPr>
        <w:t>月</w:t>
      </w:r>
      <w:r>
        <w:rPr>
          <w:rFonts w:ascii="Times New Roman" w:eastAsia="Times New Roman" w:hAnsi="Times New Roman" w:hint="eastAsia"/>
          <w:color w:val="000000"/>
        </w:rPr>
        <w:t>16</w:t>
      </w:r>
      <w:r>
        <w:rPr>
          <w:rFonts w:ascii="宋体" w:eastAsia="宋体" w:hAnsi="宋体" w:hint="eastAsia"/>
          <w:color w:val="000000"/>
        </w:rPr>
        <w:t>日）；</w:t>
      </w:r>
    </w:p>
    <w:p w14:paraId="75A4FAA6"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宋体" w:hAnsi="Times New Roman" w:hint="eastAsia"/>
          <w:color w:val="000000"/>
        </w:rPr>
        <w:t>10</w:t>
      </w:r>
      <w:r>
        <w:rPr>
          <w:rFonts w:ascii="宋体" w:eastAsia="宋体" w:hAnsi="宋体" w:hint="eastAsia"/>
          <w:color w:val="000000"/>
        </w:rPr>
        <w:t>）环保部《关于以改善环境质量为核心加强环境影响评价管理的通知》（环环评[2016]150号）；</w:t>
      </w:r>
    </w:p>
    <w:p w14:paraId="5530BBF2"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（11）《河道管理范围内建设项目管理的有关规定》（1992年4月3日 水利部、国家计划委员会水政（1992）7号颁发）。</w:t>
      </w:r>
    </w:p>
    <w:p w14:paraId="49A726AE" w14:textId="77777777" w:rsidR="005A1A44" w:rsidRDefault="0008059E">
      <w:pPr>
        <w:pStyle w:val="3"/>
        <w:numPr>
          <w:ilvl w:val="2"/>
          <w:numId w:val="2"/>
        </w:numPr>
      </w:pPr>
      <w:r>
        <w:rPr>
          <w:rFonts w:hint="eastAsia"/>
        </w:rPr>
        <w:lastRenderedPageBreak/>
        <w:t xml:space="preserve"> </w:t>
      </w:r>
      <w:r>
        <w:rPr>
          <w:rFonts w:hint="eastAsia"/>
        </w:rPr>
        <w:t>地方法规、规章</w:t>
      </w:r>
    </w:p>
    <w:p w14:paraId="2C83AD0A"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1</w:t>
      </w:r>
      <w:r>
        <w:rPr>
          <w:rFonts w:ascii="宋体" w:eastAsia="宋体" w:hAnsi="宋体" w:hint="eastAsia"/>
          <w:color w:val="000000"/>
        </w:rPr>
        <w:t>）《新疆维吾尔自治区环境保护条例》（新疆维吾尔自治区人大常委会，</w:t>
      </w:r>
      <w:r>
        <w:rPr>
          <w:rFonts w:ascii="Times New Roman" w:eastAsia="Times New Roman" w:hAnsi="Times New Roman" w:hint="eastAsia"/>
          <w:color w:val="000000"/>
        </w:rPr>
        <w:t>2017</w:t>
      </w:r>
      <w:r>
        <w:rPr>
          <w:rFonts w:ascii="宋体" w:eastAsia="宋体" w:hAnsi="宋体" w:hint="eastAsia"/>
          <w:color w:val="000000"/>
        </w:rPr>
        <w:t>年</w:t>
      </w:r>
      <w:r>
        <w:rPr>
          <w:rFonts w:ascii="Times New Roman" w:eastAsia="Times New Roman" w:hAnsi="Times New Roman" w:hint="eastAsia"/>
          <w:color w:val="000000"/>
        </w:rPr>
        <w:t>1</w:t>
      </w:r>
      <w:r>
        <w:rPr>
          <w:rFonts w:ascii="宋体" w:eastAsia="宋体" w:hAnsi="宋体" w:hint="eastAsia"/>
          <w:color w:val="000000"/>
        </w:rPr>
        <w:t>月</w:t>
      </w:r>
      <w:r>
        <w:rPr>
          <w:rFonts w:ascii="Times New Roman" w:eastAsia="Times New Roman" w:hAnsi="Times New Roman" w:hint="eastAsia"/>
          <w:color w:val="000000"/>
        </w:rPr>
        <w:t>1</w:t>
      </w:r>
      <w:r>
        <w:rPr>
          <w:rFonts w:ascii="宋体" w:eastAsia="宋体" w:hAnsi="宋体" w:hint="eastAsia"/>
          <w:color w:val="000000"/>
        </w:rPr>
        <w:t>日实施）；</w:t>
      </w:r>
    </w:p>
    <w:p w14:paraId="52922B94"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2</w:t>
      </w:r>
      <w:r>
        <w:rPr>
          <w:rFonts w:ascii="宋体" w:eastAsia="宋体" w:hAnsi="宋体" w:hint="eastAsia"/>
          <w:color w:val="000000"/>
        </w:rPr>
        <w:t>）《关于修改〈自治区实施中华人民共和国野生动物保护法办法〉的决定》（新疆维吾尔自治区人大常委会，</w:t>
      </w:r>
      <w:r>
        <w:rPr>
          <w:rFonts w:ascii="Times New Roman" w:eastAsia="Times New Roman" w:hAnsi="Times New Roman" w:hint="eastAsia"/>
          <w:color w:val="000000"/>
        </w:rPr>
        <w:t>1997</w:t>
      </w:r>
      <w:r>
        <w:rPr>
          <w:rFonts w:ascii="宋体" w:eastAsia="宋体" w:hAnsi="宋体" w:hint="eastAsia"/>
          <w:color w:val="000000"/>
        </w:rPr>
        <w:t>年</w:t>
      </w:r>
      <w:r>
        <w:rPr>
          <w:rFonts w:ascii="Times New Roman" w:eastAsia="Times New Roman" w:hAnsi="Times New Roman" w:hint="eastAsia"/>
          <w:color w:val="000000"/>
        </w:rPr>
        <w:t>1</w:t>
      </w:r>
      <w:r>
        <w:rPr>
          <w:rFonts w:ascii="宋体" w:eastAsia="宋体" w:hAnsi="宋体" w:hint="eastAsia"/>
          <w:color w:val="000000"/>
        </w:rPr>
        <w:t>月</w:t>
      </w:r>
      <w:r>
        <w:rPr>
          <w:rFonts w:ascii="Times New Roman" w:eastAsia="Times New Roman" w:hAnsi="Times New Roman" w:hint="eastAsia"/>
          <w:color w:val="000000"/>
        </w:rPr>
        <w:t>22</w:t>
      </w:r>
      <w:r>
        <w:rPr>
          <w:rFonts w:ascii="宋体" w:eastAsia="宋体" w:hAnsi="宋体" w:hint="eastAsia"/>
          <w:color w:val="000000"/>
        </w:rPr>
        <w:t>日）；</w:t>
      </w:r>
    </w:p>
    <w:p w14:paraId="4C9EA987"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3</w:t>
      </w:r>
      <w:r>
        <w:rPr>
          <w:rFonts w:ascii="宋体" w:eastAsia="宋体" w:hAnsi="宋体" w:hint="eastAsia"/>
          <w:color w:val="000000"/>
        </w:rPr>
        <w:t>）《新疆维吾尔自治区实施</w:t>
      </w:r>
      <w:r>
        <w:rPr>
          <w:rFonts w:ascii="Times New Roman" w:eastAsia="Times New Roman" w:hAnsi="Times New Roman" w:hint="eastAsia"/>
          <w:color w:val="000000"/>
        </w:rPr>
        <w:t>&lt;</w:t>
      </w:r>
      <w:r>
        <w:rPr>
          <w:rFonts w:ascii="宋体" w:eastAsia="宋体" w:hAnsi="宋体" w:hint="eastAsia"/>
          <w:color w:val="000000"/>
        </w:rPr>
        <w:t>中华人民共和国水土保持法</w:t>
      </w:r>
      <w:r>
        <w:rPr>
          <w:rFonts w:ascii="Times New Roman" w:eastAsia="Times New Roman" w:hAnsi="Times New Roman" w:hint="eastAsia"/>
          <w:color w:val="000000"/>
        </w:rPr>
        <w:t>&gt;</w:t>
      </w:r>
      <w:r>
        <w:rPr>
          <w:rFonts w:ascii="宋体" w:eastAsia="宋体" w:hAnsi="宋体" w:hint="eastAsia"/>
          <w:color w:val="000000"/>
        </w:rPr>
        <w:t>办法》（自治区人大常委会</w:t>
      </w:r>
      <w:r>
        <w:rPr>
          <w:rFonts w:ascii="Times New Roman" w:eastAsia="Times New Roman" w:hAnsi="Times New Roman" w:hint="eastAsia"/>
          <w:color w:val="000000"/>
        </w:rPr>
        <w:t>8-18</w:t>
      </w:r>
      <w:r>
        <w:rPr>
          <w:rFonts w:ascii="宋体" w:eastAsia="宋体" w:hAnsi="宋体" w:hint="eastAsia"/>
          <w:color w:val="000000"/>
        </w:rPr>
        <w:t>号文，</w:t>
      </w:r>
      <w:r>
        <w:rPr>
          <w:rFonts w:ascii="Times New Roman" w:eastAsia="Times New Roman" w:hAnsi="Times New Roman" w:hint="eastAsia"/>
          <w:color w:val="000000"/>
        </w:rPr>
        <w:t>1994.9.24</w:t>
      </w:r>
      <w:r>
        <w:rPr>
          <w:rFonts w:ascii="宋体" w:eastAsia="宋体" w:hAnsi="宋体" w:hint="eastAsia"/>
          <w:color w:val="000000"/>
        </w:rPr>
        <w:t>）；</w:t>
      </w:r>
    </w:p>
    <w:p w14:paraId="7DDA74EF"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4</w:t>
      </w:r>
      <w:r>
        <w:rPr>
          <w:rFonts w:ascii="宋体" w:eastAsia="宋体" w:hAnsi="宋体" w:hint="eastAsia"/>
          <w:color w:val="000000"/>
        </w:rPr>
        <w:t>）《中国新疆水环境功能区划》（新疆维吾尔自治区环境保护局，</w:t>
      </w:r>
      <w:r>
        <w:rPr>
          <w:rFonts w:ascii="Times New Roman" w:eastAsia="Times New Roman" w:hAnsi="Times New Roman" w:hint="eastAsia"/>
          <w:color w:val="000000"/>
        </w:rPr>
        <w:t>2003</w:t>
      </w:r>
      <w:r>
        <w:rPr>
          <w:rFonts w:ascii="宋体" w:eastAsia="宋体" w:hAnsi="宋体" w:hint="eastAsia"/>
          <w:color w:val="000000"/>
        </w:rPr>
        <w:t>年</w:t>
      </w:r>
      <w:r>
        <w:rPr>
          <w:rFonts w:ascii="Times New Roman" w:eastAsia="Times New Roman" w:hAnsi="Times New Roman" w:hint="eastAsia"/>
          <w:color w:val="000000"/>
        </w:rPr>
        <w:t>12</w:t>
      </w:r>
      <w:r>
        <w:rPr>
          <w:rFonts w:ascii="宋体" w:eastAsia="宋体" w:hAnsi="宋体" w:hint="eastAsia"/>
          <w:color w:val="000000"/>
        </w:rPr>
        <w:t>月）；</w:t>
      </w:r>
    </w:p>
    <w:p w14:paraId="40C4ED4F"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5</w:t>
      </w:r>
      <w:r>
        <w:rPr>
          <w:rFonts w:ascii="宋体" w:eastAsia="宋体" w:hAnsi="宋体" w:hint="eastAsia"/>
          <w:color w:val="000000"/>
        </w:rPr>
        <w:t>）《新疆维吾尔自治区主体功能区规划》；</w:t>
      </w:r>
    </w:p>
    <w:p w14:paraId="5DD0CC89"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（6）《自治区打赢蓝天保卫战三年行动计划2018—2020年》，新政发[2018]66号；</w:t>
      </w:r>
    </w:p>
    <w:p w14:paraId="2E437FA2"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（7）《新疆维吾尔自治区环境保护“十三五”规划》；</w:t>
      </w:r>
    </w:p>
    <w:p w14:paraId="6E8437D9"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（8）《新疆维吾尔自治区人民政府关于全疆水土流失重点预防保护区、重点监督区、重点治理区划分的公告》（</w:t>
      </w:r>
      <w:r>
        <w:rPr>
          <w:rFonts w:ascii="Times New Roman" w:eastAsia="Times New Roman" w:hAnsi="Times New Roman" w:hint="eastAsia"/>
          <w:color w:val="000000"/>
        </w:rPr>
        <w:t>2000.10.31</w:t>
      </w:r>
      <w:r>
        <w:rPr>
          <w:rFonts w:ascii="宋体" w:eastAsia="宋体" w:hAnsi="宋体" w:hint="eastAsia"/>
          <w:color w:val="000000"/>
        </w:rPr>
        <w:t>）；</w:t>
      </w:r>
    </w:p>
    <w:p w14:paraId="615F8368"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9</w:t>
      </w:r>
      <w:r>
        <w:rPr>
          <w:rFonts w:ascii="宋体" w:eastAsia="宋体" w:hAnsi="宋体" w:hint="eastAsia"/>
          <w:color w:val="000000"/>
        </w:rPr>
        <w:t>）《新疆生态功能区划》；</w:t>
      </w:r>
    </w:p>
    <w:p w14:paraId="28410520"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10</w:t>
      </w:r>
      <w:r>
        <w:rPr>
          <w:rFonts w:ascii="宋体" w:eastAsia="宋体" w:hAnsi="宋体" w:hint="eastAsia"/>
          <w:color w:val="000000"/>
        </w:rPr>
        <w:t>）《新疆维吾尔自治区重点保护野生植物名录（第一批）》（新政办发</w:t>
      </w:r>
      <w:r>
        <w:rPr>
          <w:rFonts w:ascii="Times New Roman" w:eastAsia="Times New Roman" w:hAnsi="Times New Roman" w:hint="eastAsia"/>
          <w:color w:val="000000"/>
        </w:rPr>
        <w:t>[2007]175</w:t>
      </w:r>
      <w:r>
        <w:rPr>
          <w:rFonts w:ascii="宋体" w:eastAsia="宋体" w:hAnsi="宋体" w:hint="eastAsia"/>
          <w:color w:val="000000"/>
        </w:rPr>
        <w:t>号）；</w:t>
      </w:r>
    </w:p>
    <w:p w14:paraId="616E5605"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11</w:t>
      </w:r>
      <w:r>
        <w:rPr>
          <w:rFonts w:ascii="宋体" w:eastAsia="宋体" w:hAnsi="宋体" w:hint="eastAsia"/>
          <w:color w:val="000000"/>
        </w:rPr>
        <w:t>）《新疆维吾尔自治区水污染防治工作方案》（新政发〔</w:t>
      </w:r>
      <w:r>
        <w:rPr>
          <w:rFonts w:ascii="Times New Roman" w:eastAsia="Times New Roman" w:hAnsi="Times New Roman" w:hint="eastAsia"/>
          <w:color w:val="000000"/>
        </w:rPr>
        <w:t>2016</w:t>
      </w:r>
      <w:r>
        <w:rPr>
          <w:rFonts w:ascii="宋体" w:eastAsia="宋体" w:hAnsi="宋体" w:hint="eastAsia"/>
          <w:color w:val="000000"/>
        </w:rPr>
        <w:t>〕</w:t>
      </w:r>
      <w:r>
        <w:rPr>
          <w:rFonts w:ascii="Times New Roman" w:eastAsia="Times New Roman" w:hAnsi="Times New Roman" w:hint="eastAsia"/>
          <w:color w:val="000000"/>
        </w:rPr>
        <w:t>21</w:t>
      </w:r>
      <w:r>
        <w:rPr>
          <w:rFonts w:ascii="宋体" w:eastAsia="宋体" w:hAnsi="宋体" w:hint="eastAsia"/>
          <w:color w:val="000000"/>
        </w:rPr>
        <w:t>号）；</w:t>
      </w:r>
    </w:p>
    <w:p w14:paraId="60E6DCE6"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12</w:t>
      </w:r>
      <w:r>
        <w:rPr>
          <w:rFonts w:ascii="宋体" w:eastAsia="宋体" w:hAnsi="宋体" w:hint="eastAsia"/>
          <w:color w:val="000000"/>
        </w:rPr>
        <w:t>）《新疆维吾尔自治区大气污染防治行动计划实施方案》（自治区人民政府新政发</w:t>
      </w:r>
      <w:r>
        <w:rPr>
          <w:rFonts w:ascii="Times New Roman" w:eastAsia="Times New Roman" w:hAnsi="Times New Roman" w:hint="eastAsia"/>
          <w:color w:val="000000"/>
        </w:rPr>
        <w:t>[2014]35</w:t>
      </w:r>
      <w:r>
        <w:rPr>
          <w:rFonts w:ascii="宋体" w:eastAsia="宋体" w:hAnsi="宋体" w:hint="eastAsia"/>
          <w:color w:val="000000"/>
        </w:rPr>
        <w:t>号）；</w:t>
      </w:r>
    </w:p>
    <w:p w14:paraId="13B550A7"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（13）《新疆维吾尔自治区土壤污染防治工作方案》（新政发〔2017〕25号）；</w:t>
      </w:r>
    </w:p>
    <w:p w14:paraId="2DE3DC21" w14:textId="77777777" w:rsidR="005A1A44" w:rsidRDefault="0008059E">
      <w:pPr>
        <w:ind w:firstLine="480"/>
        <w:jc w:val="left"/>
        <w:rPr>
          <w:rFonts w:ascii="Times New Roman" w:eastAsia="宋体" w:hAnsi="Times New Roman"/>
          <w:color w:val="000000"/>
        </w:rPr>
      </w:pPr>
      <w:r>
        <w:rPr>
          <w:rFonts w:ascii="宋体" w:eastAsia="宋体" w:hAnsi="宋体" w:hint="eastAsia"/>
          <w:color w:val="000000"/>
        </w:rPr>
        <w:t>（14）《新疆维吾尔自治区水利工程管理和保护办法》（新疆维吾尔自治区人民政府令 第168号）。</w:t>
      </w:r>
    </w:p>
    <w:p w14:paraId="1980A014" w14:textId="77777777" w:rsidR="005A1A44" w:rsidRDefault="0008059E">
      <w:pPr>
        <w:pStyle w:val="3"/>
        <w:numPr>
          <w:ilvl w:val="2"/>
          <w:numId w:val="2"/>
        </w:numPr>
      </w:pPr>
      <w:r>
        <w:rPr>
          <w:rFonts w:hint="eastAsia"/>
        </w:rPr>
        <w:lastRenderedPageBreak/>
        <w:t xml:space="preserve"> </w:t>
      </w:r>
      <w:r>
        <w:rPr>
          <w:rFonts w:hint="eastAsia"/>
        </w:rPr>
        <w:t>技术标准及规范</w:t>
      </w:r>
    </w:p>
    <w:p w14:paraId="7689DAAE"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1</w:t>
      </w:r>
      <w:r>
        <w:rPr>
          <w:rFonts w:ascii="宋体" w:eastAsia="宋体" w:hAnsi="宋体" w:hint="eastAsia"/>
          <w:color w:val="000000"/>
        </w:rPr>
        <w:t>）《建设项目环境影响评价技术导则总纲》（</w:t>
      </w:r>
      <w:r>
        <w:rPr>
          <w:rFonts w:ascii="Times New Roman" w:eastAsia="Times New Roman" w:hAnsi="Times New Roman" w:hint="eastAsia"/>
          <w:color w:val="000000"/>
        </w:rPr>
        <w:t>HJ2.1-2016</w:t>
      </w:r>
      <w:r>
        <w:rPr>
          <w:rFonts w:ascii="宋体" w:eastAsia="宋体" w:hAnsi="宋体" w:hint="eastAsia"/>
          <w:color w:val="000000"/>
        </w:rPr>
        <w:t>）；</w:t>
      </w:r>
    </w:p>
    <w:p w14:paraId="219746FD"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2</w:t>
      </w:r>
      <w:r>
        <w:rPr>
          <w:rFonts w:ascii="宋体" w:eastAsia="宋体" w:hAnsi="宋体" w:hint="eastAsia"/>
          <w:color w:val="000000"/>
        </w:rPr>
        <w:t>）《环境影响评价技术导则大气环境》（</w:t>
      </w:r>
      <w:r>
        <w:rPr>
          <w:rFonts w:ascii="Times New Roman" w:eastAsia="Times New Roman" w:hAnsi="Times New Roman" w:hint="eastAsia"/>
          <w:color w:val="000000"/>
        </w:rPr>
        <w:t>HJ2.2-2018</w:t>
      </w:r>
      <w:r>
        <w:rPr>
          <w:rFonts w:ascii="宋体" w:eastAsia="宋体" w:hAnsi="宋体" w:hint="eastAsia"/>
          <w:color w:val="000000"/>
        </w:rPr>
        <w:t>）；</w:t>
      </w:r>
    </w:p>
    <w:p w14:paraId="438B2277"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3</w:t>
      </w:r>
      <w:r>
        <w:rPr>
          <w:rFonts w:ascii="宋体" w:eastAsia="宋体" w:hAnsi="宋体" w:hint="eastAsia"/>
          <w:color w:val="000000"/>
        </w:rPr>
        <w:t>）《环境影响评价技术导则地表水环境》（</w:t>
      </w:r>
      <w:r>
        <w:rPr>
          <w:rFonts w:ascii="Times New Roman" w:eastAsia="Times New Roman" w:hAnsi="Times New Roman" w:hint="eastAsia"/>
          <w:color w:val="000000"/>
        </w:rPr>
        <w:t>HJ2.3-2018</w:t>
      </w:r>
      <w:r>
        <w:rPr>
          <w:rFonts w:ascii="宋体" w:eastAsia="宋体" w:hAnsi="宋体" w:hint="eastAsia"/>
          <w:color w:val="000000"/>
        </w:rPr>
        <w:t>）；</w:t>
      </w:r>
    </w:p>
    <w:p w14:paraId="4BB5FECE"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4</w:t>
      </w:r>
      <w:r>
        <w:rPr>
          <w:rFonts w:ascii="宋体" w:eastAsia="宋体" w:hAnsi="宋体" w:hint="eastAsia"/>
          <w:color w:val="000000"/>
        </w:rPr>
        <w:t>）《环境影响评价技术导则声环境》（</w:t>
      </w:r>
      <w:r>
        <w:rPr>
          <w:rFonts w:ascii="Times New Roman" w:eastAsia="Times New Roman" w:hAnsi="Times New Roman" w:hint="eastAsia"/>
          <w:color w:val="000000"/>
        </w:rPr>
        <w:t>HJ2.4-2009</w:t>
      </w:r>
      <w:r>
        <w:rPr>
          <w:rFonts w:ascii="宋体" w:eastAsia="宋体" w:hAnsi="宋体" w:hint="eastAsia"/>
          <w:color w:val="000000"/>
        </w:rPr>
        <w:t>）；</w:t>
      </w:r>
    </w:p>
    <w:p w14:paraId="1FFCFAEE"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5</w:t>
      </w:r>
      <w:r>
        <w:rPr>
          <w:rFonts w:ascii="宋体" w:eastAsia="宋体" w:hAnsi="宋体" w:hint="eastAsia"/>
          <w:color w:val="000000"/>
        </w:rPr>
        <w:t>）《环境影响评价技术导则生态影响》（</w:t>
      </w:r>
      <w:r>
        <w:rPr>
          <w:rFonts w:ascii="Times New Roman" w:eastAsia="Times New Roman" w:hAnsi="Times New Roman" w:hint="eastAsia"/>
          <w:color w:val="000000"/>
        </w:rPr>
        <w:t>HJ19-2011</w:t>
      </w:r>
      <w:r>
        <w:rPr>
          <w:rFonts w:ascii="宋体" w:eastAsia="宋体" w:hAnsi="宋体" w:hint="eastAsia"/>
          <w:color w:val="000000"/>
        </w:rPr>
        <w:t>）；</w:t>
      </w:r>
    </w:p>
    <w:p w14:paraId="47334AFC"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6</w:t>
      </w:r>
      <w:r>
        <w:rPr>
          <w:rFonts w:ascii="宋体" w:eastAsia="宋体" w:hAnsi="宋体" w:hint="eastAsia"/>
          <w:color w:val="000000"/>
        </w:rPr>
        <w:t>）《环境影响评价技术导则地下水环境》（</w:t>
      </w:r>
      <w:r>
        <w:rPr>
          <w:rFonts w:ascii="Times New Roman" w:eastAsia="Times New Roman" w:hAnsi="Times New Roman" w:hint="eastAsia"/>
          <w:color w:val="000000"/>
        </w:rPr>
        <w:t>HJ610-2016</w:t>
      </w:r>
      <w:r>
        <w:rPr>
          <w:rFonts w:ascii="宋体" w:eastAsia="宋体" w:hAnsi="宋体" w:hint="eastAsia"/>
          <w:color w:val="000000"/>
        </w:rPr>
        <w:t>）；</w:t>
      </w:r>
    </w:p>
    <w:p w14:paraId="15D08D2D" w14:textId="77777777" w:rsidR="005A1A44" w:rsidRDefault="0008059E">
      <w:pPr>
        <w:ind w:firstLine="480"/>
        <w:jc w:val="left"/>
        <w:rPr>
          <w:rFonts w:ascii="Times New Roman" w:eastAsia="Times New Roman" w:hAnsi="Times New Roman"/>
          <w:color w:val="000000"/>
        </w:rPr>
      </w:pPr>
      <w:r>
        <w:rPr>
          <w:rFonts w:ascii="宋体" w:eastAsia="宋体" w:hAnsi="宋体" w:hint="eastAsia"/>
          <w:color w:val="000000"/>
        </w:rPr>
        <w:t>（</w:t>
      </w:r>
      <w:r>
        <w:rPr>
          <w:rFonts w:ascii="Times New Roman" w:eastAsia="Times New Roman" w:hAnsi="Times New Roman" w:hint="eastAsia"/>
          <w:color w:val="000000"/>
        </w:rPr>
        <w:t>7</w:t>
      </w:r>
      <w:r>
        <w:rPr>
          <w:rFonts w:ascii="宋体" w:eastAsia="宋体" w:hAnsi="宋体" w:hint="eastAsia"/>
          <w:color w:val="000000"/>
        </w:rPr>
        <w:t>）《建设项目环境风险评价技术导则》（</w:t>
      </w:r>
      <w:r>
        <w:rPr>
          <w:rFonts w:ascii="Times New Roman" w:eastAsia="Times New Roman" w:hAnsi="Times New Roman" w:hint="eastAsia"/>
          <w:color w:val="000000"/>
        </w:rPr>
        <w:t>HJ169-2018）；</w:t>
      </w:r>
    </w:p>
    <w:p w14:paraId="7CC4B2D6"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w:t>
      </w:r>
      <w:r>
        <w:rPr>
          <w:rFonts w:ascii="Times New Roman" w:eastAsia="Times New Roman" w:hAnsi="Times New Roman" w:hint="eastAsia"/>
          <w:color w:val="000000"/>
        </w:rPr>
        <w:t>8</w:t>
      </w:r>
      <w:r>
        <w:rPr>
          <w:rFonts w:ascii="宋体" w:eastAsia="宋体" w:hAnsi="宋体" w:hint="eastAsia"/>
          <w:color w:val="000000"/>
        </w:rPr>
        <w:t>）《开发建设项目水土保持技术规范》（</w:t>
      </w:r>
      <w:r>
        <w:rPr>
          <w:rFonts w:ascii="Times New Roman" w:eastAsia="Times New Roman" w:hAnsi="Times New Roman" w:hint="eastAsia"/>
          <w:color w:val="000000"/>
        </w:rPr>
        <w:t>GB50433-2008</w:t>
      </w:r>
      <w:r>
        <w:rPr>
          <w:rFonts w:ascii="宋体" w:eastAsia="宋体" w:hAnsi="宋体" w:hint="eastAsia"/>
          <w:color w:val="000000"/>
        </w:rPr>
        <w:t>）。</w:t>
      </w:r>
    </w:p>
    <w:p w14:paraId="210DC47D" w14:textId="77777777" w:rsidR="005A1A44" w:rsidRDefault="0008059E">
      <w:pPr>
        <w:pStyle w:val="3"/>
        <w:numPr>
          <w:ilvl w:val="2"/>
          <w:numId w:val="2"/>
        </w:numPr>
      </w:pPr>
      <w:r>
        <w:rPr>
          <w:rFonts w:hint="eastAsia"/>
        </w:rPr>
        <w:t>其他资料</w:t>
      </w:r>
    </w:p>
    <w:p w14:paraId="2837B5EB" w14:textId="77777777" w:rsidR="005A1A44" w:rsidRDefault="0008059E">
      <w:pPr>
        <w:numPr>
          <w:ilvl w:val="0"/>
          <w:numId w:val="3"/>
        </w:numPr>
        <w:ind w:firstLine="480"/>
        <w:jc w:val="left"/>
        <w:rPr>
          <w:rFonts w:ascii="宋体" w:eastAsia="宋体" w:hAnsi="宋体" w:hint="eastAsia"/>
          <w:color w:val="000000"/>
        </w:rPr>
      </w:pPr>
      <w:r>
        <w:rPr>
          <w:rFonts w:ascii="宋体" w:eastAsia="宋体" w:hAnsi="宋体" w:hint="eastAsia"/>
          <w:color w:val="000000"/>
        </w:rPr>
        <w:t>项目委托书；</w:t>
      </w:r>
    </w:p>
    <w:p w14:paraId="7C4ACF49" w14:textId="77777777" w:rsidR="005A1A44" w:rsidRDefault="0008059E">
      <w:pPr>
        <w:numPr>
          <w:ilvl w:val="0"/>
          <w:numId w:val="3"/>
        </w:numPr>
        <w:ind w:firstLine="480"/>
        <w:jc w:val="left"/>
        <w:rPr>
          <w:rFonts w:ascii="宋体" w:eastAsia="宋体" w:hAnsi="宋体" w:hint="eastAsia"/>
          <w:color w:val="000000"/>
        </w:rPr>
      </w:pPr>
      <w:r>
        <w:rPr>
          <w:rFonts w:ascii="宋体" w:eastAsia="宋体" w:hAnsi="宋体" w:hint="eastAsia"/>
          <w:color w:val="000000"/>
        </w:rPr>
        <w:t>《玉龙喀什河河道治理及两岸生态修复项目可行性研究报告》（济南大学，2019年1月）；</w:t>
      </w:r>
    </w:p>
    <w:p w14:paraId="5CFF1855" w14:textId="77777777" w:rsidR="005A1A44" w:rsidRDefault="0008059E">
      <w:pPr>
        <w:numPr>
          <w:ilvl w:val="0"/>
          <w:numId w:val="3"/>
        </w:numPr>
        <w:ind w:firstLine="480"/>
        <w:jc w:val="left"/>
        <w:rPr>
          <w:rFonts w:ascii="宋体" w:eastAsia="宋体" w:hAnsi="宋体" w:hint="eastAsia"/>
          <w:color w:val="000000"/>
        </w:rPr>
      </w:pPr>
      <w:r>
        <w:rPr>
          <w:rFonts w:ascii="宋体" w:eastAsia="宋体" w:hAnsi="宋体" w:hint="eastAsia"/>
          <w:color w:val="000000"/>
        </w:rPr>
        <w:t>《关于玉龙喀什河河道治理及两岸生态修复建设项目规划预审意见》（田规字[2019]66号）；</w:t>
      </w:r>
    </w:p>
    <w:p w14:paraId="4155559D" w14:textId="77777777" w:rsidR="005A1A44" w:rsidRDefault="0008059E">
      <w:pPr>
        <w:numPr>
          <w:ilvl w:val="0"/>
          <w:numId w:val="3"/>
        </w:numPr>
        <w:ind w:firstLine="480"/>
        <w:jc w:val="left"/>
        <w:rPr>
          <w:rFonts w:ascii="宋体" w:eastAsia="宋体" w:hAnsi="宋体" w:hint="eastAsia"/>
          <w:color w:val="000000"/>
        </w:rPr>
      </w:pPr>
      <w:r>
        <w:rPr>
          <w:rFonts w:ascii="宋体" w:eastAsia="宋体" w:hAnsi="宋体" w:hint="eastAsia"/>
          <w:color w:val="000000"/>
        </w:rPr>
        <w:t>《关于对玉龙喀什河河道治理及两岸生态修复项目的立项批复》（和市发改[2019]8号）；</w:t>
      </w:r>
    </w:p>
    <w:p w14:paraId="01C22E9F" w14:textId="77777777" w:rsidR="005A1A44" w:rsidRDefault="0008059E">
      <w:pPr>
        <w:numPr>
          <w:ilvl w:val="0"/>
          <w:numId w:val="3"/>
        </w:numPr>
        <w:ind w:firstLine="480"/>
        <w:jc w:val="left"/>
        <w:rPr>
          <w:rFonts w:ascii="宋体" w:eastAsia="宋体" w:hAnsi="宋体" w:hint="eastAsia"/>
          <w:color w:val="000000"/>
        </w:rPr>
      </w:pPr>
      <w:r>
        <w:rPr>
          <w:rFonts w:ascii="宋体" w:eastAsia="宋体" w:hAnsi="宋体" w:hint="eastAsia"/>
          <w:color w:val="000000"/>
        </w:rPr>
        <w:t>《关于同意玉龙喀什河河道治理及两岸生态修复项目开展前期工作的批复》（和发改产业[2019]4号）；</w:t>
      </w:r>
    </w:p>
    <w:p w14:paraId="11834149" w14:textId="77777777" w:rsidR="005A1A44" w:rsidRDefault="0008059E">
      <w:pPr>
        <w:numPr>
          <w:ilvl w:val="0"/>
          <w:numId w:val="3"/>
        </w:numPr>
        <w:ind w:firstLine="480"/>
        <w:jc w:val="left"/>
      </w:pPr>
      <w:r>
        <w:rPr>
          <w:rFonts w:ascii="宋体" w:eastAsia="宋体" w:hAnsi="宋体" w:hint="eastAsia"/>
          <w:color w:val="000000"/>
        </w:rPr>
        <w:t>《和田地区饮用水源保护区划分方案》（和田地区人民政府，2010年12月）；</w:t>
      </w:r>
      <w:r>
        <w:rPr>
          <w:rFonts w:hint="eastAsia"/>
        </w:rPr>
        <w:t>《和田地区乡镇水源划分方案》</w:t>
      </w:r>
      <w:r>
        <w:rPr>
          <w:rFonts w:ascii="宋体" w:eastAsia="宋体" w:hAnsi="宋体" w:hint="eastAsia"/>
          <w:color w:val="000000"/>
        </w:rPr>
        <w:t>（和田地区人民政府，201</w:t>
      </w:r>
      <w:r>
        <w:rPr>
          <w:rFonts w:ascii="宋体" w:eastAsia="宋体" w:hAnsi="宋体"/>
          <w:color w:val="000000"/>
        </w:rPr>
        <w:t>5</w:t>
      </w:r>
      <w:r>
        <w:rPr>
          <w:rFonts w:ascii="宋体" w:eastAsia="宋体" w:hAnsi="宋体" w:hint="eastAsia"/>
          <w:color w:val="000000"/>
        </w:rPr>
        <w:t>年</w:t>
      </w:r>
      <w:r>
        <w:rPr>
          <w:rFonts w:ascii="宋体" w:eastAsia="宋体" w:hAnsi="宋体"/>
          <w:color w:val="000000"/>
        </w:rPr>
        <w:t>4</w:t>
      </w:r>
      <w:r>
        <w:rPr>
          <w:rFonts w:ascii="宋体" w:eastAsia="宋体" w:hAnsi="宋体" w:hint="eastAsia"/>
          <w:color w:val="000000"/>
        </w:rPr>
        <w:t>月）；</w:t>
      </w:r>
    </w:p>
    <w:p w14:paraId="736C57D9" w14:textId="77777777" w:rsidR="005A1A44" w:rsidRDefault="0008059E">
      <w:pPr>
        <w:numPr>
          <w:ilvl w:val="0"/>
          <w:numId w:val="3"/>
        </w:numPr>
        <w:ind w:firstLine="480"/>
        <w:jc w:val="left"/>
        <w:rPr>
          <w:rFonts w:ascii="宋体" w:eastAsia="宋体" w:hAnsi="宋体" w:hint="eastAsia"/>
          <w:color w:val="000000"/>
        </w:rPr>
      </w:pPr>
      <w:r>
        <w:rPr>
          <w:rFonts w:ascii="宋体" w:eastAsia="宋体" w:hAnsi="宋体" w:hint="eastAsia"/>
          <w:color w:val="000000"/>
        </w:rPr>
        <w:t>《新疆和田市地质灾害防治规划（2013-2020年）》（新疆和田市人民政府，2013年6月）；</w:t>
      </w:r>
    </w:p>
    <w:p w14:paraId="1E7317DF" w14:textId="77777777" w:rsidR="005A1A44" w:rsidRDefault="0008059E">
      <w:pPr>
        <w:numPr>
          <w:ilvl w:val="0"/>
          <w:numId w:val="3"/>
        </w:numPr>
        <w:ind w:firstLine="480"/>
        <w:jc w:val="left"/>
        <w:rPr>
          <w:rFonts w:ascii="宋体" w:eastAsia="宋体" w:hAnsi="宋体" w:hint="eastAsia"/>
          <w:color w:val="000000"/>
        </w:rPr>
      </w:pPr>
      <w:r>
        <w:rPr>
          <w:rFonts w:ascii="宋体" w:eastAsia="宋体" w:hAnsi="宋体" w:hint="eastAsia"/>
          <w:color w:val="000000"/>
        </w:rPr>
        <w:t>《新疆和田河流域综合规划（上、下册）》（新疆维吾尔自治区水利水电勘测设计研究月院，2018年）；</w:t>
      </w:r>
    </w:p>
    <w:p w14:paraId="40677930" w14:textId="77777777" w:rsidR="005A1A44" w:rsidRDefault="0008059E">
      <w:pPr>
        <w:numPr>
          <w:ilvl w:val="0"/>
          <w:numId w:val="3"/>
        </w:numPr>
        <w:ind w:firstLine="480"/>
        <w:jc w:val="left"/>
        <w:rPr>
          <w:rFonts w:ascii="宋体" w:eastAsia="宋体" w:hAnsi="宋体" w:hint="eastAsia"/>
          <w:color w:val="000000"/>
        </w:rPr>
      </w:pPr>
      <w:r>
        <w:rPr>
          <w:rFonts w:ascii="宋体" w:eastAsia="宋体" w:hAnsi="宋体" w:hint="eastAsia"/>
          <w:color w:val="000000"/>
        </w:rPr>
        <w:lastRenderedPageBreak/>
        <w:t>《新疆和田河流域综合规划环境影响报告书》（新疆兵团勘测设计院（集团）有限责任公司，2</w:t>
      </w:r>
      <w:r>
        <w:rPr>
          <w:rFonts w:ascii="宋体" w:eastAsia="宋体" w:hAnsi="宋体"/>
          <w:color w:val="000000"/>
        </w:rPr>
        <w:t>017</w:t>
      </w:r>
      <w:r>
        <w:rPr>
          <w:rFonts w:ascii="宋体" w:eastAsia="宋体" w:hAnsi="宋体" w:hint="eastAsia"/>
          <w:color w:val="000000"/>
        </w:rPr>
        <w:t>年）；</w:t>
      </w:r>
    </w:p>
    <w:p w14:paraId="5CA10299" w14:textId="77777777" w:rsidR="005A1A44" w:rsidRDefault="0008059E">
      <w:pPr>
        <w:numPr>
          <w:ilvl w:val="0"/>
          <w:numId w:val="3"/>
        </w:numPr>
        <w:ind w:firstLine="480"/>
        <w:jc w:val="left"/>
        <w:rPr>
          <w:rFonts w:ascii="宋体" w:eastAsia="宋体" w:hAnsi="宋体" w:hint="eastAsia"/>
          <w:color w:val="000000"/>
        </w:rPr>
      </w:pPr>
      <w:r>
        <w:rPr>
          <w:rFonts w:ascii="宋体" w:eastAsia="宋体" w:hAnsi="宋体" w:hint="eastAsia"/>
          <w:color w:val="000000"/>
        </w:rPr>
        <w:t>《和田市水资源公报》。</w:t>
      </w:r>
    </w:p>
    <w:p w14:paraId="27ED9175" w14:textId="77777777" w:rsidR="005A1A44" w:rsidRDefault="0008059E">
      <w:pPr>
        <w:pStyle w:val="2"/>
        <w:numPr>
          <w:ilvl w:val="1"/>
          <w:numId w:val="2"/>
        </w:numPr>
      </w:pPr>
      <w:bookmarkStart w:id="100" w:name="_Toc2378_WPSOffice_Level2"/>
      <w:r>
        <w:rPr>
          <w:rFonts w:hint="eastAsia"/>
        </w:rPr>
        <w:t xml:space="preserve"> </w:t>
      </w:r>
      <w:bookmarkStart w:id="101" w:name="_Toc19998_WPSOffice_Level2"/>
      <w:bookmarkStart w:id="102" w:name="_Toc29988_WPSOffice_Level2"/>
      <w:r>
        <w:rPr>
          <w:rFonts w:hint="eastAsia"/>
        </w:rPr>
        <w:t>评价目的与评价工作原则</w:t>
      </w:r>
      <w:bookmarkEnd w:id="100"/>
      <w:bookmarkEnd w:id="101"/>
      <w:bookmarkEnd w:id="102"/>
    </w:p>
    <w:p w14:paraId="5FF2023B" w14:textId="77777777" w:rsidR="005A1A44" w:rsidRDefault="0008059E">
      <w:pPr>
        <w:pStyle w:val="3"/>
        <w:numPr>
          <w:ilvl w:val="2"/>
          <w:numId w:val="2"/>
        </w:numPr>
      </w:pPr>
      <w:bookmarkStart w:id="103" w:name="_Toc11215"/>
      <w:r>
        <w:rPr>
          <w:rFonts w:hint="eastAsia"/>
        </w:rPr>
        <w:t xml:space="preserve"> </w:t>
      </w:r>
      <w:r>
        <w:rPr>
          <w:rFonts w:hint="eastAsia"/>
        </w:rPr>
        <w:t>评价目的</w:t>
      </w:r>
      <w:bookmarkEnd w:id="103"/>
    </w:p>
    <w:p w14:paraId="624C6B45" w14:textId="77777777" w:rsidR="005A1A44" w:rsidRDefault="0008059E">
      <w:pPr>
        <w:numPr>
          <w:ilvl w:val="0"/>
          <w:numId w:val="4"/>
        </w:numPr>
        <w:ind w:firstLine="480"/>
      </w:pPr>
      <w:r>
        <w:rPr>
          <w:rFonts w:hint="eastAsia"/>
        </w:rPr>
        <w:t>通过对项目区及周围环境的综合现状调查与现场监测，了解和掌握该项目所在地环境质量现状。</w:t>
      </w:r>
    </w:p>
    <w:p w14:paraId="28BC2E1A" w14:textId="77777777" w:rsidR="005A1A44" w:rsidRDefault="0008059E">
      <w:pPr>
        <w:numPr>
          <w:ilvl w:val="0"/>
          <w:numId w:val="4"/>
        </w:numPr>
        <w:ind w:firstLine="480"/>
      </w:pPr>
      <w:r>
        <w:rPr>
          <w:rFonts w:hint="eastAsia"/>
        </w:rPr>
        <w:t>本次环评在对本项目工程分析的基础上，确定本项目的污染源和污染物排放种类及源强，分析论证本项目“三废”排放特征及从环保角度确认工艺过程与环保设施的环境保证性、可靠性和先进性。</w:t>
      </w:r>
    </w:p>
    <w:p w14:paraId="564174D5" w14:textId="77777777" w:rsidR="005A1A44" w:rsidRDefault="0008059E">
      <w:pPr>
        <w:ind w:firstLine="480"/>
      </w:pPr>
      <w:r>
        <w:rPr>
          <w:rFonts w:hint="eastAsia"/>
        </w:rPr>
        <w:t>（</w:t>
      </w:r>
      <w:r>
        <w:rPr>
          <w:rFonts w:hint="eastAsia"/>
        </w:rPr>
        <w:t>3</w:t>
      </w:r>
      <w:r>
        <w:rPr>
          <w:rFonts w:hint="eastAsia"/>
        </w:rPr>
        <w:t>）论证项目建设规模、工艺、布局的可行性以及项目建设与国家产业政策、相关规划的相容性。</w:t>
      </w:r>
    </w:p>
    <w:p w14:paraId="282C03F8" w14:textId="77777777" w:rsidR="005A1A44" w:rsidRDefault="0008059E">
      <w:pPr>
        <w:ind w:firstLine="480"/>
      </w:pPr>
      <w:r>
        <w:rPr>
          <w:rFonts w:hint="eastAsia"/>
        </w:rPr>
        <w:t>（</w:t>
      </w:r>
      <w:r>
        <w:rPr>
          <w:rFonts w:hint="eastAsia"/>
        </w:rPr>
        <w:t>4</w:t>
      </w:r>
      <w:r>
        <w:rPr>
          <w:rFonts w:hint="eastAsia"/>
        </w:rPr>
        <w:t>）预测及评价项目施工期、运行期对当地环境可能造成的影响范围和程度，为环保治理措施提供反馈建议，也为工程环保设计提供依据。</w:t>
      </w:r>
    </w:p>
    <w:p w14:paraId="3BA10CD9" w14:textId="77777777" w:rsidR="005A1A44" w:rsidRDefault="0008059E">
      <w:pPr>
        <w:ind w:firstLine="480"/>
      </w:pPr>
      <w:r>
        <w:rPr>
          <w:rFonts w:hint="eastAsia"/>
        </w:rPr>
        <w:t>（</w:t>
      </w:r>
      <w:r>
        <w:rPr>
          <w:rFonts w:hint="eastAsia"/>
        </w:rPr>
        <w:t>5</w:t>
      </w:r>
      <w:r>
        <w:rPr>
          <w:rFonts w:hint="eastAsia"/>
        </w:rPr>
        <w:t>）从环境保护的角度，明确提出项目建设是否可行的结论。同时为项目实现优化设计、合理布局、建设和运营以及污染防治、环境管理等提供依据。</w:t>
      </w:r>
    </w:p>
    <w:p w14:paraId="2C76ACD0" w14:textId="77777777" w:rsidR="005A1A44" w:rsidRDefault="0008059E">
      <w:pPr>
        <w:ind w:firstLine="480"/>
      </w:pPr>
      <w:r>
        <w:rPr>
          <w:rFonts w:hint="eastAsia"/>
        </w:rPr>
        <w:t>（</w:t>
      </w:r>
      <w:r>
        <w:rPr>
          <w:rFonts w:hint="eastAsia"/>
        </w:rPr>
        <w:t>6</w:t>
      </w:r>
      <w:r>
        <w:rPr>
          <w:rFonts w:hint="eastAsia"/>
        </w:rPr>
        <w:t>）通过对社会环境、经济的损益分析，论证本项目社会效益、环境效益和经济效益的统一性。</w:t>
      </w:r>
    </w:p>
    <w:p w14:paraId="5FD06214" w14:textId="77777777" w:rsidR="005A1A44" w:rsidRDefault="0008059E">
      <w:pPr>
        <w:ind w:firstLine="480"/>
      </w:pPr>
      <w:r>
        <w:rPr>
          <w:rFonts w:hint="eastAsia"/>
        </w:rPr>
        <w:t>（</w:t>
      </w:r>
      <w:r>
        <w:rPr>
          <w:rFonts w:hint="eastAsia"/>
        </w:rPr>
        <w:t>7</w:t>
      </w:r>
      <w:r>
        <w:rPr>
          <w:rFonts w:hint="eastAsia"/>
        </w:rPr>
        <w:t>）从生态功能区划、环境容量及周围环境敏感保护目标等方面，论证本项目选址的合理性，为项目实现优化选址、合理布局、最佳设计提供科学依据。</w:t>
      </w:r>
    </w:p>
    <w:p w14:paraId="584F9426" w14:textId="77777777" w:rsidR="005A1A44" w:rsidRDefault="0008059E">
      <w:pPr>
        <w:pStyle w:val="3"/>
        <w:numPr>
          <w:ilvl w:val="2"/>
          <w:numId w:val="2"/>
        </w:numPr>
      </w:pPr>
      <w:r>
        <w:rPr>
          <w:rFonts w:hint="eastAsia"/>
        </w:rPr>
        <w:t xml:space="preserve"> </w:t>
      </w:r>
      <w:r>
        <w:rPr>
          <w:rFonts w:hint="eastAsia"/>
        </w:rPr>
        <w:t>评价原则</w:t>
      </w:r>
    </w:p>
    <w:p w14:paraId="7FF34B72" w14:textId="77777777" w:rsidR="005A1A44" w:rsidRDefault="0008059E">
      <w:pPr>
        <w:ind w:firstLine="480"/>
      </w:pPr>
      <w:r>
        <w:rPr>
          <w:rFonts w:hint="eastAsia"/>
        </w:rPr>
        <w:t>（</w:t>
      </w:r>
      <w:r>
        <w:rPr>
          <w:rFonts w:hint="eastAsia"/>
        </w:rPr>
        <w:t>1</w:t>
      </w:r>
      <w:r>
        <w:rPr>
          <w:rFonts w:hint="eastAsia"/>
        </w:rPr>
        <w:t>）严格执行国家地方有关环境保护法律、法规、标准和规范，坚持环境效益、经济效益和社会效益相统一的原则。</w:t>
      </w:r>
    </w:p>
    <w:p w14:paraId="33A245DB" w14:textId="77777777" w:rsidR="005A1A44" w:rsidRDefault="0008059E">
      <w:pPr>
        <w:ind w:firstLine="480"/>
      </w:pPr>
      <w:r>
        <w:rPr>
          <w:rFonts w:hint="eastAsia"/>
        </w:rPr>
        <w:t>（</w:t>
      </w:r>
      <w:r>
        <w:rPr>
          <w:rFonts w:hint="eastAsia"/>
        </w:rPr>
        <w:t>2</w:t>
      </w:r>
      <w:r>
        <w:rPr>
          <w:rFonts w:hint="eastAsia"/>
        </w:rPr>
        <w:t>）评价工作力求做到深入、细致、实事求是，对建设项目的环境影响作出</w:t>
      </w:r>
      <w:r>
        <w:rPr>
          <w:rFonts w:hint="eastAsia"/>
        </w:rPr>
        <w:lastRenderedPageBreak/>
        <w:t>客观公正的评价。</w:t>
      </w:r>
    </w:p>
    <w:p w14:paraId="735EBCB2" w14:textId="77777777" w:rsidR="005A1A44" w:rsidRDefault="0008059E">
      <w:pPr>
        <w:ind w:firstLine="480"/>
      </w:pPr>
      <w:r>
        <w:rPr>
          <w:rFonts w:hint="eastAsia"/>
        </w:rPr>
        <w:t>（</w:t>
      </w:r>
      <w:r>
        <w:rPr>
          <w:rFonts w:hint="eastAsia"/>
        </w:rPr>
        <w:t>3</w:t>
      </w:r>
      <w:r>
        <w:rPr>
          <w:rFonts w:hint="eastAsia"/>
        </w:rPr>
        <w:t>）评价工作以收集资料、类比分析、现场实测、数据处理为基础，各项评价结论以上述结果为依据。评价内容力求完整和繁简得当，重点突出。</w:t>
      </w:r>
    </w:p>
    <w:p w14:paraId="1479E636" w14:textId="77777777" w:rsidR="005A1A44" w:rsidRDefault="0008059E">
      <w:pPr>
        <w:ind w:firstLine="480"/>
      </w:pPr>
      <w:r>
        <w:rPr>
          <w:rFonts w:hint="eastAsia"/>
        </w:rPr>
        <w:t>（</w:t>
      </w:r>
      <w:r>
        <w:rPr>
          <w:rFonts w:hint="eastAsia"/>
        </w:rPr>
        <w:t>4</w:t>
      </w:r>
      <w:r>
        <w:rPr>
          <w:rFonts w:hint="eastAsia"/>
        </w:rPr>
        <w:t>）严格执行国家“总量控制”、“达标排放”的要求，评价该项目全过程控制污染的水平，论证该项目的工艺先进性。</w:t>
      </w:r>
    </w:p>
    <w:p w14:paraId="23816EAD" w14:textId="77777777" w:rsidR="005A1A44" w:rsidRDefault="0008059E">
      <w:pPr>
        <w:ind w:firstLine="480"/>
      </w:pPr>
      <w:r>
        <w:rPr>
          <w:rFonts w:hint="eastAsia"/>
        </w:rPr>
        <w:t>（</w:t>
      </w:r>
      <w:r>
        <w:rPr>
          <w:rFonts w:hint="eastAsia"/>
        </w:rPr>
        <w:t>5</w:t>
      </w:r>
      <w:r>
        <w:rPr>
          <w:rFonts w:hint="eastAsia"/>
        </w:rPr>
        <w:t>）加强类比调查，着重从环保角度分析本项目生产工艺的先进性和可靠性，并进一步采取措施，达到最大限度地减少废气、废水、废渣的排放和保护环境的目的。</w:t>
      </w:r>
    </w:p>
    <w:p w14:paraId="377F9A25" w14:textId="77777777" w:rsidR="005A1A44" w:rsidRDefault="0008059E">
      <w:pPr>
        <w:ind w:firstLine="480"/>
      </w:pPr>
      <w:r>
        <w:rPr>
          <w:rFonts w:hint="eastAsia"/>
        </w:rPr>
        <w:t>（</w:t>
      </w:r>
      <w:r>
        <w:rPr>
          <w:rFonts w:hint="eastAsia"/>
        </w:rPr>
        <w:t>6</w:t>
      </w:r>
      <w:r>
        <w:rPr>
          <w:rFonts w:hint="eastAsia"/>
        </w:rPr>
        <w:t>）充分利用已有的环境影响评价资料和监测数据，避免重复性工作，缩短评价周期。</w:t>
      </w:r>
    </w:p>
    <w:p w14:paraId="3549593B" w14:textId="77777777" w:rsidR="005A1A44" w:rsidRDefault="0008059E">
      <w:pPr>
        <w:ind w:firstLine="480"/>
      </w:pPr>
      <w:r>
        <w:rPr>
          <w:rFonts w:hint="eastAsia"/>
        </w:rPr>
        <w:t>（</w:t>
      </w:r>
      <w:r>
        <w:rPr>
          <w:rFonts w:hint="eastAsia"/>
        </w:rPr>
        <w:t>7</w:t>
      </w:r>
      <w:r>
        <w:rPr>
          <w:rFonts w:hint="eastAsia"/>
        </w:rPr>
        <w:t>）环评工作坚持有针对性、科学性和实用性原则，对该建设项目可能产生的环境影响及危害给出客观而公正的评价。</w:t>
      </w:r>
    </w:p>
    <w:p w14:paraId="59F0F377" w14:textId="77777777" w:rsidR="005A1A44" w:rsidRDefault="0008059E">
      <w:pPr>
        <w:pStyle w:val="2"/>
        <w:numPr>
          <w:ilvl w:val="1"/>
          <w:numId w:val="2"/>
        </w:numPr>
      </w:pPr>
      <w:bookmarkStart w:id="104" w:name="_Toc15715"/>
      <w:bookmarkStart w:id="105" w:name="_Toc16737_WPSOffice_Level2"/>
      <w:r>
        <w:rPr>
          <w:rFonts w:hint="eastAsia"/>
        </w:rPr>
        <w:t xml:space="preserve"> </w:t>
      </w:r>
      <w:bookmarkStart w:id="106" w:name="_Toc13048_WPSOffice_Level2"/>
      <w:bookmarkStart w:id="107" w:name="_Toc16460_WPSOffice_Level2"/>
      <w:r>
        <w:rPr>
          <w:rFonts w:hint="eastAsia"/>
        </w:rPr>
        <w:t>环境功能区划</w:t>
      </w:r>
      <w:bookmarkEnd w:id="104"/>
      <w:bookmarkEnd w:id="105"/>
      <w:bookmarkEnd w:id="106"/>
      <w:bookmarkEnd w:id="107"/>
    </w:p>
    <w:p w14:paraId="0BB8FD91" w14:textId="77777777" w:rsidR="005A1A44" w:rsidRDefault="0008059E">
      <w:pPr>
        <w:pStyle w:val="3"/>
        <w:numPr>
          <w:ilvl w:val="2"/>
          <w:numId w:val="2"/>
        </w:numPr>
      </w:pPr>
      <w:bookmarkStart w:id="108" w:name="_Toc352"/>
      <w:bookmarkStart w:id="109" w:name="_Toc2819"/>
      <w:r>
        <w:rPr>
          <w:rFonts w:hint="eastAsia"/>
        </w:rPr>
        <w:t xml:space="preserve"> </w:t>
      </w:r>
      <w:r>
        <w:t>环境功能区划</w:t>
      </w:r>
      <w:bookmarkEnd w:id="108"/>
      <w:bookmarkEnd w:id="109"/>
    </w:p>
    <w:p w14:paraId="52E45547" w14:textId="77777777" w:rsidR="005A1A44" w:rsidRDefault="0008059E">
      <w:pPr>
        <w:ind w:firstLine="480"/>
      </w:pPr>
      <w:r>
        <w:t>（</w:t>
      </w:r>
      <w:r>
        <w:t>1</w:t>
      </w:r>
      <w:r>
        <w:t>）环境空气</w:t>
      </w:r>
    </w:p>
    <w:p w14:paraId="1CA86813" w14:textId="77777777" w:rsidR="005A1A44" w:rsidRDefault="0008059E">
      <w:pPr>
        <w:ind w:firstLine="480"/>
      </w:pPr>
      <w:r>
        <w:rPr>
          <w:rFonts w:hint="eastAsia"/>
        </w:rPr>
        <w:t>根据</w:t>
      </w:r>
      <w:r>
        <w:t>《环境空气质量标准》（</w:t>
      </w:r>
      <w:r>
        <w:t>GB3095-</w:t>
      </w:r>
      <w:r>
        <w:rPr>
          <w:rFonts w:hint="eastAsia"/>
        </w:rPr>
        <w:t>2012</w:t>
      </w:r>
      <w:r>
        <w:t>）</w:t>
      </w:r>
      <w:r>
        <w:rPr>
          <w:rFonts w:hint="eastAsia"/>
        </w:rPr>
        <w:t>，该项目评价区域属二类环境空气功能区，执行</w:t>
      </w:r>
      <w:r>
        <w:t>《环境空气质量标准》（</w:t>
      </w:r>
      <w:r>
        <w:t>GB3095-</w:t>
      </w:r>
      <w:r>
        <w:rPr>
          <w:rFonts w:hint="eastAsia"/>
        </w:rPr>
        <w:t>2012</w:t>
      </w:r>
      <w:r>
        <w:t>）</w:t>
      </w:r>
      <w:r>
        <w:rPr>
          <w:rFonts w:hint="eastAsia"/>
        </w:rPr>
        <w:t>中的二级标准</w:t>
      </w:r>
      <w:r>
        <w:t>。</w:t>
      </w:r>
    </w:p>
    <w:p w14:paraId="03AD6E3B" w14:textId="77777777" w:rsidR="005A1A44" w:rsidRDefault="0008059E">
      <w:pPr>
        <w:ind w:firstLine="480"/>
      </w:pPr>
      <w:r>
        <w:rPr>
          <w:rFonts w:hint="eastAsia"/>
        </w:rPr>
        <w:t>（</w:t>
      </w:r>
      <w:r>
        <w:rPr>
          <w:rFonts w:hint="eastAsia"/>
        </w:rPr>
        <w:t>2</w:t>
      </w:r>
      <w:r>
        <w:rPr>
          <w:rFonts w:hint="eastAsia"/>
        </w:rPr>
        <w:t>）地表水</w:t>
      </w:r>
    </w:p>
    <w:p w14:paraId="2F6A924B" w14:textId="77777777" w:rsidR="005A1A44" w:rsidRDefault="0008059E">
      <w:pPr>
        <w:ind w:firstLine="480"/>
      </w:pPr>
      <w:r>
        <w:rPr>
          <w:rFonts w:hint="eastAsia"/>
        </w:rPr>
        <w:t>项目区内的玉龙喀什河在阔什塔什与喀拉喀什河汇流成和田河，为冰川雪融水，水量充沛，水质好。根据《新疆水环境功能区划》，该河流在和田市段的水环境现状功能为饮用水水源和农业用水，规划功能为饮用水水源保护区，执行《地表水环境质量标准》</w:t>
      </w:r>
      <w:r>
        <w:rPr>
          <w:rFonts w:hint="eastAsia"/>
        </w:rPr>
        <w:t>GB3838-2002</w:t>
      </w:r>
      <w:r>
        <w:rPr>
          <w:rFonts w:hint="eastAsia"/>
        </w:rPr>
        <w:t>中的Ⅱ类水质标准。</w:t>
      </w:r>
    </w:p>
    <w:p w14:paraId="267B1E51" w14:textId="77777777" w:rsidR="005A1A44" w:rsidRDefault="0008059E">
      <w:pPr>
        <w:ind w:firstLine="480"/>
      </w:pPr>
      <w:r>
        <w:t>（</w:t>
      </w:r>
      <w:r>
        <w:rPr>
          <w:rFonts w:hint="eastAsia"/>
        </w:rPr>
        <w:t>3</w:t>
      </w:r>
      <w:r>
        <w:t>）地下水</w:t>
      </w:r>
    </w:p>
    <w:p w14:paraId="5C46BF73" w14:textId="77777777" w:rsidR="005A1A44" w:rsidRDefault="0008059E">
      <w:pPr>
        <w:ind w:firstLine="480"/>
      </w:pPr>
      <w:r>
        <w:rPr>
          <w:rFonts w:hint="eastAsia"/>
        </w:rPr>
        <w:t>项目所在区域</w:t>
      </w:r>
      <w:r>
        <w:t>地下水</w:t>
      </w:r>
      <w:r>
        <w:rPr>
          <w:rFonts w:hint="eastAsia"/>
        </w:rPr>
        <w:t>，根据其用途执行</w:t>
      </w:r>
      <w:r>
        <w:t>《地下水质量标准》（</w:t>
      </w:r>
      <w:r>
        <w:t>GB/T14848-</w:t>
      </w:r>
      <w:r>
        <w:rPr>
          <w:rFonts w:hint="eastAsia"/>
        </w:rPr>
        <w:t>2017</w:t>
      </w:r>
      <w:r>
        <w:t>）</w:t>
      </w:r>
      <w:r>
        <w:rPr>
          <w:rFonts w:hint="eastAsia"/>
        </w:rPr>
        <w:t>Ⅲ</w:t>
      </w:r>
      <w:r>
        <w:t>类标准。</w:t>
      </w:r>
    </w:p>
    <w:p w14:paraId="212B7732" w14:textId="77777777" w:rsidR="005A1A44" w:rsidRDefault="0008059E">
      <w:pPr>
        <w:ind w:firstLine="480"/>
      </w:pPr>
      <w:r>
        <w:lastRenderedPageBreak/>
        <w:t>（</w:t>
      </w:r>
      <w:r>
        <w:t>3</w:t>
      </w:r>
      <w:r>
        <w:t>）声环境</w:t>
      </w:r>
    </w:p>
    <w:p w14:paraId="1B887988" w14:textId="77777777" w:rsidR="005A1A44" w:rsidRDefault="0008059E">
      <w:pPr>
        <w:ind w:firstLine="480"/>
      </w:pPr>
      <w:r>
        <w:rPr>
          <w:rFonts w:hint="eastAsia"/>
        </w:rPr>
        <w:t>根据</w:t>
      </w:r>
      <w:r>
        <w:t>《声环境质量标准》（</w:t>
      </w:r>
      <w:r>
        <w:t>GB3096-2008</w:t>
      </w:r>
      <w:r>
        <w:t>）</w:t>
      </w:r>
      <w:r>
        <w:rPr>
          <w:rFonts w:hint="eastAsia"/>
        </w:rPr>
        <w:t>，结合项目区域实际情况，确定为</w:t>
      </w:r>
      <w:r>
        <w:t>2</w:t>
      </w:r>
      <w:r>
        <w:t>类</w:t>
      </w:r>
      <w:r>
        <w:rPr>
          <w:rFonts w:hint="eastAsia"/>
        </w:rPr>
        <w:t>，距离项目区外的声环境评价区内范围内有交通干线和城市道路的区域，交通道路两侧</w:t>
      </w:r>
      <w:r>
        <w:rPr>
          <w:rFonts w:hint="eastAsia"/>
        </w:rPr>
        <w:t>35</w:t>
      </w:r>
      <w:r>
        <w:rPr>
          <w:rFonts w:hint="eastAsia"/>
        </w:rPr>
        <w:t>±</w:t>
      </w:r>
      <w:r>
        <w:rPr>
          <w:rFonts w:hint="eastAsia"/>
        </w:rPr>
        <w:t>5m</w:t>
      </w:r>
      <w:r>
        <w:rPr>
          <w:rFonts w:hint="eastAsia"/>
        </w:rPr>
        <w:t>的范围内属于</w:t>
      </w:r>
      <w:r>
        <w:rPr>
          <w:rFonts w:hint="eastAsia"/>
        </w:rPr>
        <w:t>4a</w:t>
      </w:r>
      <w:r>
        <w:t>声环境功能区。</w:t>
      </w:r>
    </w:p>
    <w:p w14:paraId="5DAB0B01" w14:textId="77777777" w:rsidR="005A1A44" w:rsidRDefault="0008059E">
      <w:pPr>
        <w:ind w:firstLine="480"/>
      </w:pPr>
      <w:r>
        <w:t>（</w:t>
      </w:r>
      <w:r>
        <w:rPr>
          <w:rFonts w:hint="eastAsia"/>
        </w:rPr>
        <w:t>4</w:t>
      </w:r>
      <w:r>
        <w:t>）生态</w:t>
      </w:r>
      <w:r>
        <w:rPr>
          <w:rFonts w:hint="eastAsia"/>
        </w:rPr>
        <w:t>环境</w:t>
      </w:r>
    </w:p>
    <w:p w14:paraId="05D212D6" w14:textId="77777777" w:rsidR="005A1A44" w:rsidRDefault="0008059E">
      <w:pPr>
        <w:ind w:firstLine="480"/>
      </w:pPr>
      <w:r>
        <w:t>依据《新疆生态功能区划》，评价区生态功能属</w:t>
      </w:r>
      <w:r>
        <w:rPr>
          <w:rFonts w:hint="eastAsia"/>
        </w:rPr>
        <w:t>塔里木盆地暖温荒漠及绿洲农业生态区，塔里木盆地和东南部沙漠、戈壁及绿洲农业生态亚区，皮山</w:t>
      </w:r>
      <w:r>
        <w:rPr>
          <w:rFonts w:hint="eastAsia"/>
        </w:rPr>
        <w:t>-</w:t>
      </w:r>
      <w:r>
        <w:rPr>
          <w:rFonts w:hint="eastAsia"/>
        </w:rPr>
        <w:t>和田</w:t>
      </w:r>
      <w:r>
        <w:rPr>
          <w:rFonts w:hint="eastAsia"/>
        </w:rPr>
        <w:t>-</w:t>
      </w:r>
      <w:r>
        <w:rPr>
          <w:rFonts w:hint="eastAsia"/>
        </w:rPr>
        <w:t>民丰绿洲沙漠化敏感生态功能区。</w:t>
      </w:r>
    </w:p>
    <w:p w14:paraId="67295DAD" w14:textId="77777777" w:rsidR="005A1A44" w:rsidRDefault="0008059E">
      <w:pPr>
        <w:ind w:firstLine="480"/>
      </w:pPr>
      <w:r>
        <w:rPr>
          <w:rFonts w:hint="eastAsia"/>
        </w:rPr>
        <w:t>依据《新疆主体功能区规划》，评价区位于自治区级重点开发区域。</w:t>
      </w:r>
    </w:p>
    <w:p w14:paraId="38FBB00E" w14:textId="77777777" w:rsidR="005A1A44" w:rsidRDefault="0008059E">
      <w:pPr>
        <w:pStyle w:val="3"/>
        <w:numPr>
          <w:ilvl w:val="2"/>
          <w:numId w:val="2"/>
        </w:numPr>
      </w:pPr>
      <w:bookmarkStart w:id="110" w:name="_Toc21643"/>
      <w:r>
        <w:rPr>
          <w:rFonts w:hint="eastAsia"/>
        </w:rPr>
        <w:t xml:space="preserve"> </w:t>
      </w:r>
      <w:r>
        <w:t>评价标准</w:t>
      </w:r>
      <w:bookmarkEnd w:id="110"/>
    </w:p>
    <w:p w14:paraId="2A9DECBE" w14:textId="77777777" w:rsidR="005A1A44" w:rsidRDefault="0008059E">
      <w:pPr>
        <w:pStyle w:val="4"/>
        <w:numPr>
          <w:ilvl w:val="3"/>
          <w:numId w:val="2"/>
        </w:numPr>
      </w:pPr>
      <w:bookmarkStart w:id="111" w:name="_Toc28737"/>
      <w:r>
        <w:rPr>
          <w:rFonts w:hint="eastAsia"/>
        </w:rPr>
        <w:t xml:space="preserve"> </w:t>
      </w:r>
      <w:r>
        <w:t>环境质量标准</w:t>
      </w:r>
      <w:bookmarkEnd w:id="111"/>
    </w:p>
    <w:p w14:paraId="078FFED5" w14:textId="77777777" w:rsidR="005A1A44" w:rsidRDefault="0008059E">
      <w:pPr>
        <w:autoSpaceDE w:val="0"/>
        <w:autoSpaceDN w:val="0"/>
        <w:adjustRightInd w:val="0"/>
        <w:snapToGrid w:val="0"/>
        <w:ind w:firstLine="480"/>
        <w:rPr>
          <w:color w:val="000000" w:themeColor="text1"/>
        </w:rPr>
      </w:pPr>
      <w:r>
        <w:rPr>
          <w:color w:val="000000" w:themeColor="text1"/>
        </w:rPr>
        <w:t>（</w:t>
      </w:r>
      <w:r>
        <w:rPr>
          <w:color w:val="000000" w:themeColor="text1"/>
        </w:rPr>
        <w:t>1</w:t>
      </w:r>
      <w:r>
        <w:rPr>
          <w:color w:val="000000" w:themeColor="text1"/>
        </w:rPr>
        <w:t>）环境空气质量标准</w:t>
      </w:r>
    </w:p>
    <w:p w14:paraId="3A2FE1A2" w14:textId="77777777" w:rsidR="005A1A44" w:rsidRDefault="0008059E">
      <w:pPr>
        <w:autoSpaceDE w:val="0"/>
        <w:autoSpaceDN w:val="0"/>
        <w:adjustRightInd w:val="0"/>
        <w:snapToGrid w:val="0"/>
        <w:ind w:firstLine="480"/>
        <w:rPr>
          <w:rFonts w:ascii="黑体" w:eastAsia="黑体" w:hAnsi="黑体" w:cs="黑体" w:hint="eastAsia"/>
        </w:rPr>
      </w:pPr>
      <w:r>
        <w:rPr>
          <w:color w:val="000000" w:themeColor="text1"/>
        </w:rPr>
        <w:t>SO</w:t>
      </w:r>
      <w:r>
        <w:rPr>
          <w:color w:val="000000" w:themeColor="text1"/>
          <w:vertAlign w:val="subscript"/>
        </w:rPr>
        <w:t>2</w:t>
      </w:r>
      <w:r>
        <w:rPr>
          <w:color w:val="000000" w:themeColor="text1"/>
        </w:rPr>
        <w:t>、</w:t>
      </w:r>
      <w:r>
        <w:rPr>
          <w:color w:val="000000" w:themeColor="text1"/>
        </w:rPr>
        <w:t>NO</w:t>
      </w:r>
      <w:r>
        <w:rPr>
          <w:color w:val="000000" w:themeColor="text1"/>
          <w:vertAlign w:val="subscript"/>
        </w:rPr>
        <w:t>2</w:t>
      </w:r>
      <w:r>
        <w:rPr>
          <w:color w:val="000000" w:themeColor="text1"/>
        </w:rPr>
        <w:t>、</w:t>
      </w:r>
      <w:r>
        <w:rPr>
          <w:rFonts w:hint="eastAsia"/>
          <w:color w:val="000000" w:themeColor="text1"/>
        </w:rPr>
        <w:t>PM</w:t>
      </w:r>
      <w:r>
        <w:rPr>
          <w:color w:val="000000" w:themeColor="text1"/>
          <w:vertAlign w:val="subscript"/>
        </w:rPr>
        <w:t>2.5</w:t>
      </w:r>
      <w:r>
        <w:rPr>
          <w:color w:val="000000" w:themeColor="text1"/>
        </w:rPr>
        <w:t>、</w:t>
      </w:r>
      <w:r>
        <w:rPr>
          <w:rFonts w:hint="eastAsia"/>
          <w:color w:val="000000" w:themeColor="text1"/>
        </w:rPr>
        <w:t>PM</w:t>
      </w:r>
      <w:r>
        <w:rPr>
          <w:rFonts w:hint="eastAsia"/>
          <w:color w:val="000000" w:themeColor="text1"/>
          <w:vertAlign w:val="subscript"/>
        </w:rPr>
        <w:t>10</w:t>
      </w:r>
      <w:r>
        <w:rPr>
          <w:color w:val="000000" w:themeColor="text1"/>
        </w:rPr>
        <w:t>、</w:t>
      </w:r>
      <w:r>
        <w:rPr>
          <w:rFonts w:hint="eastAsia"/>
          <w:color w:val="000000" w:themeColor="text1"/>
        </w:rPr>
        <w:t>TSP</w:t>
      </w:r>
      <w:r>
        <w:rPr>
          <w:rFonts w:hint="eastAsia"/>
          <w:color w:val="000000" w:themeColor="text1"/>
        </w:rPr>
        <w:t>、</w:t>
      </w:r>
      <w:r>
        <w:rPr>
          <w:rFonts w:hint="eastAsia"/>
          <w:color w:val="000000" w:themeColor="text1"/>
        </w:rPr>
        <w:t>CO</w:t>
      </w:r>
      <w:r>
        <w:rPr>
          <w:rFonts w:hint="eastAsia"/>
          <w:color w:val="000000" w:themeColor="text1"/>
        </w:rPr>
        <w:t>、</w:t>
      </w:r>
      <w:r>
        <w:rPr>
          <w:rFonts w:hint="eastAsia"/>
          <w:color w:val="000000" w:themeColor="text1"/>
        </w:rPr>
        <w:t>O</w:t>
      </w:r>
      <w:r>
        <w:rPr>
          <w:color w:val="000000" w:themeColor="text1"/>
          <w:vertAlign w:val="subscript"/>
        </w:rPr>
        <w:t>3</w:t>
      </w:r>
      <w:r>
        <w:rPr>
          <w:color w:val="000000" w:themeColor="text1"/>
        </w:rPr>
        <w:t>执行《环境空气质量标准》（</w:t>
      </w:r>
      <w:r>
        <w:rPr>
          <w:color w:val="000000" w:themeColor="text1"/>
        </w:rPr>
        <w:t>GB3095-</w:t>
      </w:r>
      <w:r>
        <w:rPr>
          <w:rFonts w:hint="eastAsia"/>
          <w:color w:val="000000" w:themeColor="text1"/>
        </w:rPr>
        <w:t>2012</w:t>
      </w:r>
      <w:r>
        <w:rPr>
          <w:color w:val="000000" w:themeColor="text1"/>
        </w:rPr>
        <w:t>）中的二级标准，其标准值见表</w:t>
      </w:r>
      <w:r>
        <w:rPr>
          <w:rFonts w:hint="eastAsia"/>
          <w:color w:val="000000" w:themeColor="text1"/>
        </w:rPr>
        <w:t>2</w:t>
      </w:r>
      <w:r>
        <w:rPr>
          <w:color w:val="000000" w:themeColor="text1"/>
        </w:rPr>
        <w:t>.</w:t>
      </w:r>
      <w:r>
        <w:rPr>
          <w:rFonts w:hint="eastAsia"/>
          <w:color w:val="000000" w:themeColor="text1"/>
        </w:rPr>
        <w:t>3</w:t>
      </w:r>
      <w:r>
        <w:rPr>
          <w:color w:val="000000" w:themeColor="text1"/>
        </w:rPr>
        <w:t>-1</w:t>
      </w:r>
      <w:r>
        <w:rPr>
          <w:color w:val="000000" w:themeColor="text1"/>
        </w:rPr>
        <w:t>。</w:t>
      </w:r>
    </w:p>
    <w:p w14:paraId="59EFDCCA" w14:textId="77777777" w:rsidR="005A1A44" w:rsidRDefault="0008059E">
      <w:pPr>
        <w:ind w:firstLineChars="0" w:firstLine="0"/>
        <w:jc w:val="center"/>
        <w:rPr>
          <w:rFonts w:eastAsia="黑体"/>
          <w:color w:val="000000" w:themeColor="text1"/>
        </w:rPr>
      </w:pPr>
      <w:r>
        <w:rPr>
          <w:rFonts w:ascii="黑体" w:eastAsia="黑体" w:hAnsi="黑体" w:cs="黑体" w:hint="eastAsia"/>
        </w:rPr>
        <w:t xml:space="preserve">                 表</w:t>
      </w:r>
      <w:r>
        <w:rPr>
          <w:rFonts w:eastAsia="黑体" w:hint="eastAsia"/>
          <w:color w:val="000000" w:themeColor="text1"/>
        </w:rPr>
        <w:t>2</w:t>
      </w:r>
      <w:r>
        <w:rPr>
          <w:rFonts w:eastAsia="黑体"/>
          <w:color w:val="000000" w:themeColor="text1"/>
        </w:rPr>
        <w:t>.</w:t>
      </w:r>
      <w:r>
        <w:rPr>
          <w:rFonts w:eastAsia="黑体" w:hint="eastAsia"/>
          <w:color w:val="000000" w:themeColor="text1"/>
        </w:rPr>
        <w:t>3</w:t>
      </w:r>
      <w:r>
        <w:rPr>
          <w:rFonts w:eastAsia="黑体"/>
          <w:color w:val="000000" w:themeColor="text1"/>
        </w:rPr>
        <w:t xml:space="preserve">-1  </w:t>
      </w:r>
      <w:r>
        <w:rPr>
          <w:rFonts w:eastAsia="黑体"/>
          <w:color w:val="000000" w:themeColor="text1"/>
        </w:rPr>
        <w:t>环境空气质量标准</w:t>
      </w:r>
      <w:r>
        <w:rPr>
          <w:rFonts w:eastAsia="黑体" w:hint="eastAsia"/>
          <w:color w:val="000000" w:themeColor="text1"/>
        </w:rPr>
        <w:t xml:space="preserve">         </w:t>
      </w:r>
      <w:r>
        <w:rPr>
          <w:rFonts w:eastAsia="黑体" w:hint="eastAsia"/>
          <w:color w:val="000000" w:themeColor="text1"/>
        </w:rPr>
        <w:t>单位：</w:t>
      </w:r>
      <w:r>
        <w:rPr>
          <w:color w:val="000000" w:themeColor="text1"/>
        </w:rPr>
        <w:t>mg/m</w:t>
      </w:r>
      <w:r>
        <w:rPr>
          <w:color w:val="000000" w:themeColor="text1"/>
          <w:vertAlign w:val="superscript"/>
        </w:rPr>
        <w:t>3</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1878"/>
        <w:gridCol w:w="1428"/>
        <w:gridCol w:w="3371"/>
      </w:tblGrid>
      <w:tr w:rsidR="005A1A44" w14:paraId="01BD0AFF" w14:textId="77777777">
        <w:trPr>
          <w:trHeight w:val="337"/>
          <w:tblHeader/>
          <w:jc w:val="center"/>
        </w:trPr>
        <w:tc>
          <w:tcPr>
            <w:tcW w:w="1845" w:type="dxa"/>
            <w:shd w:val="clear" w:color="auto" w:fill="auto"/>
            <w:vAlign w:val="center"/>
          </w:tcPr>
          <w:p w14:paraId="61F62286" w14:textId="77777777" w:rsidR="005A1A44" w:rsidRDefault="0008059E">
            <w:pPr>
              <w:adjustRightInd w:val="0"/>
              <w:snapToGrid w:val="0"/>
              <w:spacing w:line="240" w:lineRule="auto"/>
              <w:ind w:firstLineChars="0" w:firstLine="0"/>
              <w:jc w:val="center"/>
              <w:rPr>
                <w:b/>
                <w:bCs/>
                <w:color w:val="000000" w:themeColor="text1"/>
                <w:sz w:val="21"/>
                <w:szCs w:val="21"/>
              </w:rPr>
            </w:pPr>
            <w:r>
              <w:rPr>
                <w:b/>
                <w:bCs/>
                <w:color w:val="000000" w:themeColor="text1"/>
                <w:sz w:val="21"/>
                <w:szCs w:val="21"/>
              </w:rPr>
              <w:t>污染物名称</w:t>
            </w:r>
          </w:p>
        </w:tc>
        <w:tc>
          <w:tcPr>
            <w:tcW w:w="1878" w:type="dxa"/>
            <w:shd w:val="clear" w:color="auto" w:fill="auto"/>
            <w:vAlign w:val="center"/>
          </w:tcPr>
          <w:p w14:paraId="3A975329" w14:textId="77777777" w:rsidR="005A1A44" w:rsidRDefault="0008059E">
            <w:pPr>
              <w:adjustRightInd w:val="0"/>
              <w:snapToGrid w:val="0"/>
              <w:spacing w:line="240" w:lineRule="auto"/>
              <w:ind w:firstLineChars="0" w:firstLine="0"/>
              <w:jc w:val="center"/>
              <w:rPr>
                <w:b/>
                <w:bCs/>
                <w:color w:val="000000" w:themeColor="text1"/>
                <w:sz w:val="21"/>
                <w:szCs w:val="21"/>
              </w:rPr>
            </w:pPr>
            <w:r>
              <w:rPr>
                <w:b/>
                <w:bCs/>
                <w:color w:val="000000" w:themeColor="text1"/>
                <w:sz w:val="21"/>
                <w:szCs w:val="21"/>
              </w:rPr>
              <w:t>取值时间</w:t>
            </w:r>
          </w:p>
        </w:tc>
        <w:tc>
          <w:tcPr>
            <w:tcW w:w="1428" w:type="dxa"/>
            <w:shd w:val="clear" w:color="auto" w:fill="auto"/>
            <w:vAlign w:val="center"/>
          </w:tcPr>
          <w:p w14:paraId="5A5E159F" w14:textId="77777777" w:rsidR="005A1A44" w:rsidRDefault="0008059E">
            <w:pPr>
              <w:adjustRightInd w:val="0"/>
              <w:snapToGrid w:val="0"/>
              <w:spacing w:line="240" w:lineRule="auto"/>
              <w:ind w:firstLineChars="0" w:firstLine="0"/>
              <w:jc w:val="center"/>
              <w:rPr>
                <w:b/>
                <w:bCs/>
                <w:color w:val="000000" w:themeColor="text1"/>
                <w:sz w:val="21"/>
                <w:szCs w:val="21"/>
              </w:rPr>
            </w:pPr>
            <w:r>
              <w:rPr>
                <w:b/>
                <w:bCs/>
                <w:color w:val="000000" w:themeColor="text1"/>
                <w:sz w:val="21"/>
                <w:szCs w:val="21"/>
              </w:rPr>
              <w:t>浓度限值</w:t>
            </w:r>
          </w:p>
        </w:tc>
        <w:tc>
          <w:tcPr>
            <w:tcW w:w="3371" w:type="dxa"/>
            <w:shd w:val="clear" w:color="auto" w:fill="auto"/>
            <w:vAlign w:val="center"/>
          </w:tcPr>
          <w:p w14:paraId="66706AC6" w14:textId="77777777" w:rsidR="005A1A44" w:rsidRDefault="0008059E">
            <w:pPr>
              <w:adjustRightInd w:val="0"/>
              <w:snapToGrid w:val="0"/>
              <w:spacing w:line="240" w:lineRule="auto"/>
              <w:ind w:firstLineChars="0" w:firstLine="0"/>
              <w:jc w:val="center"/>
              <w:rPr>
                <w:b/>
                <w:bCs/>
                <w:color w:val="000000" w:themeColor="text1"/>
                <w:sz w:val="21"/>
                <w:szCs w:val="21"/>
              </w:rPr>
            </w:pPr>
            <w:r>
              <w:rPr>
                <w:b/>
                <w:bCs/>
                <w:color w:val="000000" w:themeColor="text1"/>
                <w:sz w:val="21"/>
                <w:szCs w:val="21"/>
              </w:rPr>
              <w:t>标准来源</w:t>
            </w:r>
          </w:p>
        </w:tc>
      </w:tr>
      <w:tr w:rsidR="005A1A44" w14:paraId="58748E05" w14:textId="77777777">
        <w:trPr>
          <w:trHeight w:val="296"/>
          <w:jc w:val="center"/>
        </w:trPr>
        <w:tc>
          <w:tcPr>
            <w:tcW w:w="1845" w:type="dxa"/>
            <w:vMerge w:val="restart"/>
            <w:shd w:val="clear" w:color="auto" w:fill="auto"/>
            <w:vAlign w:val="center"/>
          </w:tcPr>
          <w:p w14:paraId="4C5B7CAD"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SO</w:t>
            </w:r>
            <w:r>
              <w:rPr>
                <w:color w:val="000000" w:themeColor="text1"/>
                <w:sz w:val="21"/>
                <w:szCs w:val="21"/>
                <w:vertAlign w:val="subscript"/>
              </w:rPr>
              <w:t>2</w:t>
            </w:r>
          </w:p>
        </w:tc>
        <w:tc>
          <w:tcPr>
            <w:tcW w:w="1878" w:type="dxa"/>
            <w:shd w:val="clear" w:color="auto" w:fill="auto"/>
            <w:vAlign w:val="center"/>
          </w:tcPr>
          <w:p w14:paraId="6CCAE0D9"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日平均</w:t>
            </w:r>
            <w:r>
              <w:rPr>
                <w:color w:val="000000" w:themeColor="text1"/>
                <w:sz w:val="21"/>
                <w:szCs w:val="21"/>
              </w:rPr>
              <w:t></w:t>
            </w:r>
          </w:p>
        </w:tc>
        <w:tc>
          <w:tcPr>
            <w:tcW w:w="1428" w:type="dxa"/>
            <w:shd w:val="clear" w:color="auto" w:fill="auto"/>
            <w:vAlign w:val="center"/>
          </w:tcPr>
          <w:p w14:paraId="3E20DA2C"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0.15</w:t>
            </w:r>
          </w:p>
        </w:tc>
        <w:tc>
          <w:tcPr>
            <w:tcW w:w="3371" w:type="dxa"/>
            <w:vMerge w:val="restart"/>
            <w:shd w:val="clear" w:color="auto" w:fill="auto"/>
            <w:vAlign w:val="center"/>
          </w:tcPr>
          <w:p w14:paraId="0D5E8ED9"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《环境空气质量标准》</w:t>
            </w:r>
          </w:p>
          <w:p w14:paraId="7F9ACB88"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w:t>
            </w:r>
            <w:r>
              <w:rPr>
                <w:color w:val="000000" w:themeColor="text1"/>
                <w:sz w:val="21"/>
                <w:szCs w:val="21"/>
              </w:rPr>
              <w:t>GB3095-2012</w:t>
            </w:r>
            <w:r>
              <w:rPr>
                <w:color w:val="000000" w:themeColor="text1"/>
                <w:sz w:val="21"/>
                <w:szCs w:val="21"/>
              </w:rPr>
              <w:t>）</w:t>
            </w:r>
          </w:p>
          <w:p w14:paraId="707F2327"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二级标准限值</w:t>
            </w:r>
          </w:p>
        </w:tc>
      </w:tr>
      <w:tr w:rsidR="005A1A44" w14:paraId="5B909728" w14:textId="77777777">
        <w:trPr>
          <w:jc w:val="center"/>
        </w:trPr>
        <w:tc>
          <w:tcPr>
            <w:tcW w:w="1845" w:type="dxa"/>
            <w:vMerge/>
            <w:shd w:val="clear" w:color="auto" w:fill="auto"/>
            <w:vAlign w:val="center"/>
          </w:tcPr>
          <w:p w14:paraId="0A794397" w14:textId="77777777" w:rsidR="005A1A44" w:rsidRDefault="005A1A44">
            <w:pPr>
              <w:adjustRightInd w:val="0"/>
              <w:snapToGrid w:val="0"/>
              <w:spacing w:line="240" w:lineRule="auto"/>
              <w:ind w:firstLineChars="0" w:firstLine="0"/>
              <w:jc w:val="center"/>
              <w:rPr>
                <w:color w:val="000000" w:themeColor="text1"/>
                <w:sz w:val="21"/>
                <w:szCs w:val="21"/>
              </w:rPr>
            </w:pPr>
          </w:p>
        </w:tc>
        <w:tc>
          <w:tcPr>
            <w:tcW w:w="1878" w:type="dxa"/>
            <w:shd w:val="clear" w:color="auto" w:fill="auto"/>
            <w:vAlign w:val="center"/>
          </w:tcPr>
          <w:p w14:paraId="6922AF4D"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w:t>
            </w:r>
            <w:r>
              <w:rPr>
                <w:color w:val="000000" w:themeColor="text1"/>
                <w:sz w:val="21"/>
                <w:szCs w:val="21"/>
              </w:rPr>
              <w:t>小时平均</w:t>
            </w:r>
          </w:p>
        </w:tc>
        <w:tc>
          <w:tcPr>
            <w:tcW w:w="1428" w:type="dxa"/>
            <w:shd w:val="clear" w:color="auto" w:fill="auto"/>
            <w:vAlign w:val="center"/>
          </w:tcPr>
          <w:p w14:paraId="72AC06B2" w14:textId="77777777" w:rsidR="005A1A44" w:rsidRDefault="0008059E">
            <w:pPr>
              <w:pStyle w:val="af3"/>
              <w:snapToGrid w:val="0"/>
              <w:spacing w:before="0" w:line="240" w:lineRule="auto"/>
              <w:ind w:firstLineChars="0" w:firstLine="0"/>
              <w:rPr>
                <w:rFonts w:ascii="Times New Roman"/>
                <w:color w:val="000000" w:themeColor="text1"/>
                <w:sz w:val="21"/>
                <w:szCs w:val="21"/>
              </w:rPr>
            </w:pPr>
            <w:r>
              <w:rPr>
                <w:rFonts w:ascii="Times New Roman"/>
                <w:color w:val="000000" w:themeColor="text1"/>
                <w:sz w:val="21"/>
                <w:szCs w:val="21"/>
              </w:rPr>
              <w:t>0.50</w:t>
            </w:r>
          </w:p>
        </w:tc>
        <w:tc>
          <w:tcPr>
            <w:tcW w:w="3371" w:type="dxa"/>
            <w:vMerge/>
            <w:shd w:val="clear" w:color="auto" w:fill="auto"/>
            <w:vAlign w:val="center"/>
          </w:tcPr>
          <w:p w14:paraId="4C89BFD1" w14:textId="77777777" w:rsidR="005A1A44" w:rsidRDefault="005A1A44">
            <w:pPr>
              <w:adjustRightInd w:val="0"/>
              <w:snapToGrid w:val="0"/>
              <w:spacing w:line="240" w:lineRule="auto"/>
              <w:ind w:firstLineChars="0" w:firstLine="0"/>
              <w:jc w:val="center"/>
              <w:rPr>
                <w:color w:val="000000" w:themeColor="text1"/>
                <w:sz w:val="21"/>
                <w:szCs w:val="21"/>
              </w:rPr>
            </w:pPr>
          </w:p>
        </w:tc>
      </w:tr>
      <w:tr w:rsidR="005A1A44" w14:paraId="44FD55FB" w14:textId="77777777">
        <w:trPr>
          <w:trHeight w:val="262"/>
          <w:jc w:val="center"/>
        </w:trPr>
        <w:tc>
          <w:tcPr>
            <w:tcW w:w="1845" w:type="dxa"/>
            <w:vMerge w:val="restart"/>
            <w:shd w:val="clear" w:color="auto" w:fill="auto"/>
            <w:vAlign w:val="center"/>
          </w:tcPr>
          <w:p w14:paraId="5503B864"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NO</w:t>
            </w:r>
            <w:r>
              <w:rPr>
                <w:color w:val="000000" w:themeColor="text1"/>
                <w:sz w:val="21"/>
                <w:szCs w:val="21"/>
                <w:vertAlign w:val="subscript"/>
              </w:rPr>
              <w:t>2</w:t>
            </w:r>
          </w:p>
        </w:tc>
        <w:tc>
          <w:tcPr>
            <w:tcW w:w="1878" w:type="dxa"/>
            <w:shd w:val="clear" w:color="auto" w:fill="auto"/>
            <w:vAlign w:val="center"/>
          </w:tcPr>
          <w:p w14:paraId="0AC5AC86"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日平均</w:t>
            </w:r>
            <w:r>
              <w:rPr>
                <w:color w:val="000000" w:themeColor="text1"/>
                <w:sz w:val="21"/>
                <w:szCs w:val="21"/>
              </w:rPr>
              <w:t></w:t>
            </w:r>
          </w:p>
        </w:tc>
        <w:tc>
          <w:tcPr>
            <w:tcW w:w="1428" w:type="dxa"/>
            <w:shd w:val="clear" w:color="auto" w:fill="auto"/>
            <w:vAlign w:val="center"/>
          </w:tcPr>
          <w:p w14:paraId="5C783C23"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0.08</w:t>
            </w:r>
          </w:p>
        </w:tc>
        <w:tc>
          <w:tcPr>
            <w:tcW w:w="3371" w:type="dxa"/>
            <w:vMerge/>
            <w:shd w:val="clear" w:color="auto" w:fill="auto"/>
            <w:vAlign w:val="center"/>
          </w:tcPr>
          <w:p w14:paraId="0BA7F20B" w14:textId="77777777" w:rsidR="005A1A44" w:rsidRDefault="005A1A44">
            <w:pPr>
              <w:adjustRightInd w:val="0"/>
              <w:snapToGrid w:val="0"/>
              <w:spacing w:line="240" w:lineRule="auto"/>
              <w:ind w:firstLineChars="0" w:firstLine="0"/>
              <w:jc w:val="center"/>
              <w:rPr>
                <w:color w:val="000000" w:themeColor="text1"/>
                <w:sz w:val="21"/>
                <w:szCs w:val="21"/>
              </w:rPr>
            </w:pPr>
          </w:p>
        </w:tc>
      </w:tr>
      <w:tr w:rsidR="005A1A44" w14:paraId="2948D5EB" w14:textId="77777777">
        <w:trPr>
          <w:jc w:val="center"/>
        </w:trPr>
        <w:tc>
          <w:tcPr>
            <w:tcW w:w="1845" w:type="dxa"/>
            <w:vMerge/>
            <w:shd w:val="clear" w:color="auto" w:fill="auto"/>
            <w:vAlign w:val="center"/>
          </w:tcPr>
          <w:p w14:paraId="45D84AAF" w14:textId="77777777" w:rsidR="005A1A44" w:rsidRDefault="005A1A44">
            <w:pPr>
              <w:adjustRightInd w:val="0"/>
              <w:snapToGrid w:val="0"/>
              <w:spacing w:line="240" w:lineRule="auto"/>
              <w:ind w:firstLineChars="0" w:firstLine="0"/>
              <w:jc w:val="center"/>
              <w:rPr>
                <w:color w:val="000000" w:themeColor="text1"/>
                <w:sz w:val="21"/>
                <w:szCs w:val="21"/>
              </w:rPr>
            </w:pPr>
          </w:p>
        </w:tc>
        <w:tc>
          <w:tcPr>
            <w:tcW w:w="1878" w:type="dxa"/>
            <w:shd w:val="clear" w:color="auto" w:fill="auto"/>
            <w:vAlign w:val="center"/>
          </w:tcPr>
          <w:p w14:paraId="15B606E0"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w:t>
            </w:r>
            <w:r>
              <w:rPr>
                <w:color w:val="000000" w:themeColor="text1"/>
                <w:sz w:val="21"/>
                <w:szCs w:val="21"/>
              </w:rPr>
              <w:t>小时平均</w:t>
            </w:r>
          </w:p>
        </w:tc>
        <w:tc>
          <w:tcPr>
            <w:tcW w:w="1428" w:type="dxa"/>
            <w:shd w:val="clear" w:color="auto" w:fill="auto"/>
            <w:vAlign w:val="center"/>
          </w:tcPr>
          <w:p w14:paraId="0332770D"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0.20</w:t>
            </w:r>
          </w:p>
        </w:tc>
        <w:tc>
          <w:tcPr>
            <w:tcW w:w="3371" w:type="dxa"/>
            <w:vMerge/>
            <w:shd w:val="clear" w:color="auto" w:fill="auto"/>
            <w:vAlign w:val="center"/>
          </w:tcPr>
          <w:p w14:paraId="420DDFA0" w14:textId="77777777" w:rsidR="005A1A44" w:rsidRDefault="005A1A44">
            <w:pPr>
              <w:adjustRightInd w:val="0"/>
              <w:snapToGrid w:val="0"/>
              <w:spacing w:line="240" w:lineRule="auto"/>
              <w:ind w:firstLineChars="0" w:firstLine="0"/>
              <w:jc w:val="center"/>
              <w:rPr>
                <w:color w:val="000000" w:themeColor="text1"/>
                <w:sz w:val="21"/>
                <w:szCs w:val="21"/>
              </w:rPr>
            </w:pPr>
          </w:p>
        </w:tc>
      </w:tr>
      <w:tr w:rsidR="005A1A44" w14:paraId="63D4F943" w14:textId="77777777">
        <w:trPr>
          <w:trHeight w:val="317"/>
          <w:jc w:val="center"/>
        </w:trPr>
        <w:tc>
          <w:tcPr>
            <w:tcW w:w="1845" w:type="dxa"/>
            <w:shd w:val="clear" w:color="auto" w:fill="auto"/>
            <w:vAlign w:val="center"/>
          </w:tcPr>
          <w:p w14:paraId="6A436C37"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PM</w:t>
            </w:r>
            <w:r>
              <w:rPr>
                <w:color w:val="000000" w:themeColor="text1"/>
                <w:sz w:val="21"/>
                <w:szCs w:val="21"/>
                <w:vertAlign w:val="subscript"/>
              </w:rPr>
              <w:t>10</w:t>
            </w:r>
          </w:p>
        </w:tc>
        <w:tc>
          <w:tcPr>
            <w:tcW w:w="1878" w:type="dxa"/>
            <w:shd w:val="clear" w:color="auto" w:fill="auto"/>
            <w:vAlign w:val="center"/>
          </w:tcPr>
          <w:p w14:paraId="379B5DA3"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日平均</w:t>
            </w:r>
            <w:r>
              <w:rPr>
                <w:color w:val="000000" w:themeColor="text1"/>
                <w:sz w:val="21"/>
                <w:szCs w:val="21"/>
              </w:rPr>
              <w:t></w:t>
            </w:r>
          </w:p>
        </w:tc>
        <w:tc>
          <w:tcPr>
            <w:tcW w:w="1428" w:type="dxa"/>
            <w:shd w:val="clear" w:color="auto" w:fill="auto"/>
            <w:vAlign w:val="center"/>
          </w:tcPr>
          <w:p w14:paraId="5E640005"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0.15</w:t>
            </w:r>
          </w:p>
        </w:tc>
        <w:tc>
          <w:tcPr>
            <w:tcW w:w="3371" w:type="dxa"/>
            <w:vMerge/>
            <w:shd w:val="clear" w:color="auto" w:fill="auto"/>
            <w:vAlign w:val="center"/>
          </w:tcPr>
          <w:p w14:paraId="3D61966F" w14:textId="77777777" w:rsidR="005A1A44" w:rsidRDefault="005A1A44">
            <w:pPr>
              <w:adjustRightInd w:val="0"/>
              <w:snapToGrid w:val="0"/>
              <w:spacing w:line="240" w:lineRule="auto"/>
              <w:ind w:firstLineChars="0" w:firstLine="0"/>
              <w:jc w:val="center"/>
              <w:rPr>
                <w:color w:val="000000" w:themeColor="text1"/>
                <w:sz w:val="21"/>
                <w:szCs w:val="21"/>
              </w:rPr>
            </w:pPr>
          </w:p>
        </w:tc>
      </w:tr>
      <w:tr w:rsidR="005A1A44" w14:paraId="6D45ACE6" w14:textId="77777777">
        <w:trPr>
          <w:trHeight w:val="357"/>
          <w:jc w:val="center"/>
        </w:trPr>
        <w:tc>
          <w:tcPr>
            <w:tcW w:w="1845" w:type="dxa"/>
            <w:shd w:val="clear" w:color="auto" w:fill="auto"/>
            <w:vAlign w:val="center"/>
          </w:tcPr>
          <w:p w14:paraId="7C6B707A"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PM</w:t>
            </w:r>
            <w:r>
              <w:rPr>
                <w:color w:val="000000" w:themeColor="text1"/>
                <w:sz w:val="21"/>
                <w:szCs w:val="21"/>
                <w:vertAlign w:val="subscript"/>
              </w:rPr>
              <w:t>2.5</w:t>
            </w:r>
          </w:p>
        </w:tc>
        <w:tc>
          <w:tcPr>
            <w:tcW w:w="1878" w:type="dxa"/>
            <w:shd w:val="clear" w:color="auto" w:fill="auto"/>
            <w:vAlign w:val="center"/>
          </w:tcPr>
          <w:p w14:paraId="40C7032A"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日平均</w:t>
            </w:r>
            <w:r>
              <w:rPr>
                <w:color w:val="000000" w:themeColor="text1"/>
                <w:sz w:val="21"/>
                <w:szCs w:val="21"/>
              </w:rPr>
              <w:t></w:t>
            </w:r>
          </w:p>
        </w:tc>
        <w:tc>
          <w:tcPr>
            <w:tcW w:w="1428" w:type="dxa"/>
            <w:shd w:val="clear" w:color="auto" w:fill="auto"/>
            <w:vAlign w:val="center"/>
          </w:tcPr>
          <w:p w14:paraId="2DD12C10"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0.075</w:t>
            </w:r>
          </w:p>
        </w:tc>
        <w:tc>
          <w:tcPr>
            <w:tcW w:w="3371" w:type="dxa"/>
            <w:vMerge/>
            <w:shd w:val="clear" w:color="auto" w:fill="auto"/>
            <w:vAlign w:val="center"/>
          </w:tcPr>
          <w:p w14:paraId="4C94386E" w14:textId="77777777" w:rsidR="005A1A44" w:rsidRDefault="005A1A44">
            <w:pPr>
              <w:adjustRightInd w:val="0"/>
              <w:snapToGrid w:val="0"/>
              <w:spacing w:line="240" w:lineRule="auto"/>
              <w:ind w:firstLineChars="0" w:firstLine="0"/>
              <w:jc w:val="center"/>
              <w:rPr>
                <w:color w:val="000000" w:themeColor="text1"/>
                <w:sz w:val="21"/>
                <w:szCs w:val="21"/>
              </w:rPr>
            </w:pPr>
          </w:p>
        </w:tc>
      </w:tr>
      <w:tr w:rsidR="005A1A44" w14:paraId="02A3E552" w14:textId="77777777">
        <w:trPr>
          <w:trHeight w:val="357"/>
          <w:jc w:val="center"/>
        </w:trPr>
        <w:tc>
          <w:tcPr>
            <w:tcW w:w="1845" w:type="dxa"/>
            <w:shd w:val="clear" w:color="auto" w:fill="auto"/>
            <w:vAlign w:val="center"/>
          </w:tcPr>
          <w:p w14:paraId="2506E4B3"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TSP</w:t>
            </w:r>
          </w:p>
        </w:tc>
        <w:tc>
          <w:tcPr>
            <w:tcW w:w="1878" w:type="dxa"/>
            <w:shd w:val="clear" w:color="auto" w:fill="auto"/>
            <w:vAlign w:val="center"/>
          </w:tcPr>
          <w:p w14:paraId="1480654C"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日平均</w:t>
            </w:r>
          </w:p>
        </w:tc>
        <w:tc>
          <w:tcPr>
            <w:tcW w:w="1428" w:type="dxa"/>
            <w:shd w:val="clear" w:color="auto" w:fill="auto"/>
            <w:vAlign w:val="center"/>
          </w:tcPr>
          <w:p w14:paraId="1CBAC5EA"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0.30</w:t>
            </w:r>
          </w:p>
        </w:tc>
        <w:tc>
          <w:tcPr>
            <w:tcW w:w="3371" w:type="dxa"/>
            <w:vMerge/>
            <w:shd w:val="clear" w:color="auto" w:fill="auto"/>
            <w:vAlign w:val="center"/>
          </w:tcPr>
          <w:p w14:paraId="4447696A" w14:textId="77777777" w:rsidR="005A1A44" w:rsidRDefault="005A1A44">
            <w:pPr>
              <w:adjustRightInd w:val="0"/>
              <w:snapToGrid w:val="0"/>
              <w:spacing w:line="240" w:lineRule="auto"/>
              <w:ind w:firstLineChars="0" w:firstLine="0"/>
              <w:jc w:val="center"/>
              <w:rPr>
                <w:color w:val="000000" w:themeColor="text1"/>
                <w:sz w:val="21"/>
                <w:szCs w:val="21"/>
              </w:rPr>
            </w:pPr>
          </w:p>
        </w:tc>
      </w:tr>
      <w:tr w:rsidR="005A1A44" w14:paraId="27ABC6E1" w14:textId="77777777">
        <w:trPr>
          <w:trHeight w:val="299"/>
          <w:jc w:val="center"/>
        </w:trPr>
        <w:tc>
          <w:tcPr>
            <w:tcW w:w="1845" w:type="dxa"/>
            <w:vMerge w:val="restart"/>
            <w:shd w:val="clear" w:color="auto" w:fill="auto"/>
            <w:vAlign w:val="center"/>
          </w:tcPr>
          <w:p w14:paraId="64A13E26"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 xml:space="preserve">CO </w:t>
            </w:r>
          </w:p>
        </w:tc>
        <w:tc>
          <w:tcPr>
            <w:tcW w:w="1878" w:type="dxa"/>
            <w:shd w:val="clear" w:color="auto" w:fill="auto"/>
            <w:vAlign w:val="center"/>
          </w:tcPr>
          <w:p w14:paraId="18DA1CF7"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日平均</w:t>
            </w:r>
          </w:p>
        </w:tc>
        <w:tc>
          <w:tcPr>
            <w:tcW w:w="1428" w:type="dxa"/>
            <w:shd w:val="clear" w:color="auto" w:fill="auto"/>
            <w:vAlign w:val="center"/>
          </w:tcPr>
          <w:p w14:paraId="0295DC18"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4</w:t>
            </w:r>
          </w:p>
        </w:tc>
        <w:tc>
          <w:tcPr>
            <w:tcW w:w="3371" w:type="dxa"/>
            <w:vMerge/>
            <w:shd w:val="clear" w:color="auto" w:fill="auto"/>
            <w:vAlign w:val="center"/>
          </w:tcPr>
          <w:p w14:paraId="4A292636" w14:textId="77777777" w:rsidR="005A1A44" w:rsidRDefault="005A1A44">
            <w:pPr>
              <w:adjustRightInd w:val="0"/>
              <w:snapToGrid w:val="0"/>
              <w:spacing w:line="240" w:lineRule="auto"/>
              <w:ind w:firstLineChars="0" w:firstLine="0"/>
              <w:jc w:val="center"/>
              <w:rPr>
                <w:color w:val="000000" w:themeColor="text1"/>
                <w:sz w:val="21"/>
                <w:szCs w:val="21"/>
              </w:rPr>
            </w:pPr>
          </w:p>
        </w:tc>
      </w:tr>
      <w:tr w:rsidR="005A1A44" w14:paraId="00EA4658" w14:textId="77777777">
        <w:trPr>
          <w:trHeight w:val="299"/>
          <w:jc w:val="center"/>
        </w:trPr>
        <w:tc>
          <w:tcPr>
            <w:tcW w:w="1845" w:type="dxa"/>
            <w:vMerge/>
            <w:shd w:val="clear" w:color="auto" w:fill="auto"/>
            <w:vAlign w:val="center"/>
          </w:tcPr>
          <w:p w14:paraId="03F96761" w14:textId="77777777" w:rsidR="005A1A44" w:rsidRDefault="005A1A44">
            <w:pPr>
              <w:adjustRightInd w:val="0"/>
              <w:snapToGrid w:val="0"/>
              <w:spacing w:line="240" w:lineRule="auto"/>
              <w:ind w:firstLineChars="0" w:firstLine="0"/>
              <w:jc w:val="center"/>
              <w:rPr>
                <w:color w:val="000000" w:themeColor="text1"/>
                <w:sz w:val="21"/>
                <w:szCs w:val="21"/>
              </w:rPr>
            </w:pPr>
          </w:p>
        </w:tc>
        <w:tc>
          <w:tcPr>
            <w:tcW w:w="1878" w:type="dxa"/>
            <w:shd w:val="clear" w:color="auto" w:fill="auto"/>
            <w:vAlign w:val="center"/>
          </w:tcPr>
          <w:p w14:paraId="11FFAC36"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w:t>
            </w:r>
            <w:r>
              <w:rPr>
                <w:color w:val="000000" w:themeColor="text1"/>
                <w:sz w:val="21"/>
                <w:szCs w:val="21"/>
              </w:rPr>
              <w:t>小时平均</w:t>
            </w:r>
          </w:p>
        </w:tc>
        <w:tc>
          <w:tcPr>
            <w:tcW w:w="1428" w:type="dxa"/>
            <w:shd w:val="clear" w:color="auto" w:fill="auto"/>
            <w:vAlign w:val="center"/>
          </w:tcPr>
          <w:p w14:paraId="187E6165"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10</w:t>
            </w:r>
          </w:p>
        </w:tc>
        <w:tc>
          <w:tcPr>
            <w:tcW w:w="3371" w:type="dxa"/>
            <w:vMerge/>
            <w:shd w:val="clear" w:color="auto" w:fill="auto"/>
            <w:vAlign w:val="center"/>
          </w:tcPr>
          <w:p w14:paraId="436B27FF" w14:textId="77777777" w:rsidR="005A1A44" w:rsidRDefault="005A1A44">
            <w:pPr>
              <w:adjustRightInd w:val="0"/>
              <w:snapToGrid w:val="0"/>
              <w:spacing w:line="240" w:lineRule="auto"/>
              <w:ind w:firstLineChars="0" w:firstLine="0"/>
              <w:jc w:val="center"/>
              <w:rPr>
                <w:color w:val="000000" w:themeColor="text1"/>
                <w:sz w:val="21"/>
                <w:szCs w:val="21"/>
              </w:rPr>
            </w:pPr>
          </w:p>
        </w:tc>
      </w:tr>
      <w:tr w:rsidR="005A1A44" w14:paraId="0ACFCBBC" w14:textId="77777777">
        <w:trPr>
          <w:trHeight w:val="299"/>
          <w:jc w:val="center"/>
        </w:trPr>
        <w:tc>
          <w:tcPr>
            <w:tcW w:w="1845" w:type="dxa"/>
            <w:vMerge w:val="restart"/>
            <w:shd w:val="clear" w:color="auto" w:fill="auto"/>
            <w:vAlign w:val="center"/>
          </w:tcPr>
          <w:p w14:paraId="3699563E"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O</w:t>
            </w:r>
            <w:r>
              <w:rPr>
                <w:rFonts w:hint="eastAsia"/>
                <w:color w:val="000000" w:themeColor="text1"/>
                <w:sz w:val="21"/>
                <w:szCs w:val="21"/>
                <w:vertAlign w:val="subscript"/>
              </w:rPr>
              <w:t>3</w:t>
            </w:r>
          </w:p>
        </w:tc>
        <w:tc>
          <w:tcPr>
            <w:tcW w:w="1878" w:type="dxa"/>
            <w:shd w:val="clear" w:color="auto" w:fill="auto"/>
            <w:vAlign w:val="center"/>
          </w:tcPr>
          <w:p w14:paraId="338E4BD0"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日最大</w:t>
            </w:r>
            <w:r>
              <w:rPr>
                <w:rFonts w:hint="eastAsia"/>
                <w:color w:val="000000" w:themeColor="text1"/>
                <w:sz w:val="21"/>
                <w:szCs w:val="21"/>
              </w:rPr>
              <w:t>8</w:t>
            </w:r>
            <w:r>
              <w:rPr>
                <w:rFonts w:hint="eastAsia"/>
                <w:color w:val="000000" w:themeColor="text1"/>
                <w:sz w:val="21"/>
                <w:szCs w:val="21"/>
              </w:rPr>
              <w:t>小时平均</w:t>
            </w:r>
          </w:p>
        </w:tc>
        <w:tc>
          <w:tcPr>
            <w:tcW w:w="1428" w:type="dxa"/>
            <w:shd w:val="clear" w:color="auto" w:fill="auto"/>
            <w:vAlign w:val="center"/>
          </w:tcPr>
          <w:p w14:paraId="74FF2DD8"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0.16</w:t>
            </w:r>
          </w:p>
        </w:tc>
        <w:tc>
          <w:tcPr>
            <w:tcW w:w="3371" w:type="dxa"/>
            <w:vMerge/>
            <w:shd w:val="clear" w:color="auto" w:fill="auto"/>
            <w:vAlign w:val="center"/>
          </w:tcPr>
          <w:p w14:paraId="7C8EBC03" w14:textId="77777777" w:rsidR="005A1A44" w:rsidRDefault="005A1A44">
            <w:pPr>
              <w:adjustRightInd w:val="0"/>
              <w:snapToGrid w:val="0"/>
              <w:spacing w:line="240" w:lineRule="auto"/>
              <w:ind w:firstLineChars="0" w:firstLine="0"/>
              <w:jc w:val="center"/>
              <w:rPr>
                <w:color w:val="000000" w:themeColor="text1"/>
                <w:sz w:val="21"/>
                <w:szCs w:val="21"/>
              </w:rPr>
            </w:pPr>
          </w:p>
        </w:tc>
      </w:tr>
      <w:tr w:rsidR="005A1A44" w14:paraId="79155B46" w14:textId="77777777">
        <w:trPr>
          <w:trHeight w:val="299"/>
          <w:jc w:val="center"/>
        </w:trPr>
        <w:tc>
          <w:tcPr>
            <w:tcW w:w="1845" w:type="dxa"/>
            <w:vMerge/>
            <w:shd w:val="clear" w:color="auto" w:fill="auto"/>
            <w:vAlign w:val="center"/>
          </w:tcPr>
          <w:p w14:paraId="60C79C86" w14:textId="77777777" w:rsidR="005A1A44" w:rsidRDefault="005A1A44">
            <w:pPr>
              <w:adjustRightInd w:val="0"/>
              <w:snapToGrid w:val="0"/>
              <w:spacing w:line="240" w:lineRule="auto"/>
              <w:ind w:firstLineChars="0" w:firstLine="0"/>
              <w:jc w:val="center"/>
              <w:rPr>
                <w:color w:val="000000" w:themeColor="text1"/>
                <w:sz w:val="21"/>
                <w:szCs w:val="21"/>
              </w:rPr>
            </w:pPr>
          </w:p>
        </w:tc>
        <w:tc>
          <w:tcPr>
            <w:tcW w:w="1878" w:type="dxa"/>
            <w:shd w:val="clear" w:color="auto" w:fill="auto"/>
            <w:vAlign w:val="center"/>
          </w:tcPr>
          <w:p w14:paraId="64CCA77B"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1</w:t>
            </w:r>
            <w:r>
              <w:rPr>
                <w:rFonts w:hint="eastAsia"/>
                <w:color w:val="000000" w:themeColor="text1"/>
                <w:sz w:val="21"/>
                <w:szCs w:val="21"/>
              </w:rPr>
              <w:t>小时平均</w:t>
            </w:r>
          </w:p>
        </w:tc>
        <w:tc>
          <w:tcPr>
            <w:tcW w:w="1428" w:type="dxa"/>
            <w:shd w:val="clear" w:color="auto" w:fill="auto"/>
            <w:vAlign w:val="center"/>
          </w:tcPr>
          <w:p w14:paraId="1A41FB9E"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0.20</w:t>
            </w:r>
          </w:p>
        </w:tc>
        <w:tc>
          <w:tcPr>
            <w:tcW w:w="3371" w:type="dxa"/>
            <w:vMerge/>
            <w:shd w:val="clear" w:color="auto" w:fill="auto"/>
            <w:vAlign w:val="center"/>
          </w:tcPr>
          <w:p w14:paraId="705E9F62" w14:textId="77777777" w:rsidR="005A1A44" w:rsidRDefault="005A1A44">
            <w:pPr>
              <w:adjustRightInd w:val="0"/>
              <w:snapToGrid w:val="0"/>
              <w:spacing w:line="240" w:lineRule="auto"/>
              <w:ind w:firstLineChars="0" w:firstLine="0"/>
              <w:jc w:val="center"/>
              <w:rPr>
                <w:color w:val="000000" w:themeColor="text1"/>
                <w:sz w:val="21"/>
                <w:szCs w:val="21"/>
              </w:rPr>
            </w:pPr>
          </w:p>
        </w:tc>
      </w:tr>
    </w:tbl>
    <w:p w14:paraId="435B8331" w14:textId="77777777" w:rsidR="005A1A44" w:rsidRDefault="0008059E">
      <w:pPr>
        <w:ind w:firstLine="480"/>
      </w:pPr>
      <w:r>
        <w:t>（</w:t>
      </w:r>
      <w:r>
        <w:t>2</w:t>
      </w:r>
      <w:r>
        <w:t>）地</w:t>
      </w:r>
      <w:r>
        <w:rPr>
          <w:rFonts w:hint="eastAsia"/>
        </w:rPr>
        <w:t>表</w:t>
      </w:r>
      <w:r>
        <w:t>水质量标准</w:t>
      </w:r>
    </w:p>
    <w:p w14:paraId="28C4C4E5" w14:textId="77777777" w:rsidR="005A1A44" w:rsidRDefault="0008059E">
      <w:pPr>
        <w:ind w:firstLine="480"/>
        <w:rPr>
          <w:color w:val="000000" w:themeColor="text1"/>
        </w:rPr>
      </w:pPr>
      <w:r>
        <w:rPr>
          <w:rFonts w:hint="eastAsia"/>
        </w:rPr>
        <w:t>根据《中国新疆水环境功能区划》，玉龙喀什河和田市段现状为饮用水、农业</w:t>
      </w:r>
      <w:r>
        <w:rPr>
          <w:rFonts w:hint="eastAsia"/>
        </w:rPr>
        <w:lastRenderedPageBreak/>
        <w:t>用水，项目区内和项目区外的地表水体</w:t>
      </w:r>
      <w:r>
        <w:t>执行《地表水环境质量标准》（</w:t>
      </w:r>
      <w:r>
        <w:t>GB3838-2002</w:t>
      </w:r>
      <w:r>
        <w:t>）中地表水环境质量</w:t>
      </w:r>
      <w:r>
        <w:rPr>
          <w:rFonts w:ascii="宋体" w:eastAsia="宋体" w:hAnsi="宋体" w:hint="eastAsia"/>
        </w:rPr>
        <w:t>Ⅱ</w:t>
      </w:r>
      <w:r>
        <w:t>类标准</w:t>
      </w:r>
      <w:r>
        <w:rPr>
          <w:rFonts w:hint="eastAsia"/>
        </w:rPr>
        <w:t>，详见表</w:t>
      </w:r>
      <w:r>
        <w:rPr>
          <w:rFonts w:hint="eastAsia"/>
        </w:rPr>
        <w:t>2.3-2</w:t>
      </w:r>
      <w:r>
        <w:rPr>
          <w:rFonts w:hint="eastAsia"/>
          <w:color w:val="000000" w:themeColor="text1"/>
        </w:rPr>
        <w:t>。</w:t>
      </w:r>
    </w:p>
    <w:p w14:paraId="1FC253B8" w14:textId="77777777" w:rsidR="005A1A44" w:rsidRDefault="0008059E">
      <w:pPr>
        <w:ind w:firstLineChars="0" w:firstLine="0"/>
        <w:jc w:val="center"/>
        <w:rPr>
          <w:color w:val="000000" w:themeColor="text1"/>
        </w:rPr>
      </w:pPr>
      <w:r>
        <w:rPr>
          <w:rFonts w:ascii="黑体" w:eastAsia="黑体" w:hAnsi="黑体" w:cs="黑体" w:hint="eastAsia"/>
        </w:rPr>
        <w:t>表</w:t>
      </w:r>
      <w:r>
        <w:rPr>
          <w:rFonts w:eastAsia="黑体" w:hint="eastAsia"/>
          <w:color w:val="000000" w:themeColor="text1"/>
        </w:rPr>
        <w:t>2</w:t>
      </w:r>
      <w:r>
        <w:rPr>
          <w:rFonts w:eastAsia="黑体"/>
          <w:color w:val="000000" w:themeColor="text1"/>
        </w:rPr>
        <w:t>.</w:t>
      </w:r>
      <w:r>
        <w:rPr>
          <w:rFonts w:eastAsia="黑体" w:hint="eastAsia"/>
          <w:color w:val="000000" w:themeColor="text1"/>
        </w:rPr>
        <w:t>3</w:t>
      </w:r>
      <w:r>
        <w:rPr>
          <w:rFonts w:eastAsia="黑体"/>
          <w:color w:val="000000" w:themeColor="text1"/>
        </w:rPr>
        <w:t xml:space="preserve">-2  </w:t>
      </w:r>
      <w:r>
        <w:rPr>
          <w:rFonts w:eastAsia="黑体"/>
          <w:color w:val="000000" w:themeColor="text1"/>
        </w:rPr>
        <w:t>地</w:t>
      </w:r>
      <w:r>
        <w:rPr>
          <w:rFonts w:eastAsia="黑体" w:hint="eastAsia"/>
          <w:color w:val="000000" w:themeColor="text1"/>
        </w:rPr>
        <w:t>表</w:t>
      </w:r>
      <w:r>
        <w:rPr>
          <w:rFonts w:eastAsia="黑体"/>
          <w:color w:val="000000" w:themeColor="text1"/>
        </w:rPr>
        <w:t>水水质评价标准</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344"/>
        <w:gridCol w:w="879"/>
        <w:gridCol w:w="660"/>
        <w:gridCol w:w="2012"/>
        <w:gridCol w:w="967"/>
      </w:tblGrid>
      <w:tr w:rsidR="005A1A44" w14:paraId="033B0049" w14:textId="77777777">
        <w:trPr>
          <w:tblHeader/>
          <w:jc w:val="center"/>
        </w:trPr>
        <w:tc>
          <w:tcPr>
            <w:tcW w:w="660" w:type="dxa"/>
            <w:shd w:val="clear" w:color="auto" w:fill="auto"/>
            <w:vAlign w:val="center"/>
          </w:tcPr>
          <w:p w14:paraId="7D127B1A" w14:textId="77777777" w:rsidR="005A1A44" w:rsidRDefault="0008059E">
            <w:pPr>
              <w:adjustRightInd w:val="0"/>
              <w:snapToGrid w:val="0"/>
              <w:spacing w:line="240" w:lineRule="auto"/>
              <w:ind w:firstLineChars="0" w:firstLine="0"/>
              <w:jc w:val="center"/>
              <w:rPr>
                <w:b/>
                <w:bCs/>
                <w:color w:val="000000" w:themeColor="text1"/>
                <w:sz w:val="21"/>
                <w:szCs w:val="21"/>
              </w:rPr>
            </w:pPr>
            <w:r>
              <w:rPr>
                <w:b/>
                <w:bCs/>
                <w:color w:val="000000" w:themeColor="text1"/>
                <w:sz w:val="21"/>
                <w:szCs w:val="21"/>
              </w:rPr>
              <w:t>序号</w:t>
            </w:r>
          </w:p>
        </w:tc>
        <w:tc>
          <w:tcPr>
            <w:tcW w:w="3344" w:type="dxa"/>
            <w:shd w:val="clear" w:color="auto" w:fill="auto"/>
            <w:vAlign w:val="center"/>
          </w:tcPr>
          <w:p w14:paraId="49099CAA" w14:textId="77777777" w:rsidR="005A1A44" w:rsidRDefault="0008059E">
            <w:pPr>
              <w:adjustRightInd w:val="0"/>
              <w:snapToGrid w:val="0"/>
              <w:spacing w:line="240" w:lineRule="auto"/>
              <w:ind w:firstLineChars="0" w:firstLine="0"/>
              <w:jc w:val="center"/>
              <w:rPr>
                <w:b/>
                <w:bCs/>
                <w:color w:val="000000" w:themeColor="text1"/>
                <w:sz w:val="21"/>
                <w:szCs w:val="21"/>
              </w:rPr>
            </w:pPr>
            <w:r>
              <w:rPr>
                <w:b/>
                <w:bCs/>
                <w:color w:val="000000" w:themeColor="text1"/>
                <w:sz w:val="21"/>
                <w:szCs w:val="21"/>
              </w:rPr>
              <w:t>评价指标</w:t>
            </w:r>
          </w:p>
        </w:tc>
        <w:tc>
          <w:tcPr>
            <w:tcW w:w="879" w:type="dxa"/>
            <w:tcBorders>
              <w:right w:val="double" w:sz="4" w:space="0" w:color="auto"/>
            </w:tcBorders>
            <w:shd w:val="clear" w:color="auto" w:fill="auto"/>
            <w:vAlign w:val="center"/>
          </w:tcPr>
          <w:p w14:paraId="10CC084B" w14:textId="77777777" w:rsidR="005A1A44" w:rsidRDefault="0008059E">
            <w:pPr>
              <w:adjustRightInd w:val="0"/>
              <w:snapToGrid w:val="0"/>
              <w:spacing w:line="240" w:lineRule="auto"/>
              <w:ind w:firstLineChars="0" w:firstLine="0"/>
              <w:jc w:val="center"/>
              <w:rPr>
                <w:b/>
                <w:bCs/>
                <w:color w:val="000000" w:themeColor="text1"/>
                <w:sz w:val="21"/>
                <w:szCs w:val="21"/>
              </w:rPr>
            </w:pPr>
            <w:r>
              <w:rPr>
                <w:rFonts w:ascii="宋体" w:eastAsia="宋体" w:hAnsi="宋体" w:hint="eastAsia"/>
                <w:b/>
                <w:bCs/>
                <w:color w:val="000000" w:themeColor="text1"/>
                <w:sz w:val="21"/>
                <w:szCs w:val="21"/>
              </w:rPr>
              <w:t>Ⅱ</w:t>
            </w:r>
            <w:r>
              <w:rPr>
                <w:rFonts w:hint="eastAsia"/>
                <w:b/>
                <w:bCs/>
                <w:color w:val="000000" w:themeColor="text1"/>
                <w:sz w:val="21"/>
                <w:szCs w:val="21"/>
              </w:rPr>
              <w:t>类</w:t>
            </w:r>
          </w:p>
        </w:tc>
        <w:tc>
          <w:tcPr>
            <w:tcW w:w="660" w:type="dxa"/>
            <w:tcBorders>
              <w:left w:val="double" w:sz="4" w:space="0" w:color="auto"/>
              <w:right w:val="single" w:sz="6" w:space="0" w:color="auto"/>
            </w:tcBorders>
            <w:shd w:val="clear" w:color="auto" w:fill="auto"/>
            <w:vAlign w:val="center"/>
          </w:tcPr>
          <w:p w14:paraId="7E66D340" w14:textId="77777777" w:rsidR="005A1A44" w:rsidRDefault="0008059E">
            <w:pPr>
              <w:adjustRightInd w:val="0"/>
              <w:snapToGrid w:val="0"/>
              <w:spacing w:line="240" w:lineRule="auto"/>
              <w:ind w:firstLineChars="0" w:firstLine="0"/>
              <w:jc w:val="center"/>
              <w:rPr>
                <w:b/>
                <w:bCs/>
                <w:color w:val="000000" w:themeColor="text1"/>
                <w:sz w:val="21"/>
                <w:szCs w:val="21"/>
              </w:rPr>
            </w:pPr>
            <w:r>
              <w:rPr>
                <w:b/>
                <w:bCs/>
                <w:color w:val="000000" w:themeColor="text1"/>
                <w:sz w:val="21"/>
                <w:szCs w:val="21"/>
              </w:rPr>
              <w:t>序号</w:t>
            </w:r>
          </w:p>
        </w:tc>
        <w:tc>
          <w:tcPr>
            <w:tcW w:w="2012" w:type="dxa"/>
            <w:tcBorders>
              <w:left w:val="single" w:sz="6" w:space="0" w:color="auto"/>
              <w:right w:val="single" w:sz="4" w:space="0" w:color="auto"/>
            </w:tcBorders>
            <w:shd w:val="clear" w:color="auto" w:fill="auto"/>
            <w:vAlign w:val="center"/>
          </w:tcPr>
          <w:p w14:paraId="49C32C52" w14:textId="77777777" w:rsidR="005A1A44" w:rsidRDefault="0008059E">
            <w:pPr>
              <w:adjustRightInd w:val="0"/>
              <w:snapToGrid w:val="0"/>
              <w:spacing w:line="240" w:lineRule="auto"/>
              <w:ind w:firstLineChars="0" w:firstLine="0"/>
              <w:jc w:val="center"/>
              <w:rPr>
                <w:b/>
                <w:bCs/>
                <w:color w:val="000000" w:themeColor="text1"/>
                <w:sz w:val="21"/>
                <w:szCs w:val="21"/>
              </w:rPr>
            </w:pPr>
            <w:r>
              <w:rPr>
                <w:b/>
                <w:bCs/>
                <w:color w:val="000000" w:themeColor="text1"/>
                <w:sz w:val="21"/>
                <w:szCs w:val="21"/>
              </w:rPr>
              <w:t>评价指标</w:t>
            </w:r>
          </w:p>
        </w:tc>
        <w:tc>
          <w:tcPr>
            <w:tcW w:w="967" w:type="dxa"/>
            <w:tcBorders>
              <w:left w:val="single" w:sz="6" w:space="0" w:color="auto"/>
              <w:right w:val="single" w:sz="4" w:space="0" w:color="auto"/>
            </w:tcBorders>
            <w:shd w:val="clear" w:color="auto" w:fill="auto"/>
            <w:vAlign w:val="center"/>
          </w:tcPr>
          <w:p w14:paraId="5F88192F" w14:textId="77777777" w:rsidR="005A1A44" w:rsidRDefault="0008059E">
            <w:pPr>
              <w:adjustRightInd w:val="0"/>
              <w:snapToGrid w:val="0"/>
              <w:spacing w:line="240" w:lineRule="auto"/>
              <w:ind w:firstLineChars="0" w:firstLine="0"/>
              <w:jc w:val="center"/>
              <w:rPr>
                <w:b/>
                <w:bCs/>
                <w:color w:val="000000" w:themeColor="text1"/>
                <w:sz w:val="21"/>
                <w:szCs w:val="21"/>
              </w:rPr>
            </w:pPr>
            <w:r>
              <w:rPr>
                <w:rFonts w:ascii="宋体" w:eastAsia="宋体" w:hAnsi="宋体" w:hint="eastAsia"/>
                <w:b/>
                <w:bCs/>
                <w:color w:val="000000" w:themeColor="text1"/>
                <w:sz w:val="21"/>
                <w:szCs w:val="21"/>
              </w:rPr>
              <w:t>Ⅱ</w:t>
            </w:r>
            <w:r>
              <w:rPr>
                <w:rFonts w:hint="eastAsia"/>
                <w:b/>
                <w:bCs/>
                <w:color w:val="000000" w:themeColor="text1"/>
                <w:sz w:val="21"/>
                <w:szCs w:val="21"/>
              </w:rPr>
              <w:t>类</w:t>
            </w:r>
          </w:p>
        </w:tc>
      </w:tr>
      <w:tr w:rsidR="005A1A44" w14:paraId="0E937364" w14:textId="77777777">
        <w:trPr>
          <w:jc w:val="center"/>
        </w:trPr>
        <w:tc>
          <w:tcPr>
            <w:tcW w:w="660" w:type="dxa"/>
            <w:shd w:val="clear" w:color="auto" w:fill="auto"/>
            <w:vAlign w:val="center"/>
          </w:tcPr>
          <w:p w14:paraId="0986ACB1"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w:t>
            </w:r>
          </w:p>
        </w:tc>
        <w:tc>
          <w:tcPr>
            <w:tcW w:w="3344" w:type="dxa"/>
            <w:shd w:val="clear" w:color="auto" w:fill="auto"/>
            <w:vAlign w:val="center"/>
          </w:tcPr>
          <w:p w14:paraId="0E9BB050" w14:textId="77777777" w:rsidR="005A1A44" w:rsidRDefault="0008059E">
            <w:pPr>
              <w:widowControl/>
              <w:adjustRightInd w:val="0"/>
              <w:snapToGrid w:val="0"/>
              <w:spacing w:line="240" w:lineRule="auto"/>
              <w:ind w:firstLineChars="0" w:firstLine="0"/>
              <w:jc w:val="center"/>
              <w:textAlignment w:val="center"/>
              <w:rPr>
                <w:color w:val="000000" w:themeColor="text1"/>
                <w:kern w:val="0"/>
                <w:sz w:val="21"/>
                <w:szCs w:val="21"/>
              </w:rPr>
            </w:pPr>
            <w:r>
              <w:rPr>
                <w:rFonts w:hint="eastAsia"/>
                <w:color w:val="000000" w:themeColor="text1"/>
                <w:kern w:val="0"/>
                <w:sz w:val="21"/>
                <w:szCs w:val="21"/>
              </w:rPr>
              <w:t>水温，℃</w:t>
            </w:r>
          </w:p>
        </w:tc>
        <w:tc>
          <w:tcPr>
            <w:tcW w:w="879" w:type="dxa"/>
            <w:tcBorders>
              <w:right w:val="double" w:sz="4" w:space="0" w:color="auto"/>
            </w:tcBorders>
            <w:shd w:val="clear" w:color="auto" w:fill="auto"/>
            <w:vAlign w:val="center"/>
          </w:tcPr>
          <w:p w14:paraId="05C7A567" w14:textId="77777777" w:rsidR="005A1A44" w:rsidRDefault="0008059E">
            <w:pPr>
              <w:widowControl/>
              <w:adjustRightInd w:val="0"/>
              <w:snapToGrid w:val="0"/>
              <w:spacing w:line="240" w:lineRule="auto"/>
              <w:ind w:firstLineChars="0" w:firstLine="0"/>
              <w:jc w:val="center"/>
              <w:textAlignment w:val="center"/>
              <w:rPr>
                <w:color w:val="000000" w:themeColor="text1"/>
                <w:kern w:val="0"/>
                <w:sz w:val="21"/>
                <w:szCs w:val="21"/>
              </w:rPr>
            </w:pPr>
            <w:r>
              <w:rPr>
                <w:color w:val="000000" w:themeColor="text1"/>
                <w:kern w:val="0"/>
                <w:sz w:val="21"/>
                <w:szCs w:val="21"/>
              </w:rPr>
              <w:t>/</w:t>
            </w:r>
          </w:p>
        </w:tc>
        <w:tc>
          <w:tcPr>
            <w:tcW w:w="660" w:type="dxa"/>
            <w:tcBorders>
              <w:left w:val="double" w:sz="4" w:space="0" w:color="auto"/>
              <w:right w:val="single" w:sz="6" w:space="0" w:color="auto"/>
            </w:tcBorders>
            <w:shd w:val="clear" w:color="auto" w:fill="auto"/>
            <w:vAlign w:val="center"/>
          </w:tcPr>
          <w:p w14:paraId="57211B6C"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13</w:t>
            </w:r>
          </w:p>
        </w:tc>
        <w:tc>
          <w:tcPr>
            <w:tcW w:w="2012" w:type="dxa"/>
            <w:tcBorders>
              <w:left w:val="single" w:sz="6" w:space="0" w:color="auto"/>
              <w:right w:val="single" w:sz="4" w:space="0" w:color="auto"/>
            </w:tcBorders>
            <w:shd w:val="clear" w:color="auto" w:fill="auto"/>
            <w:vAlign w:val="center"/>
          </w:tcPr>
          <w:p w14:paraId="2C25ECDE"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氰化物，</w:t>
            </w:r>
            <w:r>
              <w:rPr>
                <w:color w:val="000000" w:themeColor="text1"/>
                <w:kern w:val="0"/>
                <w:sz w:val="21"/>
                <w:szCs w:val="21"/>
              </w:rPr>
              <w:t>mg/L</w:t>
            </w:r>
          </w:p>
        </w:tc>
        <w:tc>
          <w:tcPr>
            <w:tcW w:w="967" w:type="dxa"/>
            <w:tcBorders>
              <w:left w:val="single" w:sz="6" w:space="0" w:color="auto"/>
              <w:right w:val="single" w:sz="4" w:space="0" w:color="auto"/>
            </w:tcBorders>
            <w:shd w:val="clear" w:color="auto" w:fill="auto"/>
            <w:vAlign w:val="center"/>
          </w:tcPr>
          <w:p w14:paraId="45FCCEB9"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w:t>
            </w:r>
            <w:r>
              <w:rPr>
                <w:rFonts w:hint="eastAsia"/>
                <w:color w:val="000000" w:themeColor="text1"/>
                <w:kern w:val="0"/>
                <w:sz w:val="21"/>
                <w:szCs w:val="21"/>
              </w:rPr>
              <w:t>05</w:t>
            </w:r>
          </w:p>
        </w:tc>
      </w:tr>
      <w:tr w:rsidR="005A1A44" w14:paraId="71E5B6C7" w14:textId="77777777">
        <w:trPr>
          <w:trHeight w:val="248"/>
          <w:jc w:val="center"/>
        </w:trPr>
        <w:tc>
          <w:tcPr>
            <w:tcW w:w="660" w:type="dxa"/>
            <w:shd w:val="clear" w:color="auto" w:fill="auto"/>
            <w:vAlign w:val="center"/>
          </w:tcPr>
          <w:p w14:paraId="49BE712F"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2</w:t>
            </w:r>
          </w:p>
        </w:tc>
        <w:tc>
          <w:tcPr>
            <w:tcW w:w="3344" w:type="dxa"/>
            <w:shd w:val="clear" w:color="auto" w:fill="auto"/>
            <w:vAlign w:val="center"/>
          </w:tcPr>
          <w:p w14:paraId="2A08F835" w14:textId="77777777" w:rsidR="005A1A44" w:rsidRDefault="0008059E">
            <w:pPr>
              <w:widowControl/>
              <w:adjustRightInd w:val="0"/>
              <w:snapToGrid w:val="0"/>
              <w:spacing w:line="240" w:lineRule="auto"/>
              <w:ind w:firstLineChars="0" w:firstLine="0"/>
              <w:jc w:val="center"/>
              <w:textAlignment w:val="center"/>
              <w:rPr>
                <w:color w:val="000000" w:themeColor="text1"/>
                <w:kern w:val="0"/>
                <w:sz w:val="21"/>
                <w:szCs w:val="21"/>
              </w:rPr>
            </w:pPr>
            <w:r>
              <w:rPr>
                <w:color w:val="000000" w:themeColor="text1"/>
                <w:kern w:val="0"/>
                <w:sz w:val="21"/>
                <w:szCs w:val="21"/>
              </w:rPr>
              <w:t>pH</w:t>
            </w:r>
            <w:r>
              <w:rPr>
                <w:rFonts w:hint="eastAsia"/>
                <w:color w:val="000000" w:themeColor="text1"/>
                <w:kern w:val="0"/>
                <w:sz w:val="21"/>
                <w:szCs w:val="21"/>
              </w:rPr>
              <w:t>（无量纲）</w:t>
            </w:r>
          </w:p>
        </w:tc>
        <w:tc>
          <w:tcPr>
            <w:tcW w:w="879" w:type="dxa"/>
            <w:tcBorders>
              <w:right w:val="double" w:sz="4" w:space="0" w:color="auto"/>
            </w:tcBorders>
            <w:shd w:val="clear" w:color="auto" w:fill="auto"/>
            <w:vAlign w:val="center"/>
          </w:tcPr>
          <w:p w14:paraId="3526E4D1" w14:textId="77777777" w:rsidR="005A1A44" w:rsidRDefault="0008059E">
            <w:pPr>
              <w:widowControl/>
              <w:adjustRightInd w:val="0"/>
              <w:snapToGrid w:val="0"/>
              <w:spacing w:line="240" w:lineRule="auto"/>
              <w:ind w:firstLineChars="0" w:firstLine="0"/>
              <w:jc w:val="center"/>
              <w:textAlignment w:val="center"/>
              <w:rPr>
                <w:color w:val="000000" w:themeColor="text1"/>
                <w:kern w:val="0"/>
                <w:sz w:val="21"/>
                <w:szCs w:val="21"/>
              </w:rPr>
            </w:pPr>
            <w:r>
              <w:rPr>
                <w:color w:val="000000" w:themeColor="text1"/>
                <w:kern w:val="0"/>
                <w:sz w:val="21"/>
                <w:szCs w:val="21"/>
              </w:rPr>
              <w:t>6~9</w:t>
            </w:r>
          </w:p>
        </w:tc>
        <w:tc>
          <w:tcPr>
            <w:tcW w:w="660" w:type="dxa"/>
            <w:tcBorders>
              <w:left w:val="double" w:sz="4" w:space="0" w:color="auto"/>
              <w:right w:val="single" w:sz="6" w:space="0" w:color="auto"/>
            </w:tcBorders>
            <w:shd w:val="clear" w:color="auto" w:fill="auto"/>
            <w:vAlign w:val="center"/>
          </w:tcPr>
          <w:p w14:paraId="3024FE6B"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14</w:t>
            </w:r>
          </w:p>
        </w:tc>
        <w:tc>
          <w:tcPr>
            <w:tcW w:w="2012" w:type="dxa"/>
            <w:tcBorders>
              <w:left w:val="single" w:sz="6" w:space="0" w:color="auto"/>
              <w:right w:val="single" w:sz="4" w:space="0" w:color="auto"/>
            </w:tcBorders>
            <w:shd w:val="clear" w:color="auto" w:fill="auto"/>
            <w:vAlign w:val="center"/>
          </w:tcPr>
          <w:p w14:paraId="16411635"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石油类，</w:t>
            </w:r>
            <w:r>
              <w:rPr>
                <w:color w:val="000000" w:themeColor="text1"/>
                <w:kern w:val="0"/>
                <w:sz w:val="21"/>
                <w:szCs w:val="21"/>
              </w:rPr>
              <w:t>mg/L</w:t>
            </w:r>
          </w:p>
        </w:tc>
        <w:tc>
          <w:tcPr>
            <w:tcW w:w="967" w:type="dxa"/>
            <w:tcBorders>
              <w:left w:val="single" w:sz="6" w:space="0" w:color="auto"/>
              <w:right w:val="single" w:sz="4" w:space="0" w:color="auto"/>
            </w:tcBorders>
            <w:shd w:val="clear" w:color="auto" w:fill="auto"/>
            <w:vAlign w:val="center"/>
          </w:tcPr>
          <w:p w14:paraId="59FD9FBB"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0.05</w:t>
            </w:r>
          </w:p>
        </w:tc>
      </w:tr>
      <w:tr w:rsidR="005A1A44" w14:paraId="39C13F06" w14:textId="77777777">
        <w:trPr>
          <w:trHeight w:val="90"/>
          <w:jc w:val="center"/>
        </w:trPr>
        <w:tc>
          <w:tcPr>
            <w:tcW w:w="660" w:type="dxa"/>
            <w:shd w:val="clear" w:color="auto" w:fill="auto"/>
            <w:vAlign w:val="center"/>
          </w:tcPr>
          <w:p w14:paraId="14A1D513"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3</w:t>
            </w:r>
          </w:p>
        </w:tc>
        <w:tc>
          <w:tcPr>
            <w:tcW w:w="3344" w:type="dxa"/>
            <w:shd w:val="clear" w:color="auto" w:fill="auto"/>
            <w:vAlign w:val="center"/>
          </w:tcPr>
          <w:p w14:paraId="1F77F938" w14:textId="77777777" w:rsidR="005A1A44" w:rsidRDefault="0008059E">
            <w:pPr>
              <w:widowControl/>
              <w:adjustRightInd w:val="0"/>
              <w:snapToGrid w:val="0"/>
              <w:spacing w:line="240" w:lineRule="auto"/>
              <w:ind w:firstLineChars="0" w:firstLine="0"/>
              <w:jc w:val="center"/>
              <w:textAlignment w:val="center"/>
              <w:rPr>
                <w:color w:val="000000" w:themeColor="text1"/>
                <w:spacing w:val="5"/>
                <w:sz w:val="21"/>
                <w:szCs w:val="21"/>
              </w:rPr>
            </w:pPr>
            <w:r>
              <w:rPr>
                <w:rFonts w:hint="eastAsia"/>
                <w:color w:val="000000" w:themeColor="text1"/>
                <w:kern w:val="0"/>
                <w:sz w:val="21"/>
                <w:szCs w:val="21"/>
              </w:rPr>
              <w:t>高锰酸盐指数（</w:t>
            </w:r>
            <w:r>
              <w:rPr>
                <w:rStyle w:val="font21"/>
                <w:color w:val="000000" w:themeColor="text1"/>
                <w:sz w:val="21"/>
                <w:szCs w:val="21"/>
              </w:rPr>
              <w:t>CODMn</w:t>
            </w:r>
            <w:r>
              <w:rPr>
                <w:rFonts w:hint="eastAsia"/>
                <w:color w:val="000000" w:themeColor="text1"/>
                <w:kern w:val="0"/>
                <w:sz w:val="21"/>
                <w:szCs w:val="21"/>
              </w:rPr>
              <w:t>），</w:t>
            </w:r>
            <w:r>
              <w:rPr>
                <w:rStyle w:val="font21"/>
                <w:color w:val="000000" w:themeColor="text1"/>
                <w:sz w:val="21"/>
                <w:szCs w:val="21"/>
              </w:rPr>
              <w:t>mg/L</w:t>
            </w:r>
          </w:p>
        </w:tc>
        <w:tc>
          <w:tcPr>
            <w:tcW w:w="879" w:type="dxa"/>
            <w:tcBorders>
              <w:right w:val="double" w:sz="4" w:space="0" w:color="auto"/>
            </w:tcBorders>
            <w:shd w:val="clear" w:color="auto" w:fill="auto"/>
            <w:vAlign w:val="center"/>
          </w:tcPr>
          <w:p w14:paraId="58A09F7A" w14:textId="77777777" w:rsidR="005A1A44" w:rsidRDefault="0008059E">
            <w:pPr>
              <w:widowControl/>
              <w:adjustRightInd w:val="0"/>
              <w:snapToGrid w:val="0"/>
              <w:spacing w:line="240" w:lineRule="auto"/>
              <w:ind w:firstLineChars="0" w:firstLine="0"/>
              <w:jc w:val="center"/>
              <w:textAlignment w:val="center"/>
              <w:rPr>
                <w:rFonts w:eastAsia="宋体"/>
                <w:color w:val="000000" w:themeColor="text1"/>
                <w:sz w:val="21"/>
                <w:szCs w:val="21"/>
              </w:rPr>
            </w:pPr>
            <w:r>
              <w:rPr>
                <w:rFonts w:eastAsia="宋体" w:hint="eastAsia"/>
                <w:color w:val="000000" w:themeColor="text1"/>
                <w:kern w:val="0"/>
                <w:sz w:val="21"/>
                <w:szCs w:val="21"/>
              </w:rPr>
              <w:t>4</w:t>
            </w:r>
          </w:p>
        </w:tc>
        <w:tc>
          <w:tcPr>
            <w:tcW w:w="660" w:type="dxa"/>
            <w:tcBorders>
              <w:left w:val="double" w:sz="4" w:space="0" w:color="auto"/>
              <w:right w:val="single" w:sz="6" w:space="0" w:color="auto"/>
            </w:tcBorders>
            <w:shd w:val="clear" w:color="auto" w:fill="auto"/>
            <w:vAlign w:val="center"/>
          </w:tcPr>
          <w:p w14:paraId="2512E5C3"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15</w:t>
            </w:r>
          </w:p>
        </w:tc>
        <w:tc>
          <w:tcPr>
            <w:tcW w:w="2012" w:type="dxa"/>
            <w:tcBorders>
              <w:left w:val="single" w:sz="6" w:space="0" w:color="auto"/>
              <w:right w:val="single" w:sz="4" w:space="0" w:color="auto"/>
            </w:tcBorders>
            <w:shd w:val="clear" w:color="auto" w:fill="auto"/>
            <w:vAlign w:val="center"/>
          </w:tcPr>
          <w:p w14:paraId="61052688"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粪大肠菌群，</w:t>
            </w:r>
            <w:r>
              <w:rPr>
                <w:color w:val="000000" w:themeColor="text1"/>
                <w:kern w:val="0"/>
                <w:sz w:val="21"/>
                <w:szCs w:val="21"/>
              </w:rPr>
              <w:t>MPN/L</w:t>
            </w:r>
          </w:p>
        </w:tc>
        <w:tc>
          <w:tcPr>
            <w:tcW w:w="967" w:type="dxa"/>
            <w:tcBorders>
              <w:left w:val="single" w:sz="6" w:space="0" w:color="auto"/>
              <w:right w:val="single" w:sz="4" w:space="0" w:color="auto"/>
            </w:tcBorders>
            <w:shd w:val="clear" w:color="auto" w:fill="auto"/>
            <w:vAlign w:val="center"/>
          </w:tcPr>
          <w:p w14:paraId="1DA40E31" w14:textId="77777777" w:rsidR="005A1A44" w:rsidRDefault="0008059E">
            <w:pPr>
              <w:widowControl/>
              <w:adjustRightInd w:val="0"/>
              <w:snapToGrid w:val="0"/>
              <w:spacing w:line="240" w:lineRule="auto"/>
              <w:ind w:firstLineChars="0" w:firstLine="0"/>
              <w:jc w:val="center"/>
              <w:textAlignment w:val="center"/>
              <w:rPr>
                <w:rFonts w:eastAsia="宋体"/>
                <w:color w:val="000000" w:themeColor="text1"/>
                <w:sz w:val="21"/>
                <w:szCs w:val="21"/>
              </w:rPr>
            </w:pPr>
            <w:r>
              <w:rPr>
                <w:color w:val="000000" w:themeColor="text1"/>
                <w:kern w:val="0"/>
                <w:sz w:val="21"/>
                <w:szCs w:val="21"/>
              </w:rPr>
              <w:t>2</w:t>
            </w:r>
            <w:r>
              <w:rPr>
                <w:rFonts w:hint="eastAsia"/>
                <w:color w:val="000000" w:themeColor="text1"/>
                <w:kern w:val="0"/>
                <w:sz w:val="21"/>
                <w:szCs w:val="21"/>
              </w:rPr>
              <w:t>000</w:t>
            </w:r>
          </w:p>
        </w:tc>
      </w:tr>
      <w:tr w:rsidR="005A1A44" w14:paraId="1D284BE8" w14:textId="77777777">
        <w:trPr>
          <w:jc w:val="center"/>
        </w:trPr>
        <w:tc>
          <w:tcPr>
            <w:tcW w:w="660" w:type="dxa"/>
            <w:shd w:val="clear" w:color="auto" w:fill="auto"/>
            <w:vAlign w:val="center"/>
          </w:tcPr>
          <w:p w14:paraId="459B9F1F"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4</w:t>
            </w:r>
          </w:p>
        </w:tc>
        <w:tc>
          <w:tcPr>
            <w:tcW w:w="3344" w:type="dxa"/>
            <w:shd w:val="clear" w:color="auto" w:fill="auto"/>
            <w:vAlign w:val="center"/>
          </w:tcPr>
          <w:p w14:paraId="7E344F36" w14:textId="77777777" w:rsidR="005A1A44" w:rsidRDefault="0008059E">
            <w:pPr>
              <w:widowControl/>
              <w:adjustRightInd w:val="0"/>
              <w:snapToGrid w:val="0"/>
              <w:spacing w:line="240" w:lineRule="auto"/>
              <w:ind w:firstLineChars="0" w:firstLine="0"/>
              <w:jc w:val="center"/>
              <w:textAlignment w:val="center"/>
              <w:rPr>
                <w:color w:val="000000" w:themeColor="text1"/>
                <w:spacing w:val="5"/>
                <w:sz w:val="21"/>
                <w:szCs w:val="21"/>
              </w:rPr>
            </w:pPr>
            <w:r>
              <w:rPr>
                <w:rFonts w:hint="eastAsia"/>
                <w:color w:val="000000" w:themeColor="text1"/>
                <w:kern w:val="0"/>
                <w:sz w:val="21"/>
                <w:szCs w:val="21"/>
              </w:rPr>
              <w:t>化学需氧量（</w:t>
            </w:r>
            <w:r>
              <w:rPr>
                <w:rStyle w:val="font21"/>
                <w:color w:val="000000" w:themeColor="text1"/>
                <w:sz w:val="21"/>
                <w:szCs w:val="21"/>
              </w:rPr>
              <w:t>CODCr</w:t>
            </w:r>
            <w:r>
              <w:rPr>
                <w:rFonts w:hint="eastAsia"/>
                <w:color w:val="000000" w:themeColor="text1"/>
                <w:kern w:val="0"/>
                <w:sz w:val="21"/>
                <w:szCs w:val="21"/>
              </w:rPr>
              <w:t>），</w:t>
            </w:r>
            <w:r>
              <w:rPr>
                <w:rStyle w:val="font21"/>
                <w:color w:val="000000" w:themeColor="text1"/>
                <w:sz w:val="21"/>
                <w:szCs w:val="21"/>
              </w:rPr>
              <w:t>mg/L</w:t>
            </w:r>
          </w:p>
        </w:tc>
        <w:tc>
          <w:tcPr>
            <w:tcW w:w="879" w:type="dxa"/>
            <w:tcBorders>
              <w:right w:val="double" w:sz="4" w:space="0" w:color="auto"/>
            </w:tcBorders>
            <w:shd w:val="clear" w:color="auto" w:fill="auto"/>
            <w:vAlign w:val="center"/>
          </w:tcPr>
          <w:p w14:paraId="37CFBA7C" w14:textId="77777777" w:rsidR="005A1A44" w:rsidRDefault="0008059E">
            <w:pPr>
              <w:widowControl/>
              <w:adjustRightInd w:val="0"/>
              <w:snapToGrid w:val="0"/>
              <w:spacing w:line="240" w:lineRule="auto"/>
              <w:ind w:firstLineChars="0" w:firstLine="0"/>
              <w:jc w:val="center"/>
              <w:textAlignment w:val="center"/>
              <w:rPr>
                <w:rFonts w:eastAsia="宋体"/>
                <w:color w:val="000000" w:themeColor="text1"/>
                <w:sz w:val="21"/>
                <w:szCs w:val="21"/>
              </w:rPr>
            </w:pPr>
            <w:r>
              <w:rPr>
                <w:rFonts w:eastAsia="宋体" w:hint="eastAsia"/>
                <w:color w:val="000000" w:themeColor="text1"/>
                <w:kern w:val="0"/>
                <w:sz w:val="21"/>
                <w:szCs w:val="21"/>
              </w:rPr>
              <w:t>15</w:t>
            </w:r>
          </w:p>
        </w:tc>
        <w:tc>
          <w:tcPr>
            <w:tcW w:w="660" w:type="dxa"/>
            <w:tcBorders>
              <w:left w:val="double" w:sz="4" w:space="0" w:color="auto"/>
              <w:right w:val="single" w:sz="6" w:space="0" w:color="auto"/>
            </w:tcBorders>
            <w:shd w:val="clear" w:color="auto" w:fill="auto"/>
            <w:vAlign w:val="center"/>
          </w:tcPr>
          <w:p w14:paraId="3732083B"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16</w:t>
            </w:r>
          </w:p>
        </w:tc>
        <w:tc>
          <w:tcPr>
            <w:tcW w:w="2012" w:type="dxa"/>
            <w:tcBorders>
              <w:left w:val="single" w:sz="6" w:space="0" w:color="auto"/>
              <w:right w:val="single" w:sz="4" w:space="0" w:color="auto"/>
            </w:tcBorders>
            <w:shd w:val="clear" w:color="auto" w:fill="auto"/>
            <w:vAlign w:val="center"/>
          </w:tcPr>
          <w:p w14:paraId="15728977"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铬（六价），</w:t>
            </w:r>
            <w:r>
              <w:rPr>
                <w:color w:val="000000" w:themeColor="text1"/>
                <w:kern w:val="0"/>
                <w:sz w:val="21"/>
                <w:szCs w:val="21"/>
              </w:rPr>
              <w:t>mg/L</w:t>
            </w:r>
          </w:p>
        </w:tc>
        <w:tc>
          <w:tcPr>
            <w:tcW w:w="967" w:type="dxa"/>
            <w:tcBorders>
              <w:left w:val="single" w:sz="6" w:space="0" w:color="auto"/>
              <w:right w:val="single" w:sz="4" w:space="0" w:color="auto"/>
            </w:tcBorders>
            <w:shd w:val="clear" w:color="auto" w:fill="auto"/>
            <w:vAlign w:val="center"/>
          </w:tcPr>
          <w:p w14:paraId="66105F63"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0.05</w:t>
            </w:r>
          </w:p>
        </w:tc>
      </w:tr>
      <w:tr w:rsidR="005A1A44" w14:paraId="446D338B" w14:textId="77777777">
        <w:trPr>
          <w:jc w:val="center"/>
        </w:trPr>
        <w:tc>
          <w:tcPr>
            <w:tcW w:w="660" w:type="dxa"/>
            <w:shd w:val="clear" w:color="auto" w:fill="auto"/>
            <w:vAlign w:val="center"/>
          </w:tcPr>
          <w:p w14:paraId="2DF4CF2F"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5</w:t>
            </w:r>
          </w:p>
        </w:tc>
        <w:tc>
          <w:tcPr>
            <w:tcW w:w="3344" w:type="dxa"/>
            <w:shd w:val="clear" w:color="auto" w:fill="auto"/>
            <w:vAlign w:val="center"/>
          </w:tcPr>
          <w:p w14:paraId="23BD17FD"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五日生化需氧量（</w:t>
            </w:r>
            <w:r>
              <w:rPr>
                <w:rStyle w:val="font21"/>
                <w:color w:val="000000" w:themeColor="text1"/>
                <w:sz w:val="21"/>
                <w:szCs w:val="21"/>
              </w:rPr>
              <w:t>BOD5</w:t>
            </w:r>
            <w:r>
              <w:rPr>
                <w:rFonts w:hint="eastAsia"/>
                <w:color w:val="000000" w:themeColor="text1"/>
                <w:kern w:val="0"/>
                <w:sz w:val="21"/>
                <w:szCs w:val="21"/>
              </w:rPr>
              <w:t>），</w:t>
            </w:r>
            <w:r>
              <w:rPr>
                <w:rStyle w:val="font21"/>
                <w:color w:val="000000" w:themeColor="text1"/>
                <w:sz w:val="21"/>
                <w:szCs w:val="21"/>
              </w:rPr>
              <w:t>mg/L</w:t>
            </w:r>
          </w:p>
        </w:tc>
        <w:tc>
          <w:tcPr>
            <w:tcW w:w="879" w:type="dxa"/>
            <w:tcBorders>
              <w:right w:val="double" w:sz="4" w:space="0" w:color="auto"/>
            </w:tcBorders>
            <w:shd w:val="clear" w:color="auto" w:fill="auto"/>
            <w:vAlign w:val="center"/>
          </w:tcPr>
          <w:p w14:paraId="284E1D8D" w14:textId="77777777" w:rsidR="005A1A44" w:rsidRDefault="0008059E">
            <w:pPr>
              <w:widowControl/>
              <w:adjustRightInd w:val="0"/>
              <w:snapToGrid w:val="0"/>
              <w:spacing w:line="240" w:lineRule="auto"/>
              <w:ind w:firstLineChars="0" w:firstLine="0"/>
              <w:jc w:val="center"/>
              <w:textAlignment w:val="center"/>
              <w:rPr>
                <w:rFonts w:eastAsia="宋体"/>
                <w:color w:val="000000" w:themeColor="text1"/>
                <w:sz w:val="21"/>
                <w:szCs w:val="21"/>
              </w:rPr>
            </w:pPr>
            <w:r>
              <w:rPr>
                <w:rFonts w:eastAsia="宋体" w:hint="eastAsia"/>
                <w:color w:val="000000" w:themeColor="text1"/>
                <w:kern w:val="0"/>
                <w:sz w:val="21"/>
                <w:szCs w:val="21"/>
              </w:rPr>
              <w:t>3</w:t>
            </w:r>
          </w:p>
        </w:tc>
        <w:tc>
          <w:tcPr>
            <w:tcW w:w="660" w:type="dxa"/>
            <w:tcBorders>
              <w:left w:val="double" w:sz="4" w:space="0" w:color="auto"/>
              <w:right w:val="single" w:sz="6" w:space="0" w:color="auto"/>
            </w:tcBorders>
            <w:shd w:val="clear" w:color="auto" w:fill="auto"/>
            <w:vAlign w:val="center"/>
          </w:tcPr>
          <w:p w14:paraId="57D07F7D"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17</w:t>
            </w:r>
          </w:p>
        </w:tc>
        <w:tc>
          <w:tcPr>
            <w:tcW w:w="2012" w:type="dxa"/>
            <w:tcBorders>
              <w:left w:val="single" w:sz="6" w:space="0" w:color="auto"/>
              <w:right w:val="single" w:sz="4" w:space="0" w:color="auto"/>
            </w:tcBorders>
            <w:shd w:val="clear" w:color="auto" w:fill="auto"/>
            <w:vAlign w:val="center"/>
          </w:tcPr>
          <w:p w14:paraId="74B7D35F"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铜，</w:t>
            </w:r>
            <w:r>
              <w:rPr>
                <w:color w:val="000000" w:themeColor="text1"/>
                <w:kern w:val="0"/>
                <w:sz w:val="21"/>
                <w:szCs w:val="21"/>
              </w:rPr>
              <w:t>mg/L</w:t>
            </w:r>
          </w:p>
        </w:tc>
        <w:tc>
          <w:tcPr>
            <w:tcW w:w="967" w:type="dxa"/>
            <w:tcBorders>
              <w:left w:val="single" w:sz="6" w:space="0" w:color="auto"/>
              <w:right w:val="single" w:sz="4" w:space="0" w:color="auto"/>
            </w:tcBorders>
            <w:shd w:val="clear" w:color="auto" w:fill="auto"/>
            <w:vAlign w:val="center"/>
          </w:tcPr>
          <w:p w14:paraId="4B34D21B"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1</w:t>
            </w:r>
            <w:r>
              <w:rPr>
                <w:rFonts w:hint="eastAsia"/>
                <w:color w:val="000000" w:themeColor="text1"/>
                <w:kern w:val="0"/>
                <w:sz w:val="21"/>
                <w:szCs w:val="21"/>
              </w:rPr>
              <w:t>.0</w:t>
            </w:r>
          </w:p>
        </w:tc>
      </w:tr>
      <w:tr w:rsidR="005A1A44" w14:paraId="50C87006" w14:textId="77777777">
        <w:trPr>
          <w:jc w:val="center"/>
        </w:trPr>
        <w:tc>
          <w:tcPr>
            <w:tcW w:w="660" w:type="dxa"/>
            <w:shd w:val="clear" w:color="auto" w:fill="auto"/>
            <w:vAlign w:val="center"/>
          </w:tcPr>
          <w:p w14:paraId="2C5F3E41"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6</w:t>
            </w:r>
          </w:p>
        </w:tc>
        <w:tc>
          <w:tcPr>
            <w:tcW w:w="3344" w:type="dxa"/>
            <w:shd w:val="clear" w:color="auto" w:fill="auto"/>
            <w:vAlign w:val="center"/>
          </w:tcPr>
          <w:p w14:paraId="5CE40686"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阴离子表面活性剂（</w:t>
            </w:r>
            <w:r>
              <w:rPr>
                <w:rStyle w:val="font21"/>
                <w:color w:val="000000" w:themeColor="text1"/>
                <w:sz w:val="21"/>
                <w:szCs w:val="21"/>
              </w:rPr>
              <w:t>LAS</w:t>
            </w:r>
            <w:r>
              <w:rPr>
                <w:rFonts w:hint="eastAsia"/>
                <w:color w:val="000000" w:themeColor="text1"/>
                <w:kern w:val="0"/>
                <w:sz w:val="21"/>
                <w:szCs w:val="21"/>
              </w:rPr>
              <w:t>），</w:t>
            </w:r>
            <w:r>
              <w:rPr>
                <w:rStyle w:val="font21"/>
                <w:color w:val="000000" w:themeColor="text1"/>
                <w:sz w:val="21"/>
                <w:szCs w:val="21"/>
              </w:rPr>
              <w:t>mg/L</w:t>
            </w:r>
          </w:p>
        </w:tc>
        <w:tc>
          <w:tcPr>
            <w:tcW w:w="879" w:type="dxa"/>
            <w:tcBorders>
              <w:right w:val="double" w:sz="4" w:space="0" w:color="auto"/>
            </w:tcBorders>
            <w:shd w:val="clear" w:color="auto" w:fill="auto"/>
            <w:vAlign w:val="center"/>
          </w:tcPr>
          <w:p w14:paraId="32DB2463"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0.2</w:t>
            </w:r>
          </w:p>
        </w:tc>
        <w:tc>
          <w:tcPr>
            <w:tcW w:w="660" w:type="dxa"/>
            <w:tcBorders>
              <w:left w:val="double" w:sz="4" w:space="0" w:color="auto"/>
              <w:right w:val="single" w:sz="6" w:space="0" w:color="auto"/>
            </w:tcBorders>
            <w:shd w:val="clear" w:color="auto" w:fill="auto"/>
            <w:vAlign w:val="center"/>
          </w:tcPr>
          <w:p w14:paraId="1C0FBE69"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18</w:t>
            </w:r>
          </w:p>
        </w:tc>
        <w:tc>
          <w:tcPr>
            <w:tcW w:w="2012" w:type="dxa"/>
            <w:tcBorders>
              <w:left w:val="single" w:sz="6" w:space="0" w:color="auto"/>
              <w:right w:val="single" w:sz="4" w:space="0" w:color="auto"/>
            </w:tcBorders>
            <w:shd w:val="clear" w:color="auto" w:fill="auto"/>
            <w:vAlign w:val="center"/>
          </w:tcPr>
          <w:p w14:paraId="230890D2"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锌，</w:t>
            </w:r>
            <w:r>
              <w:rPr>
                <w:color w:val="000000" w:themeColor="text1"/>
                <w:kern w:val="0"/>
                <w:sz w:val="21"/>
                <w:szCs w:val="21"/>
              </w:rPr>
              <w:t>mg/L</w:t>
            </w:r>
          </w:p>
        </w:tc>
        <w:tc>
          <w:tcPr>
            <w:tcW w:w="967" w:type="dxa"/>
            <w:tcBorders>
              <w:left w:val="single" w:sz="6" w:space="0" w:color="auto"/>
              <w:right w:val="single" w:sz="4" w:space="0" w:color="auto"/>
            </w:tcBorders>
            <w:shd w:val="clear" w:color="auto" w:fill="auto"/>
            <w:vAlign w:val="center"/>
          </w:tcPr>
          <w:p w14:paraId="1AA8977E"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1</w:t>
            </w:r>
            <w:r>
              <w:rPr>
                <w:rFonts w:hint="eastAsia"/>
                <w:color w:val="000000" w:themeColor="text1"/>
                <w:kern w:val="0"/>
                <w:sz w:val="21"/>
                <w:szCs w:val="21"/>
              </w:rPr>
              <w:t>.0</w:t>
            </w:r>
          </w:p>
        </w:tc>
      </w:tr>
      <w:tr w:rsidR="005A1A44" w14:paraId="4568D5FB" w14:textId="77777777">
        <w:trPr>
          <w:trHeight w:val="234"/>
          <w:jc w:val="center"/>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347E7950"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7</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14:paraId="7300B173"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挥发酚类（以苯酚计），</w:t>
            </w:r>
            <w:r>
              <w:rPr>
                <w:rStyle w:val="font21"/>
                <w:color w:val="000000" w:themeColor="text1"/>
                <w:sz w:val="21"/>
                <w:szCs w:val="21"/>
              </w:rPr>
              <w:t>mg/L</w:t>
            </w:r>
          </w:p>
        </w:tc>
        <w:tc>
          <w:tcPr>
            <w:tcW w:w="879" w:type="dxa"/>
            <w:tcBorders>
              <w:top w:val="single" w:sz="4" w:space="0" w:color="auto"/>
              <w:left w:val="single" w:sz="4" w:space="0" w:color="auto"/>
              <w:bottom w:val="single" w:sz="4" w:space="0" w:color="auto"/>
              <w:right w:val="double" w:sz="4" w:space="0" w:color="auto"/>
            </w:tcBorders>
            <w:shd w:val="clear" w:color="auto" w:fill="auto"/>
            <w:vAlign w:val="center"/>
          </w:tcPr>
          <w:p w14:paraId="7CA47C3D"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0.002</w:t>
            </w:r>
          </w:p>
        </w:tc>
        <w:tc>
          <w:tcPr>
            <w:tcW w:w="660" w:type="dxa"/>
            <w:tcBorders>
              <w:top w:val="single" w:sz="4" w:space="0" w:color="auto"/>
              <w:left w:val="double" w:sz="4" w:space="0" w:color="auto"/>
              <w:bottom w:val="single" w:sz="4" w:space="0" w:color="auto"/>
              <w:right w:val="single" w:sz="6" w:space="0" w:color="auto"/>
            </w:tcBorders>
            <w:shd w:val="clear" w:color="auto" w:fill="auto"/>
            <w:vAlign w:val="center"/>
          </w:tcPr>
          <w:p w14:paraId="4D3F2CEA"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19</w:t>
            </w:r>
          </w:p>
        </w:tc>
        <w:tc>
          <w:tcPr>
            <w:tcW w:w="2012" w:type="dxa"/>
            <w:tcBorders>
              <w:top w:val="single" w:sz="4" w:space="0" w:color="auto"/>
              <w:left w:val="single" w:sz="6" w:space="0" w:color="auto"/>
              <w:bottom w:val="single" w:sz="4" w:space="0" w:color="auto"/>
              <w:right w:val="single" w:sz="4" w:space="0" w:color="auto"/>
            </w:tcBorders>
            <w:shd w:val="clear" w:color="auto" w:fill="auto"/>
            <w:vAlign w:val="center"/>
          </w:tcPr>
          <w:p w14:paraId="0BAAF77C"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硒，</w:t>
            </w:r>
            <w:r>
              <w:rPr>
                <w:color w:val="000000" w:themeColor="text1"/>
                <w:kern w:val="0"/>
                <w:sz w:val="21"/>
                <w:szCs w:val="21"/>
              </w:rPr>
              <w:t>mg/L</w:t>
            </w:r>
          </w:p>
        </w:tc>
        <w:tc>
          <w:tcPr>
            <w:tcW w:w="967" w:type="dxa"/>
            <w:tcBorders>
              <w:top w:val="single" w:sz="4" w:space="0" w:color="auto"/>
              <w:left w:val="single" w:sz="6" w:space="0" w:color="auto"/>
              <w:bottom w:val="single" w:sz="4" w:space="0" w:color="auto"/>
              <w:right w:val="single" w:sz="4" w:space="0" w:color="auto"/>
            </w:tcBorders>
            <w:shd w:val="clear" w:color="auto" w:fill="auto"/>
            <w:vAlign w:val="center"/>
          </w:tcPr>
          <w:p w14:paraId="38E507CB"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0.01</w:t>
            </w:r>
          </w:p>
        </w:tc>
      </w:tr>
      <w:tr w:rsidR="005A1A44" w14:paraId="3F96A011" w14:textId="77777777">
        <w:trPr>
          <w:jc w:val="center"/>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61E5D2DA"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8</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14:paraId="48D6D8C6"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氨氮，</w:t>
            </w:r>
            <w:r>
              <w:rPr>
                <w:rStyle w:val="font21"/>
                <w:color w:val="000000" w:themeColor="text1"/>
                <w:sz w:val="21"/>
                <w:szCs w:val="21"/>
              </w:rPr>
              <w:t>mg/L</w:t>
            </w:r>
          </w:p>
        </w:tc>
        <w:tc>
          <w:tcPr>
            <w:tcW w:w="879" w:type="dxa"/>
            <w:tcBorders>
              <w:top w:val="single" w:sz="4" w:space="0" w:color="auto"/>
              <w:left w:val="single" w:sz="4" w:space="0" w:color="auto"/>
              <w:bottom w:val="single" w:sz="4" w:space="0" w:color="auto"/>
              <w:right w:val="double" w:sz="4" w:space="0" w:color="auto"/>
            </w:tcBorders>
            <w:shd w:val="clear" w:color="auto" w:fill="auto"/>
            <w:vAlign w:val="center"/>
          </w:tcPr>
          <w:p w14:paraId="75470D20" w14:textId="77777777" w:rsidR="005A1A44" w:rsidRDefault="0008059E">
            <w:pPr>
              <w:widowControl/>
              <w:adjustRightInd w:val="0"/>
              <w:snapToGrid w:val="0"/>
              <w:spacing w:line="240" w:lineRule="auto"/>
              <w:ind w:firstLineChars="0" w:firstLine="0"/>
              <w:jc w:val="center"/>
              <w:textAlignment w:val="center"/>
              <w:rPr>
                <w:rFonts w:eastAsia="宋体"/>
                <w:color w:val="000000" w:themeColor="text1"/>
                <w:sz w:val="21"/>
                <w:szCs w:val="21"/>
              </w:rPr>
            </w:pPr>
            <w:r>
              <w:rPr>
                <w:rFonts w:eastAsia="宋体" w:hint="eastAsia"/>
                <w:color w:val="000000" w:themeColor="text1"/>
                <w:sz w:val="21"/>
                <w:szCs w:val="21"/>
              </w:rPr>
              <w:t>0.5</w:t>
            </w:r>
          </w:p>
        </w:tc>
        <w:tc>
          <w:tcPr>
            <w:tcW w:w="660" w:type="dxa"/>
            <w:tcBorders>
              <w:top w:val="single" w:sz="4" w:space="0" w:color="auto"/>
              <w:left w:val="double" w:sz="4" w:space="0" w:color="auto"/>
              <w:bottom w:val="single" w:sz="4" w:space="0" w:color="auto"/>
              <w:right w:val="single" w:sz="6" w:space="0" w:color="auto"/>
            </w:tcBorders>
            <w:shd w:val="clear" w:color="auto" w:fill="auto"/>
            <w:vAlign w:val="center"/>
          </w:tcPr>
          <w:p w14:paraId="41CF85BA"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20</w:t>
            </w:r>
          </w:p>
        </w:tc>
        <w:tc>
          <w:tcPr>
            <w:tcW w:w="2012" w:type="dxa"/>
            <w:tcBorders>
              <w:top w:val="single" w:sz="4" w:space="0" w:color="auto"/>
              <w:left w:val="single" w:sz="6" w:space="0" w:color="auto"/>
              <w:bottom w:val="single" w:sz="4" w:space="0" w:color="auto"/>
              <w:right w:val="single" w:sz="4" w:space="0" w:color="auto"/>
            </w:tcBorders>
            <w:shd w:val="clear" w:color="auto" w:fill="auto"/>
            <w:vAlign w:val="center"/>
          </w:tcPr>
          <w:p w14:paraId="514A0936"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砷，</w:t>
            </w:r>
            <w:r>
              <w:rPr>
                <w:color w:val="000000" w:themeColor="text1"/>
                <w:kern w:val="0"/>
                <w:sz w:val="21"/>
                <w:szCs w:val="21"/>
              </w:rPr>
              <w:t>mg/L</w:t>
            </w:r>
          </w:p>
        </w:tc>
        <w:tc>
          <w:tcPr>
            <w:tcW w:w="967" w:type="dxa"/>
            <w:tcBorders>
              <w:top w:val="single" w:sz="4" w:space="0" w:color="auto"/>
              <w:left w:val="single" w:sz="6" w:space="0" w:color="auto"/>
              <w:bottom w:val="single" w:sz="4" w:space="0" w:color="auto"/>
              <w:right w:val="single" w:sz="4" w:space="0" w:color="auto"/>
            </w:tcBorders>
            <w:shd w:val="clear" w:color="auto" w:fill="auto"/>
            <w:vAlign w:val="center"/>
          </w:tcPr>
          <w:p w14:paraId="205031E3"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0.05</w:t>
            </w:r>
          </w:p>
        </w:tc>
      </w:tr>
      <w:tr w:rsidR="005A1A44" w14:paraId="39F9FA57" w14:textId="77777777">
        <w:trPr>
          <w:jc w:val="center"/>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10877469"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9</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14:paraId="37899784"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总磷（以</w:t>
            </w:r>
            <w:r>
              <w:rPr>
                <w:rStyle w:val="font21"/>
                <w:color w:val="000000" w:themeColor="text1"/>
                <w:sz w:val="21"/>
                <w:szCs w:val="21"/>
              </w:rPr>
              <w:t>P</w:t>
            </w:r>
            <w:r>
              <w:rPr>
                <w:rFonts w:hint="eastAsia"/>
                <w:color w:val="000000" w:themeColor="text1"/>
                <w:kern w:val="0"/>
                <w:sz w:val="21"/>
                <w:szCs w:val="21"/>
              </w:rPr>
              <w:t>计），</w:t>
            </w:r>
            <w:r>
              <w:rPr>
                <w:rStyle w:val="font21"/>
                <w:color w:val="000000" w:themeColor="text1"/>
                <w:sz w:val="21"/>
                <w:szCs w:val="21"/>
              </w:rPr>
              <w:t>mg/L</w:t>
            </w:r>
          </w:p>
        </w:tc>
        <w:tc>
          <w:tcPr>
            <w:tcW w:w="879" w:type="dxa"/>
            <w:tcBorders>
              <w:top w:val="single" w:sz="4" w:space="0" w:color="auto"/>
              <w:left w:val="single" w:sz="4" w:space="0" w:color="auto"/>
              <w:bottom w:val="single" w:sz="4" w:space="0" w:color="auto"/>
              <w:right w:val="double" w:sz="4" w:space="0" w:color="auto"/>
            </w:tcBorders>
            <w:shd w:val="clear" w:color="auto" w:fill="auto"/>
            <w:vAlign w:val="center"/>
          </w:tcPr>
          <w:p w14:paraId="348685B6"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0.1</w:t>
            </w:r>
          </w:p>
        </w:tc>
        <w:tc>
          <w:tcPr>
            <w:tcW w:w="660" w:type="dxa"/>
            <w:tcBorders>
              <w:top w:val="single" w:sz="4" w:space="0" w:color="auto"/>
              <w:left w:val="double" w:sz="4" w:space="0" w:color="auto"/>
              <w:bottom w:val="single" w:sz="4" w:space="0" w:color="auto"/>
              <w:right w:val="single" w:sz="6" w:space="0" w:color="auto"/>
            </w:tcBorders>
            <w:shd w:val="clear" w:color="auto" w:fill="auto"/>
            <w:vAlign w:val="center"/>
          </w:tcPr>
          <w:p w14:paraId="27C45A08"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2</w:t>
            </w:r>
            <w:r>
              <w:rPr>
                <w:rFonts w:hint="eastAsia"/>
                <w:color w:val="000000" w:themeColor="text1"/>
                <w:sz w:val="21"/>
                <w:szCs w:val="21"/>
              </w:rPr>
              <w:t>1</w:t>
            </w:r>
          </w:p>
        </w:tc>
        <w:tc>
          <w:tcPr>
            <w:tcW w:w="2012" w:type="dxa"/>
            <w:tcBorders>
              <w:top w:val="single" w:sz="4" w:space="0" w:color="auto"/>
              <w:left w:val="single" w:sz="6" w:space="0" w:color="auto"/>
              <w:bottom w:val="single" w:sz="4" w:space="0" w:color="auto"/>
              <w:right w:val="single" w:sz="4" w:space="0" w:color="auto"/>
            </w:tcBorders>
            <w:shd w:val="clear" w:color="auto" w:fill="auto"/>
            <w:vAlign w:val="center"/>
          </w:tcPr>
          <w:p w14:paraId="32BEA040"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汞，</w:t>
            </w:r>
            <w:r>
              <w:rPr>
                <w:color w:val="000000" w:themeColor="text1"/>
                <w:kern w:val="0"/>
                <w:sz w:val="21"/>
                <w:szCs w:val="21"/>
              </w:rPr>
              <w:t>mg/L</w:t>
            </w:r>
          </w:p>
        </w:tc>
        <w:tc>
          <w:tcPr>
            <w:tcW w:w="967" w:type="dxa"/>
            <w:tcBorders>
              <w:top w:val="single" w:sz="4" w:space="0" w:color="auto"/>
              <w:left w:val="single" w:sz="6" w:space="0" w:color="auto"/>
              <w:bottom w:val="single" w:sz="4" w:space="0" w:color="auto"/>
              <w:right w:val="single" w:sz="4" w:space="0" w:color="auto"/>
            </w:tcBorders>
            <w:shd w:val="clear" w:color="auto" w:fill="auto"/>
            <w:vAlign w:val="center"/>
          </w:tcPr>
          <w:p w14:paraId="56168BB1"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0.00</w:t>
            </w:r>
            <w:r>
              <w:rPr>
                <w:rFonts w:hint="eastAsia"/>
                <w:color w:val="000000" w:themeColor="text1"/>
                <w:kern w:val="0"/>
                <w:sz w:val="21"/>
                <w:szCs w:val="21"/>
              </w:rPr>
              <w:t>005</w:t>
            </w:r>
          </w:p>
        </w:tc>
      </w:tr>
      <w:tr w:rsidR="005A1A44" w14:paraId="59129E3A" w14:textId="77777777">
        <w:trPr>
          <w:jc w:val="center"/>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4605AACE"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10</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14:paraId="62767A73" w14:textId="77777777" w:rsidR="005A1A44" w:rsidRDefault="0008059E">
            <w:pPr>
              <w:widowControl/>
              <w:adjustRightInd w:val="0"/>
              <w:snapToGrid w:val="0"/>
              <w:spacing w:line="240" w:lineRule="auto"/>
              <w:ind w:firstLineChars="0" w:firstLine="0"/>
              <w:jc w:val="center"/>
              <w:textAlignment w:val="center"/>
              <w:rPr>
                <w:color w:val="000000" w:themeColor="text1"/>
                <w:kern w:val="0"/>
                <w:sz w:val="21"/>
                <w:szCs w:val="21"/>
              </w:rPr>
            </w:pPr>
            <w:r>
              <w:rPr>
                <w:rFonts w:hint="eastAsia"/>
                <w:color w:val="000000" w:themeColor="text1"/>
                <w:kern w:val="0"/>
                <w:sz w:val="21"/>
                <w:szCs w:val="21"/>
              </w:rPr>
              <w:t>总氮（湖、库以</w:t>
            </w:r>
            <w:r>
              <w:rPr>
                <w:rFonts w:hint="eastAsia"/>
                <w:color w:val="000000" w:themeColor="text1"/>
                <w:kern w:val="0"/>
                <w:sz w:val="21"/>
                <w:szCs w:val="21"/>
              </w:rPr>
              <w:t>N</w:t>
            </w:r>
            <w:r>
              <w:rPr>
                <w:rFonts w:hint="eastAsia"/>
                <w:color w:val="000000" w:themeColor="text1"/>
                <w:kern w:val="0"/>
                <w:sz w:val="21"/>
                <w:szCs w:val="21"/>
              </w:rPr>
              <w:t>计），</w:t>
            </w:r>
            <w:r>
              <w:rPr>
                <w:rStyle w:val="font21"/>
                <w:color w:val="000000" w:themeColor="text1"/>
                <w:sz w:val="21"/>
                <w:szCs w:val="21"/>
              </w:rPr>
              <w:t>mg/L</w:t>
            </w:r>
          </w:p>
        </w:tc>
        <w:tc>
          <w:tcPr>
            <w:tcW w:w="879" w:type="dxa"/>
            <w:tcBorders>
              <w:top w:val="single" w:sz="4" w:space="0" w:color="auto"/>
              <w:left w:val="single" w:sz="4" w:space="0" w:color="auto"/>
              <w:bottom w:val="single" w:sz="4" w:space="0" w:color="auto"/>
              <w:right w:val="double" w:sz="4" w:space="0" w:color="auto"/>
            </w:tcBorders>
            <w:shd w:val="clear" w:color="auto" w:fill="auto"/>
            <w:vAlign w:val="center"/>
          </w:tcPr>
          <w:p w14:paraId="764470E8" w14:textId="77777777" w:rsidR="005A1A44" w:rsidRDefault="0008059E">
            <w:pPr>
              <w:widowControl/>
              <w:adjustRightInd w:val="0"/>
              <w:snapToGrid w:val="0"/>
              <w:spacing w:line="240" w:lineRule="auto"/>
              <w:ind w:firstLineChars="0" w:firstLine="0"/>
              <w:jc w:val="center"/>
              <w:textAlignment w:val="center"/>
              <w:rPr>
                <w:color w:val="000000" w:themeColor="text1"/>
                <w:kern w:val="0"/>
                <w:sz w:val="21"/>
                <w:szCs w:val="21"/>
              </w:rPr>
            </w:pPr>
            <w:r>
              <w:rPr>
                <w:rFonts w:hint="eastAsia"/>
                <w:color w:val="000000" w:themeColor="text1"/>
                <w:kern w:val="0"/>
                <w:sz w:val="21"/>
                <w:szCs w:val="21"/>
              </w:rPr>
              <w:t>0.5</w:t>
            </w:r>
          </w:p>
        </w:tc>
        <w:tc>
          <w:tcPr>
            <w:tcW w:w="660" w:type="dxa"/>
            <w:tcBorders>
              <w:top w:val="single" w:sz="4" w:space="0" w:color="auto"/>
              <w:left w:val="double" w:sz="4" w:space="0" w:color="auto"/>
              <w:bottom w:val="single" w:sz="4" w:space="0" w:color="auto"/>
              <w:right w:val="single" w:sz="6" w:space="0" w:color="auto"/>
            </w:tcBorders>
            <w:shd w:val="clear" w:color="auto" w:fill="auto"/>
            <w:vAlign w:val="center"/>
          </w:tcPr>
          <w:p w14:paraId="3AAC5A09"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2</w:t>
            </w:r>
            <w:r>
              <w:rPr>
                <w:rFonts w:hint="eastAsia"/>
                <w:color w:val="000000" w:themeColor="text1"/>
                <w:sz w:val="21"/>
                <w:szCs w:val="21"/>
              </w:rPr>
              <w:t>2</w:t>
            </w:r>
          </w:p>
        </w:tc>
        <w:tc>
          <w:tcPr>
            <w:tcW w:w="2012" w:type="dxa"/>
            <w:tcBorders>
              <w:top w:val="single" w:sz="4" w:space="0" w:color="auto"/>
              <w:left w:val="single" w:sz="6" w:space="0" w:color="auto"/>
              <w:bottom w:val="single" w:sz="4" w:space="0" w:color="auto"/>
              <w:right w:val="single" w:sz="4" w:space="0" w:color="auto"/>
            </w:tcBorders>
            <w:shd w:val="clear" w:color="auto" w:fill="auto"/>
            <w:vAlign w:val="center"/>
          </w:tcPr>
          <w:p w14:paraId="0106D886" w14:textId="77777777" w:rsidR="005A1A44" w:rsidRDefault="0008059E">
            <w:pPr>
              <w:widowControl/>
              <w:adjustRightInd w:val="0"/>
              <w:snapToGrid w:val="0"/>
              <w:spacing w:line="240" w:lineRule="auto"/>
              <w:ind w:firstLineChars="0" w:firstLine="0"/>
              <w:jc w:val="center"/>
              <w:textAlignment w:val="center"/>
              <w:rPr>
                <w:color w:val="000000" w:themeColor="text1"/>
                <w:kern w:val="0"/>
                <w:sz w:val="21"/>
                <w:szCs w:val="21"/>
              </w:rPr>
            </w:pPr>
            <w:r>
              <w:rPr>
                <w:rFonts w:hint="eastAsia"/>
                <w:color w:val="000000" w:themeColor="text1"/>
                <w:kern w:val="0"/>
                <w:sz w:val="21"/>
                <w:szCs w:val="21"/>
              </w:rPr>
              <w:t>镉，</w:t>
            </w:r>
            <w:r>
              <w:rPr>
                <w:color w:val="000000" w:themeColor="text1"/>
                <w:kern w:val="0"/>
                <w:sz w:val="21"/>
                <w:szCs w:val="21"/>
              </w:rPr>
              <w:t>mg/L</w:t>
            </w:r>
          </w:p>
        </w:tc>
        <w:tc>
          <w:tcPr>
            <w:tcW w:w="967" w:type="dxa"/>
            <w:tcBorders>
              <w:top w:val="single" w:sz="4" w:space="0" w:color="auto"/>
              <w:left w:val="single" w:sz="6" w:space="0" w:color="auto"/>
              <w:bottom w:val="single" w:sz="4" w:space="0" w:color="auto"/>
              <w:right w:val="single" w:sz="4" w:space="0" w:color="auto"/>
            </w:tcBorders>
            <w:shd w:val="clear" w:color="auto" w:fill="auto"/>
            <w:vAlign w:val="center"/>
          </w:tcPr>
          <w:p w14:paraId="7EAD4A91" w14:textId="77777777" w:rsidR="005A1A44" w:rsidRDefault="0008059E">
            <w:pPr>
              <w:widowControl/>
              <w:adjustRightInd w:val="0"/>
              <w:snapToGrid w:val="0"/>
              <w:spacing w:line="240" w:lineRule="auto"/>
              <w:ind w:firstLineChars="0" w:firstLine="0"/>
              <w:jc w:val="center"/>
              <w:textAlignment w:val="center"/>
              <w:rPr>
                <w:color w:val="000000" w:themeColor="text1"/>
                <w:kern w:val="0"/>
                <w:sz w:val="21"/>
                <w:szCs w:val="21"/>
              </w:rPr>
            </w:pPr>
            <w:r>
              <w:rPr>
                <w:color w:val="000000" w:themeColor="text1"/>
                <w:kern w:val="0"/>
                <w:sz w:val="21"/>
                <w:szCs w:val="21"/>
              </w:rPr>
              <w:t>0.005</w:t>
            </w:r>
          </w:p>
        </w:tc>
      </w:tr>
      <w:tr w:rsidR="005A1A44" w14:paraId="2D0DDB4B" w14:textId="77777777">
        <w:trPr>
          <w:trHeight w:val="275"/>
          <w:jc w:val="center"/>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3A4CFEB2"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w:t>
            </w:r>
            <w:r>
              <w:rPr>
                <w:rFonts w:hint="eastAsia"/>
                <w:color w:val="000000" w:themeColor="text1"/>
                <w:sz w:val="21"/>
                <w:szCs w:val="21"/>
              </w:rPr>
              <w:t>1</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14:paraId="36D3D485"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硫化物，</w:t>
            </w:r>
            <w:r>
              <w:rPr>
                <w:rStyle w:val="font21"/>
                <w:color w:val="000000" w:themeColor="text1"/>
                <w:sz w:val="21"/>
                <w:szCs w:val="21"/>
              </w:rPr>
              <w:t>mg/L</w:t>
            </w:r>
          </w:p>
        </w:tc>
        <w:tc>
          <w:tcPr>
            <w:tcW w:w="879" w:type="dxa"/>
            <w:tcBorders>
              <w:top w:val="single" w:sz="4" w:space="0" w:color="auto"/>
              <w:left w:val="single" w:sz="4" w:space="0" w:color="auto"/>
              <w:bottom w:val="single" w:sz="4" w:space="0" w:color="auto"/>
              <w:right w:val="double" w:sz="4" w:space="0" w:color="auto"/>
            </w:tcBorders>
            <w:shd w:val="clear" w:color="auto" w:fill="auto"/>
            <w:vAlign w:val="center"/>
          </w:tcPr>
          <w:p w14:paraId="778CD4B2"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w:t>
            </w:r>
            <w:r>
              <w:rPr>
                <w:rFonts w:hint="eastAsia"/>
                <w:color w:val="000000" w:themeColor="text1"/>
                <w:kern w:val="0"/>
                <w:sz w:val="21"/>
                <w:szCs w:val="21"/>
              </w:rPr>
              <w:t>1</w:t>
            </w:r>
          </w:p>
        </w:tc>
        <w:tc>
          <w:tcPr>
            <w:tcW w:w="660" w:type="dxa"/>
            <w:tcBorders>
              <w:top w:val="single" w:sz="4" w:space="0" w:color="auto"/>
              <w:left w:val="double" w:sz="4" w:space="0" w:color="auto"/>
              <w:bottom w:val="single" w:sz="4" w:space="0" w:color="auto"/>
              <w:right w:val="single" w:sz="6" w:space="0" w:color="auto"/>
            </w:tcBorders>
            <w:shd w:val="clear" w:color="auto" w:fill="auto"/>
            <w:vAlign w:val="center"/>
          </w:tcPr>
          <w:p w14:paraId="70C89D75"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23</w:t>
            </w:r>
          </w:p>
        </w:tc>
        <w:tc>
          <w:tcPr>
            <w:tcW w:w="2012" w:type="dxa"/>
            <w:tcBorders>
              <w:top w:val="single" w:sz="4" w:space="0" w:color="auto"/>
              <w:left w:val="single" w:sz="6" w:space="0" w:color="auto"/>
              <w:bottom w:val="single" w:sz="4" w:space="0" w:color="auto"/>
              <w:right w:val="single" w:sz="4" w:space="0" w:color="auto"/>
            </w:tcBorders>
            <w:shd w:val="clear" w:color="auto" w:fill="auto"/>
            <w:vAlign w:val="center"/>
          </w:tcPr>
          <w:p w14:paraId="5B4D87D0"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铅，</w:t>
            </w:r>
            <w:r>
              <w:rPr>
                <w:color w:val="000000" w:themeColor="text1"/>
                <w:kern w:val="0"/>
                <w:sz w:val="21"/>
                <w:szCs w:val="21"/>
              </w:rPr>
              <w:t>mg/L</w:t>
            </w:r>
          </w:p>
        </w:tc>
        <w:tc>
          <w:tcPr>
            <w:tcW w:w="967" w:type="dxa"/>
            <w:tcBorders>
              <w:top w:val="single" w:sz="4" w:space="0" w:color="auto"/>
              <w:left w:val="single" w:sz="6" w:space="0" w:color="auto"/>
              <w:bottom w:val="single" w:sz="4" w:space="0" w:color="auto"/>
              <w:right w:val="single" w:sz="4" w:space="0" w:color="auto"/>
            </w:tcBorders>
            <w:shd w:val="clear" w:color="auto" w:fill="auto"/>
            <w:vAlign w:val="center"/>
          </w:tcPr>
          <w:p w14:paraId="48602F92"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0.0</w:t>
            </w:r>
            <w:r>
              <w:rPr>
                <w:rFonts w:hint="eastAsia"/>
                <w:color w:val="000000" w:themeColor="text1"/>
                <w:kern w:val="0"/>
                <w:sz w:val="21"/>
                <w:szCs w:val="21"/>
              </w:rPr>
              <w:t>1</w:t>
            </w:r>
          </w:p>
        </w:tc>
      </w:tr>
      <w:tr w:rsidR="005A1A44" w14:paraId="74B78457" w14:textId="77777777">
        <w:trPr>
          <w:jc w:val="center"/>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07A28B44"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12</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14:paraId="01C559F8"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kern w:val="0"/>
                <w:sz w:val="21"/>
                <w:szCs w:val="21"/>
              </w:rPr>
              <w:t>氟化物（以</w:t>
            </w:r>
            <w:r>
              <w:rPr>
                <w:rStyle w:val="font21"/>
                <w:color w:val="000000" w:themeColor="text1"/>
                <w:sz w:val="21"/>
                <w:szCs w:val="21"/>
              </w:rPr>
              <w:t>F-</w:t>
            </w:r>
            <w:r>
              <w:rPr>
                <w:rFonts w:hint="eastAsia"/>
                <w:color w:val="000000" w:themeColor="text1"/>
                <w:kern w:val="0"/>
                <w:sz w:val="21"/>
                <w:szCs w:val="21"/>
              </w:rPr>
              <w:t>计），</w:t>
            </w:r>
            <w:r>
              <w:rPr>
                <w:rStyle w:val="font21"/>
                <w:color w:val="000000" w:themeColor="text1"/>
                <w:sz w:val="21"/>
                <w:szCs w:val="21"/>
              </w:rPr>
              <w:t>mg/L</w:t>
            </w:r>
          </w:p>
        </w:tc>
        <w:tc>
          <w:tcPr>
            <w:tcW w:w="879" w:type="dxa"/>
            <w:tcBorders>
              <w:top w:val="single" w:sz="4" w:space="0" w:color="auto"/>
              <w:left w:val="single" w:sz="4" w:space="0" w:color="auto"/>
              <w:bottom w:val="single" w:sz="4" w:space="0" w:color="auto"/>
              <w:right w:val="double" w:sz="4" w:space="0" w:color="auto"/>
            </w:tcBorders>
            <w:shd w:val="clear" w:color="auto" w:fill="auto"/>
            <w:vAlign w:val="center"/>
          </w:tcPr>
          <w:p w14:paraId="0B191D4B" w14:textId="77777777" w:rsidR="005A1A44" w:rsidRDefault="0008059E">
            <w:pPr>
              <w:widowControl/>
              <w:adjustRightInd w:val="0"/>
              <w:snapToGrid w:val="0"/>
              <w:spacing w:line="240" w:lineRule="auto"/>
              <w:ind w:firstLineChars="0" w:firstLine="0"/>
              <w:jc w:val="center"/>
              <w:textAlignment w:val="center"/>
              <w:rPr>
                <w:rFonts w:eastAsia="宋体"/>
                <w:color w:val="000000" w:themeColor="text1"/>
                <w:sz w:val="21"/>
                <w:szCs w:val="21"/>
              </w:rPr>
            </w:pPr>
            <w:r>
              <w:rPr>
                <w:color w:val="000000" w:themeColor="text1"/>
                <w:kern w:val="0"/>
                <w:sz w:val="21"/>
                <w:szCs w:val="21"/>
              </w:rPr>
              <w:t>1</w:t>
            </w:r>
            <w:r>
              <w:rPr>
                <w:rFonts w:hint="eastAsia"/>
                <w:color w:val="000000" w:themeColor="text1"/>
                <w:kern w:val="0"/>
                <w:sz w:val="21"/>
                <w:szCs w:val="21"/>
              </w:rPr>
              <w:t>.0</w:t>
            </w:r>
          </w:p>
        </w:tc>
        <w:tc>
          <w:tcPr>
            <w:tcW w:w="660" w:type="dxa"/>
            <w:tcBorders>
              <w:top w:val="single" w:sz="4" w:space="0" w:color="auto"/>
              <w:left w:val="double" w:sz="4" w:space="0" w:color="auto"/>
              <w:bottom w:val="single" w:sz="4" w:space="0" w:color="auto"/>
              <w:right w:val="single" w:sz="6" w:space="0" w:color="auto"/>
            </w:tcBorders>
            <w:shd w:val="clear" w:color="auto" w:fill="auto"/>
            <w:vAlign w:val="center"/>
          </w:tcPr>
          <w:p w14:paraId="5D858171" w14:textId="77777777" w:rsidR="005A1A44" w:rsidRDefault="005A1A44">
            <w:pPr>
              <w:adjustRightInd w:val="0"/>
              <w:snapToGrid w:val="0"/>
              <w:spacing w:line="240" w:lineRule="auto"/>
              <w:ind w:firstLineChars="0" w:firstLine="0"/>
              <w:jc w:val="center"/>
              <w:rPr>
                <w:color w:val="000000" w:themeColor="text1"/>
                <w:sz w:val="21"/>
                <w:szCs w:val="21"/>
              </w:rPr>
            </w:pPr>
          </w:p>
        </w:tc>
        <w:tc>
          <w:tcPr>
            <w:tcW w:w="2012" w:type="dxa"/>
            <w:tcBorders>
              <w:top w:val="single" w:sz="4" w:space="0" w:color="auto"/>
              <w:left w:val="single" w:sz="6" w:space="0" w:color="auto"/>
              <w:bottom w:val="single" w:sz="4" w:space="0" w:color="auto"/>
              <w:right w:val="single" w:sz="4" w:space="0" w:color="auto"/>
            </w:tcBorders>
            <w:shd w:val="clear" w:color="auto" w:fill="auto"/>
            <w:vAlign w:val="center"/>
          </w:tcPr>
          <w:p w14:paraId="65C3A98D" w14:textId="77777777" w:rsidR="005A1A44" w:rsidRDefault="005A1A44">
            <w:pPr>
              <w:widowControl/>
              <w:adjustRightInd w:val="0"/>
              <w:snapToGrid w:val="0"/>
              <w:spacing w:line="240" w:lineRule="auto"/>
              <w:ind w:firstLineChars="0" w:firstLine="0"/>
              <w:jc w:val="center"/>
              <w:textAlignment w:val="center"/>
              <w:rPr>
                <w:color w:val="000000" w:themeColor="text1"/>
                <w:sz w:val="21"/>
                <w:szCs w:val="21"/>
              </w:rPr>
            </w:pPr>
          </w:p>
        </w:tc>
        <w:tc>
          <w:tcPr>
            <w:tcW w:w="967" w:type="dxa"/>
            <w:tcBorders>
              <w:top w:val="single" w:sz="4" w:space="0" w:color="auto"/>
              <w:left w:val="single" w:sz="6" w:space="0" w:color="auto"/>
              <w:bottom w:val="single" w:sz="4" w:space="0" w:color="auto"/>
              <w:right w:val="single" w:sz="4" w:space="0" w:color="auto"/>
            </w:tcBorders>
            <w:shd w:val="clear" w:color="auto" w:fill="auto"/>
            <w:vAlign w:val="center"/>
          </w:tcPr>
          <w:p w14:paraId="1E4C6B27" w14:textId="77777777" w:rsidR="005A1A44" w:rsidRDefault="005A1A44">
            <w:pPr>
              <w:widowControl/>
              <w:adjustRightInd w:val="0"/>
              <w:snapToGrid w:val="0"/>
              <w:spacing w:line="240" w:lineRule="auto"/>
              <w:ind w:firstLineChars="0" w:firstLine="0"/>
              <w:jc w:val="center"/>
              <w:textAlignment w:val="center"/>
              <w:rPr>
                <w:color w:val="000000" w:themeColor="text1"/>
                <w:sz w:val="21"/>
                <w:szCs w:val="21"/>
              </w:rPr>
            </w:pPr>
          </w:p>
        </w:tc>
      </w:tr>
    </w:tbl>
    <w:p w14:paraId="3F5D0141" w14:textId="77777777" w:rsidR="005A1A44" w:rsidRDefault="0008059E">
      <w:pPr>
        <w:ind w:firstLine="480"/>
      </w:pPr>
      <w:r>
        <w:t>（</w:t>
      </w:r>
      <w:r>
        <w:rPr>
          <w:rFonts w:hint="eastAsia"/>
        </w:rPr>
        <w:t>3</w:t>
      </w:r>
      <w:r>
        <w:t>）地下水质量标准</w:t>
      </w:r>
    </w:p>
    <w:p w14:paraId="6E05F9FF" w14:textId="77777777" w:rsidR="005A1A44" w:rsidRDefault="0008059E">
      <w:pPr>
        <w:ind w:firstLine="480"/>
        <w:rPr>
          <w:rFonts w:ascii="黑体" w:eastAsia="黑体" w:hAnsi="黑体" w:cs="黑体" w:hint="eastAsia"/>
        </w:rPr>
      </w:pPr>
      <w:r>
        <w:t>执行《地下水质量标准》（</w:t>
      </w:r>
      <w:r>
        <w:t>GB/T14848-</w:t>
      </w:r>
      <w:r>
        <w:rPr>
          <w:rFonts w:hint="eastAsia"/>
        </w:rPr>
        <w:t>2017</w:t>
      </w:r>
      <w:r>
        <w:t>）中</w:t>
      </w:r>
      <w:r>
        <w:rPr>
          <w:rFonts w:hint="eastAsia"/>
        </w:rPr>
        <w:t>Ⅲ</w:t>
      </w:r>
      <w:r>
        <w:t>类标准。相应标准见表</w:t>
      </w:r>
      <w:r>
        <w:rPr>
          <w:rFonts w:hint="eastAsia"/>
        </w:rPr>
        <w:t>2</w:t>
      </w:r>
      <w:r>
        <w:t>.</w:t>
      </w:r>
      <w:r>
        <w:rPr>
          <w:rFonts w:hint="eastAsia"/>
        </w:rPr>
        <w:t>3</w:t>
      </w:r>
      <w:r>
        <w:t>-</w:t>
      </w:r>
      <w:r>
        <w:rPr>
          <w:rFonts w:hint="eastAsia"/>
        </w:rPr>
        <w:t>3</w:t>
      </w:r>
      <w:r>
        <w:t>。</w:t>
      </w:r>
    </w:p>
    <w:p w14:paraId="76548E3D" w14:textId="77777777" w:rsidR="005A1A44" w:rsidRDefault="0008059E">
      <w:pPr>
        <w:ind w:firstLineChars="0" w:firstLine="0"/>
        <w:jc w:val="center"/>
        <w:rPr>
          <w:color w:val="000000" w:themeColor="text1"/>
        </w:rPr>
      </w:pPr>
      <w:r>
        <w:rPr>
          <w:rFonts w:ascii="黑体" w:eastAsia="黑体" w:hAnsi="黑体" w:cs="黑体" w:hint="eastAsia"/>
        </w:rPr>
        <w:t xml:space="preserve"> 表</w:t>
      </w:r>
      <w:r>
        <w:rPr>
          <w:rFonts w:eastAsia="黑体" w:hint="eastAsia"/>
          <w:color w:val="000000" w:themeColor="text1"/>
        </w:rPr>
        <w:t>2</w:t>
      </w:r>
      <w:r>
        <w:rPr>
          <w:rFonts w:eastAsia="黑体"/>
          <w:color w:val="000000" w:themeColor="text1"/>
        </w:rPr>
        <w:t>.</w:t>
      </w:r>
      <w:r>
        <w:rPr>
          <w:rFonts w:eastAsia="黑体" w:hint="eastAsia"/>
          <w:color w:val="000000" w:themeColor="text1"/>
        </w:rPr>
        <w:t>3</w:t>
      </w:r>
      <w:r>
        <w:rPr>
          <w:rFonts w:eastAsia="黑体"/>
          <w:color w:val="000000" w:themeColor="text1"/>
        </w:rPr>
        <w:t>-</w:t>
      </w:r>
      <w:r>
        <w:rPr>
          <w:rFonts w:eastAsia="黑体" w:hint="eastAsia"/>
          <w:color w:val="000000" w:themeColor="text1"/>
        </w:rPr>
        <w:t>3</w:t>
      </w:r>
      <w:r>
        <w:rPr>
          <w:rFonts w:eastAsia="黑体"/>
          <w:color w:val="000000" w:themeColor="text1"/>
        </w:rPr>
        <w:t xml:space="preserve">  </w:t>
      </w:r>
      <w:r>
        <w:rPr>
          <w:rFonts w:eastAsia="黑体"/>
          <w:color w:val="000000" w:themeColor="text1"/>
        </w:rPr>
        <w:t>地下水水质评价标准</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3004"/>
        <w:gridCol w:w="984"/>
        <w:gridCol w:w="607"/>
        <w:gridCol w:w="2268"/>
        <w:gridCol w:w="1051"/>
      </w:tblGrid>
      <w:tr w:rsidR="005A1A44" w14:paraId="40110DC2" w14:textId="77777777">
        <w:trPr>
          <w:tblHeader/>
          <w:jc w:val="center"/>
        </w:trPr>
        <w:tc>
          <w:tcPr>
            <w:tcW w:w="608" w:type="dxa"/>
            <w:shd w:val="clear" w:color="auto" w:fill="auto"/>
            <w:vAlign w:val="center"/>
          </w:tcPr>
          <w:p w14:paraId="24E1BBDD"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序号</w:t>
            </w:r>
          </w:p>
        </w:tc>
        <w:tc>
          <w:tcPr>
            <w:tcW w:w="3004" w:type="dxa"/>
            <w:shd w:val="clear" w:color="auto" w:fill="auto"/>
            <w:vAlign w:val="center"/>
          </w:tcPr>
          <w:p w14:paraId="02F0D0F3"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评价指标</w:t>
            </w:r>
          </w:p>
        </w:tc>
        <w:tc>
          <w:tcPr>
            <w:tcW w:w="984" w:type="dxa"/>
            <w:tcBorders>
              <w:right w:val="double" w:sz="4" w:space="0" w:color="auto"/>
            </w:tcBorders>
            <w:shd w:val="clear" w:color="auto" w:fill="auto"/>
            <w:vAlign w:val="center"/>
          </w:tcPr>
          <w:p w14:paraId="6B8CAE93"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标准值</w:t>
            </w:r>
          </w:p>
        </w:tc>
        <w:tc>
          <w:tcPr>
            <w:tcW w:w="607" w:type="dxa"/>
            <w:tcBorders>
              <w:left w:val="double" w:sz="4" w:space="0" w:color="auto"/>
              <w:right w:val="single" w:sz="6" w:space="0" w:color="auto"/>
            </w:tcBorders>
            <w:shd w:val="clear" w:color="auto" w:fill="auto"/>
            <w:vAlign w:val="center"/>
          </w:tcPr>
          <w:p w14:paraId="0F12355E"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序号</w:t>
            </w:r>
          </w:p>
        </w:tc>
        <w:tc>
          <w:tcPr>
            <w:tcW w:w="2268" w:type="dxa"/>
            <w:tcBorders>
              <w:left w:val="single" w:sz="6" w:space="0" w:color="auto"/>
              <w:right w:val="single" w:sz="4" w:space="0" w:color="auto"/>
            </w:tcBorders>
            <w:shd w:val="clear" w:color="auto" w:fill="auto"/>
            <w:vAlign w:val="center"/>
          </w:tcPr>
          <w:p w14:paraId="48961A36"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评价指标</w:t>
            </w:r>
          </w:p>
        </w:tc>
        <w:tc>
          <w:tcPr>
            <w:tcW w:w="1051" w:type="dxa"/>
            <w:tcBorders>
              <w:left w:val="single" w:sz="6" w:space="0" w:color="auto"/>
              <w:right w:val="single" w:sz="4" w:space="0" w:color="auto"/>
            </w:tcBorders>
            <w:shd w:val="clear" w:color="auto" w:fill="auto"/>
            <w:vAlign w:val="center"/>
          </w:tcPr>
          <w:p w14:paraId="417852E6"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标准值</w:t>
            </w:r>
          </w:p>
        </w:tc>
      </w:tr>
      <w:tr w:rsidR="005A1A44" w14:paraId="536D1193" w14:textId="77777777">
        <w:trPr>
          <w:cantSplit/>
          <w:jc w:val="center"/>
        </w:trPr>
        <w:tc>
          <w:tcPr>
            <w:tcW w:w="608" w:type="dxa"/>
            <w:shd w:val="clear" w:color="auto" w:fill="auto"/>
            <w:vAlign w:val="center"/>
          </w:tcPr>
          <w:p w14:paraId="69499AE6"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w:t>
            </w:r>
          </w:p>
        </w:tc>
        <w:tc>
          <w:tcPr>
            <w:tcW w:w="3004" w:type="dxa"/>
            <w:shd w:val="clear" w:color="auto" w:fill="auto"/>
            <w:vAlign w:val="center"/>
          </w:tcPr>
          <w:p w14:paraId="47C85813"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pH</w:t>
            </w:r>
            <w:r>
              <w:rPr>
                <w:color w:val="000000" w:themeColor="text1"/>
                <w:kern w:val="0"/>
                <w:sz w:val="21"/>
                <w:szCs w:val="21"/>
              </w:rPr>
              <w:t>（无量纲）</w:t>
            </w:r>
          </w:p>
        </w:tc>
        <w:tc>
          <w:tcPr>
            <w:tcW w:w="984" w:type="dxa"/>
            <w:tcBorders>
              <w:right w:val="double" w:sz="4" w:space="0" w:color="auto"/>
            </w:tcBorders>
            <w:shd w:val="clear" w:color="auto" w:fill="auto"/>
            <w:vAlign w:val="center"/>
          </w:tcPr>
          <w:p w14:paraId="6BE7A7AB"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6.5~8.5</w:t>
            </w:r>
          </w:p>
        </w:tc>
        <w:tc>
          <w:tcPr>
            <w:tcW w:w="607" w:type="dxa"/>
            <w:tcBorders>
              <w:left w:val="double" w:sz="4" w:space="0" w:color="auto"/>
              <w:right w:val="single" w:sz="6" w:space="0" w:color="auto"/>
            </w:tcBorders>
            <w:shd w:val="clear" w:color="auto" w:fill="auto"/>
            <w:vAlign w:val="center"/>
          </w:tcPr>
          <w:p w14:paraId="31183200"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12</w:t>
            </w:r>
          </w:p>
        </w:tc>
        <w:tc>
          <w:tcPr>
            <w:tcW w:w="2268" w:type="dxa"/>
            <w:tcBorders>
              <w:left w:val="single" w:sz="6" w:space="0" w:color="auto"/>
              <w:right w:val="single" w:sz="4" w:space="0" w:color="auto"/>
            </w:tcBorders>
            <w:shd w:val="clear" w:color="auto" w:fill="auto"/>
            <w:vAlign w:val="center"/>
          </w:tcPr>
          <w:p w14:paraId="0842EC9D"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总大肠菌群，</w:t>
            </w:r>
            <w:r>
              <w:rPr>
                <w:color w:val="000000" w:themeColor="text1"/>
                <w:kern w:val="0"/>
                <w:sz w:val="21"/>
                <w:szCs w:val="21"/>
              </w:rPr>
              <w:t>MPN/100mL</w:t>
            </w:r>
          </w:p>
        </w:tc>
        <w:tc>
          <w:tcPr>
            <w:tcW w:w="1051" w:type="dxa"/>
            <w:tcBorders>
              <w:left w:val="single" w:sz="6" w:space="0" w:color="auto"/>
              <w:right w:val="single" w:sz="4" w:space="0" w:color="auto"/>
            </w:tcBorders>
            <w:shd w:val="clear" w:color="auto" w:fill="auto"/>
            <w:vAlign w:val="center"/>
          </w:tcPr>
          <w:p w14:paraId="0A7C08DF"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≦3.0</w:t>
            </w:r>
          </w:p>
        </w:tc>
      </w:tr>
      <w:tr w:rsidR="005A1A44" w14:paraId="7F724147" w14:textId="77777777">
        <w:trPr>
          <w:cantSplit/>
          <w:jc w:val="center"/>
        </w:trPr>
        <w:tc>
          <w:tcPr>
            <w:tcW w:w="608" w:type="dxa"/>
            <w:shd w:val="clear" w:color="auto" w:fill="auto"/>
            <w:vAlign w:val="center"/>
          </w:tcPr>
          <w:p w14:paraId="1A4827F2"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2</w:t>
            </w:r>
          </w:p>
        </w:tc>
        <w:tc>
          <w:tcPr>
            <w:tcW w:w="3004" w:type="dxa"/>
            <w:shd w:val="clear" w:color="auto" w:fill="auto"/>
            <w:vAlign w:val="center"/>
          </w:tcPr>
          <w:p w14:paraId="5D3125D6"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总硬度（以</w:t>
            </w:r>
            <w:r>
              <w:rPr>
                <w:color w:val="000000" w:themeColor="text1"/>
                <w:kern w:val="0"/>
                <w:sz w:val="21"/>
                <w:szCs w:val="21"/>
              </w:rPr>
              <w:t>CaCO3</w:t>
            </w:r>
            <w:r>
              <w:rPr>
                <w:color w:val="000000" w:themeColor="text1"/>
                <w:kern w:val="0"/>
                <w:sz w:val="21"/>
                <w:szCs w:val="21"/>
              </w:rPr>
              <w:t>计），</w:t>
            </w:r>
            <w:r>
              <w:rPr>
                <w:color w:val="000000" w:themeColor="text1"/>
                <w:kern w:val="0"/>
                <w:sz w:val="21"/>
                <w:szCs w:val="21"/>
              </w:rPr>
              <w:t>mg/L</w:t>
            </w:r>
          </w:p>
        </w:tc>
        <w:tc>
          <w:tcPr>
            <w:tcW w:w="984" w:type="dxa"/>
            <w:tcBorders>
              <w:right w:val="double" w:sz="4" w:space="0" w:color="auto"/>
            </w:tcBorders>
            <w:shd w:val="clear" w:color="auto" w:fill="auto"/>
            <w:vAlign w:val="center"/>
          </w:tcPr>
          <w:p w14:paraId="4185620D"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≦450</w:t>
            </w:r>
          </w:p>
        </w:tc>
        <w:tc>
          <w:tcPr>
            <w:tcW w:w="607" w:type="dxa"/>
            <w:tcBorders>
              <w:left w:val="double" w:sz="4" w:space="0" w:color="auto"/>
              <w:right w:val="single" w:sz="6" w:space="0" w:color="auto"/>
            </w:tcBorders>
            <w:shd w:val="clear" w:color="auto" w:fill="auto"/>
            <w:vAlign w:val="center"/>
          </w:tcPr>
          <w:p w14:paraId="350F685C"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13</w:t>
            </w:r>
          </w:p>
        </w:tc>
        <w:tc>
          <w:tcPr>
            <w:tcW w:w="2268" w:type="dxa"/>
            <w:tcBorders>
              <w:left w:val="single" w:sz="6" w:space="0" w:color="auto"/>
              <w:right w:val="single" w:sz="4" w:space="0" w:color="auto"/>
            </w:tcBorders>
            <w:shd w:val="clear" w:color="auto" w:fill="auto"/>
            <w:vAlign w:val="center"/>
          </w:tcPr>
          <w:p w14:paraId="2B2370E2"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sz w:val="21"/>
                <w:szCs w:val="21"/>
              </w:rPr>
              <w:t>铁</w:t>
            </w:r>
            <w:r>
              <w:rPr>
                <w:color w:val="000000" w:themeColor="text1"/>
                <w:kern w:val="0"/>
                <w:sz w:val="21"/>
                <w:szCs w:val="21"/>
              </w:rPr>
              <w:t>，</w:t>
            </w:r>
            <w:r>
              <w:rPr>
                <w:color w:val="000000" w:themeColor="text1"/>
                <w:kern w:val="0"/>
                <w:sz w:val="21"/>
                <w:szCs w:val="21"/>
              </w:rPr>
              <w:t>mg/L</w:t>
            </w:r>
          </w:p>
        </w:tc>
        <w:tc>
          <w:tcPr>
            <w:tcW w:w="1051" w:type="dxa"/>
            <w:tcBorders>
              <w:left w:val="single" w:sz="6" w:space="0" w:color="auto"/>
              <w:right w:val="single" w:sz="4" w:space="0" w:color="auto"/>
            </w:tcBorders>
            <w:shd w:val="clear" w:color="auto" w:fill="auto"/>
            <w:vAlign w:val="center"/>
          </w:tcPr>
          <w:p w14:paraId="09AE5151"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w:t>
            </w:r>
            <w:r>
              <w:rPr>
                <w:rFonts w:hint="eastAsia"/>
                <w:color w:val="000000" w:themeColor="text1"/>
                <w:kern w:val="0"/>
                <w:sz w:val="21"/>
                <w:szCs w:val="21"/>
              </w:rPr>
              <w:t>0.3</w:t>
            </w:r>
          </w:p>
        </w:tc>
      </w:tr>
      <w:tr w:rsidR="005A1A44" w14:paraId="774C10D7" w14:textId="77777777">
        <w:trPr>
          <w:cantSplit/>
          <w:trHeight w:val="249"/>
          <w:jc w:val="center"/>
        </w:trPr>
        <w:tc>
          <w:tcPr>
            <w:tcW w:w="608" w:type="dxa"/>
            <w:shd w:val="clear" w:color="auto" w:fill="auto"/>
            <w:vAlign w:val="center"/>
          </w:tcPr>
          <w:p w14:paraId="5D3F2B1D"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3</w:t>
            </w:r>
          </w:p>
        </w:tc>
        <w:tc>
          <w:tcPr>
            <w:tcW w:w="3004" w:type="dxa"/>
            <w:shd w:val="clear" w:color="auto" w:fill="auto"/>
            <w:vAlign w:val="center"/>
          </w:tcPr>
          <w:p w14:paraId="5B65EE25"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sz w:val="21"/>
                <w:szCs w:val="21"/>
              </w:rPr>
              <w:t>溶解性总固体，</w:t>
            </w:r>
            <w:r>
              <w:rPr>
                <w:color w:val="000000" w:themeColor="text1"/>
                <w:kern w:val="0"/>
                <w:sz w:val="21"/>
                <w:szCs w:val="21"/>
              </w:rPr>
              <w:t>mg/L</w:t>
            </w:r>
          </w:p>
        </w:tc>
        <w:tc>
          <w:tcPr>
            <w:tcW w:w="984" w:type="dxa"/>
            <w:tcBorders>
              <w:right w:val="double" w:sz="4" w:space="0" w:color="auto"/>
            </w:tcBorders>
            <w:shd w:val="clear" w:color="auto" w:fill="auto"/>
            <w:vAlign w:val="center"/>
          </w:tcPr>
          <w:p w14:paraId="706DEFE2"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w:t>
            </w:r>
            <w:r>
              <w:rPr>
                <w:rFonts w:hint="eastAsia"/>
                <w:color w:val="000000" w:themeColor="text1"/>
                <w:kern w:val="0"/>
                <w:sz w:val="21"/>
                <w:szCs w:val="21"/>
              </w:rPr>
              <w:t>100</w:t>
            </w:r>
            <w:r>
              <w:rPr>
                <w:color w:val="000000" w:themeColor="text1"/>
                <w:kern w:val="0"/>
                <w:sz w:val="21"/>
                <w:szCs w:val="21"/>
              </w:rPr>
              <w:t>0</w:t>
            </w:r>
          </w:p>
        </w:tc>
        <w:tc>
          <w:tcPr>
            <w:tcW w:w="607" w:type="dxa"/>
            <w:tcBorders>
              <w:left w:val="double" w:sz="4" w:space="0" w:color="auto"/>
              <w:right w:val="single" w:sz="6" w:space="0" w:color="auto"/>
            </w:tcBorders>
            <w:shd w:val="clear" w:color="auto" w:fill="auto"/>
            <w:vAlign w:val="center"/>
          </w:tcPr>
          <w:p w14:paraId="4498A743"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14</w:t>
            </w:r>
          </w:p>
        </w:tc>
        <w:tc>
          <w:tcPr>
            <w:tcW w:w="2268" w:type="dxa"/>
            <w:tcBorders>
              <w:left w:val="single" w:sz="6" w:space="0" w:color="auto"/>
              <w:right w:val="single" w:sz="4" w:space="0" w:color="auto"/>
            </w:tcBorders>
            <w:shd w:val="clear" w:color="auto" w:fill="auto"/>
            <w:vAlign w:val="center"/>
          </w:tcPr>
          <w:p w14:paraId="2F55A06A"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rFonts w:hint="eastAsia"/>
                <w:color w:val="000000" w:themeColor="text1"/>
                <w:sz w:val="21"/>
                <w:szCs w:val="21"/>
              </w:rPr>
              <w:t>锰</w:t>
            </w:r>
            <w:r>
              <w:rPr>
                <w:color w:val="000000" w:themeColor="text1"/>
                <w:kern w:val="0"/>
                <w:sz w:val="21"/>
                <w:szCs w:val="21"/>
              </w:rPr>
              <w:t>，</w:t>
            </w:r>
            <w:r>
              <w:rPr>
                <w:color w:val="000000" w:themeColor="text1"/>
                <w:kern w:val="0"/>
                <w:sz w:val="21"/>
                <w:szCs w:val="21"/>
              </w:rPr>
              <w:t>mg/L</w:t>
            </w:r>
          </w:p>
        </w:tc>
        <w:tc>
          <w:tcPr>
            <w:tcW w:w="1051" w:type="dxa"/>
            <w:tcBorders>
              <w:left w:val="single" w:sz="6" w:space="0" w:color="auto"/>
              <w:right w:val="single" w:sz="4" w:space="0" w:color="auto"/>
            </w:tcBorders>
            <w:shd w:val="clear" w:color="auto" w:fill="auto"/>
            <w:vAlign w:val="center"/>
          </w:tcPr>
          <w:p w14:paraId="02F7CBA4"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w:t>
            </w:r>
            <w:r>
              <w:rPr>
                <w:rFonts w:hint="eastAsia"/>
                <w:color w:val="000000" w:themeColor="text1"/>
                <w:kern w:val="0"/>
                <w:sz w:val="21"/>
                <w:szCs w:val="21"/>
              </w:rPr>
              <w:t>0.1</w:t>
            </w:r>
          </w:p>
        </w:tc>
      </w:tr>
      <w:tr w:rsidR="005A1A44" w14:paraId="31E4C2AB" w14:textId="77777777">
        <w:trPr>
          <w:cantSplit/>
          <w:trHeight w:val="384"/>
          <w:jc w:val="center"/>
        </w:trPr>
        <w:tc>
          <w:tcPr>
            <w:tcW w:w="608" w:type="dxa"/>
            <w:shd w:val="clear" w:color="auto" w:fill="auto"/>
            <w:vAlign w:val="center"/>
          </w:tcPr>
          <w:p w14:paraId="3C2F0623"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4</w:t>
            </w:r>
          </w:p>
        </w:tc>
        <w:tc>
          <w:tcPr>
            <w:tcW w:w="3004" w:type="dxa"/>
            <w:shd w:val="clear" w:color="auto" w:fill="auto"/>
            <w:vAlign w:val="center"/>
          </w:tcPr>
          <w:p w14:paraId="730B4B32"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耗氧量（以</w:t>
            </w:r>
            <w:r>
              <w:rPr>
                <w:color w:val="000000" w:themeColor="text1"/>
                <w:kern w:val="0"/>
                <w:sz w:val="21"/>
                <w:szCs w:val="21"/>
              </w:rPr>
              <w:t>O</w:t>
            </w:r>
            <w:r>
              <w:rPr>
                <w:color w:val="000000" w:themeColor="text1"/>
                <w:kern w:val="0"/>
                <w:sz w:val="21"/>
                <w:szCs w:val="21"/>
                <w:vertAlign w:val="subscript"/>
              </w:rPr>
              <w:t>2</w:t>
            </w:r>
            <w:r>
              <w:rPr>
                <w:color w:val="000000" w:themeColor="text1"/>
                <w:kern w:val="0"/>
                <w:sz w:val="21"/>
                <w:szCs w:val="21"/>
              </w:rPr>
              <w:t>计），</w:t>
            </w:r>
            <w:r>
              <w:rPr>
                <w:color w:val="000000" w:themeColor="text1"/>
                <w:kern w:val="0"/>
                <w:sz w:val="21"/>
                <w:szCs w:val="21"/>
              </w:rPr>
              <w:t>mg/L</w:t>
            </w:r>
          </w:p>
        </w:tc>
        <w:tc>
          <w:tcPr>
            <w:tcW w:w="984" w:type="dxa"/>
            <w:tcBorders>
              <w:right w:val="double" w:sz="4" w:space="0" w:color="auto"/>
            </w:tcBorders>
            <w:shd w:val="clear" w:color="auto" w:fill="auto"/>
            <w:vAlign w:val="center"/>
          </w:tcPr>
          <w:p w14:paraId="1350BF3E"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≦3</w:t>
            </w:r>
            <w:r>
              <w:rPr>
                <w:rFonts w:hint="eastAsia"/>
                <w:color w:val="000000" w:themeColor="text1"/>
                <w:kern w:val="0"/>
                <w:sz w:val="21"/>
                <w:szCs w:val="21"/>
              </w:rPr>
              <w:t>.0</w:t>
            </w:r>
          </w:p>
        </w:tc>
        <w:tc>
          <w:tcPr>
            <w:tcW w:w="607" w:type="dxa"/>
            <w:tcBorders>
              <w:left w:val="double" w:sz="4" w:space="0" w:color="auto"/>
              <w:right w:val="single" w:sz="6" w:space="0" w:color="auto"/>
            </w:tcBorders>
            <w:shd w:val="clear" w:color="auto" w:fill="auto"/>
            <w:vAlign w:val="center"/>
          </w:tcPr>
          <w:p w14:paraId="1BC56D97"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15</w:t>
            </w:r>
          </w:p>
        </w:tc>
        <w:tc>
          <w:tcPr>
            <w:tcW w:w="2268" w:type="dxa"/>
            <w:tcBorders>
              <w:left w:val="single" w:sz="6" w:space="0" w:color="auto"/>
              <w:right w:val="single" w:sz="4" w:space="0" w:color="auto"/>
            </w:tcBorders>
            <w:shd w:val="clear" w:color="auto" w:fill="auto"/>
            <w:vAlign w:val="center"/>
          </w:tcPr>
          <w:p w14:paraId="0009F8F3"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铬（六价），</w:t>
            </w:r>
            <w:r>
              <w:rPr>
                <w:color w:val="000000" w:themeColor="text1"/>
                <w:kern w:val="0"/>
                <w:sz w:val="21"/>
                <w:szCs w:val="21"/>
              </w:rPr>
              <w:t>mg/L</w:t>
            </w:r>
          </w:p>
        </w:tc>
        <w:tc>
          <w:tcPr>
            <w:tcW w:w="1051" w:type="dxa"/>
            <w:tcBorders>
              <w:left w:val="single" w:sz="6" w:space="0" w:color="auto"/>
              <w:right w:val="single" w:sz="4" w:space="0" w:color="auto"/>
            </w:tcBorders>
            <w:shd w:val="clear" w:color="auto" w:fill="auto"/>
            <w:vAlign w:val="center"/>
          </w:tcPr>
          <w:p w14:paraId="19A03382"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≦0.05</w:t>
            </w:r>
          </w:p>
        </w:tc>
      </w:tr>
      <w:tr w:rsidR="005A1A44" w14:paraId="2FA8C2BD" w14:textId="77777777">
        <w:trPr>
          <w:cantSplit/>
          <w:jc w:val="center"/>
        </w:trPr>
        <w:tc>
          <w:tcPr>
            <w:tcW w:w="608" w:type="dxa"/>
            <w:shd w:val="clear" w:color="auto" w:fill="auto"/>
            <w:vAlign w:val="center"/>
          </w:tcPr>
          <w:p w14:paraId="300CE359"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5</w:t>
            </w:r>
          </w:p>
        </w:tc>
        <w:tc>
          <w:tcPr>
            <w:tcW w:w="3004" w:type="dxa"/>
            <w:shd w:val="clear" w:color="auto" w:fill="auto"/>
            <w:vAlign w:val="center"/>
          </w:tcPr>
          <w:p w14:paraId="797A8AB2"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阴离子合成洗涤剂（</w:t>
            </w:r>
            <w:r>
              <w:rPr>
                <w:color w:val="000000" w:themeColor="text1"/>
                <w:kern w:val="0"/>
                <w:sz w:val="21"/>
                <w:szCs w:val="21"/>
              </w:rPr>
              <w:t>DBS</w:t>
            </w:r>
            <w:r>
              <w:rPr>
                <w:color w:val="000000" w:themeColor="text1"/>
                <w:kern w:val="0"/>
                <w:sz w:val="21"/>
                <w:szCs w:val="21"/>
              </w:rPr>
              <w:t>），</w:t>
            </w:r>
            <w:r>
              <w:rPr>
                <w:color w:val="000000" w:themeColor="text1"/>
                <w:kern w:val="0"/>
                <w:sz w:val="21"/>
                <w:szCs w:val="21"/>
              </w:rPr>
              <w:t>mg/L</w:t>
            </w:r>
          </w:p>
        </w:tc>
        <w:tc>
          <w:tcPr>
            <w:tcW w:w="984" w:type="dxa"/>
            <w:tcBorders>
              <w:right w:val="double" w:sz="4" w:space="0" w:color="auto"/>
            </w:tcBorders>
            <w:shd w:val="clear" w:color="auto" w:fill="auto"/>
            <w:vAlign w:val="center"/>
          </w:tcPr>
          <w:p w14:paraId="6D27C5CC"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≦0.3</w:t>
            </w:r>
          </w:p>
        </w:tc>
        <w:tc>
          <w:tcPr>
            <w:tcW w:w="607" w:type="dxa"/>
            <w:tcBorders>
              <w:left w:val="double" w:sz="4" w:space="0" w:color="auto"/>
              <w:right w:val="single" w:sz="6" w:space="0" w:color="auto"/>
            </w:tcBorders>
            <w:shd w:val="clear" w:color="auto" w:fill="auto"/>
            <w:vAlign w:val="center"/>
          </w:tcPr>
          <w:p w14:paraId="29DC1C1F"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16</w:t>
            </w:r>
          </w:p>
        </w:tc>
        <w:tc>
          <w:tcPr>
            <w:tcW w:w="2268" w:type="dxa"/>
            <w:tcBorders>
              <w:left w:val="single" w:sz="6" w:space="0" w:color="auto"/>
              <w:right w:val="single" w:sz="4" w:space="0" w:color="auto"/>
            </w:tcBorders>
            <w:shd w:val="clear" w:color="auto" w:fill="auto"/>
            <w:vAlign w:val="center"/>
          </w:tcPr>
          <w:p w14:paraId="7C2F9239"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砷，</w:t>
            </w:r>
            <w:r>
              <w:rPr>
                <w:color w:val="000000" w:themeColor="text1"/>
                <w:kern w:val="0"/>
                <w:sz w:val="21"/>
                <w:szCs w:val="21"/>
              </w:rPr>
              <w:t>mg/L</w:t>
            </w:r>
          </w:p>
        </w:tc>
        <w:tc>
          <w:tcPr>
            <w:tcW w:w="1051" w:type="dxa"/>
            <w:tcBorders>
              <w:left w:val="single" w:sz="6" w:space="0" w:color="auto"/>
              <w:right w:val="single" w:sz="4" w:space="0" w:color="auto"/>
            </w:tcBorders>
            <w:shd w:val="clear" w:color="auto" w:fill="auto"/>
            <w:vAlign w:val="center"/>
          </w:tcPr>
          <w:p w14:paraId="4809810E"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≦0.01</w:t>
            </w:r>
          </w:p>
        </w:tc>
      </w:tr>
      <w:tr w:rsidR="005A1A44" w14:paraId="324D53C0" w14:textId="77777777">
        <w:trPr>
          <w:cantSplit/>
          <w:jc w:val="center"/>
        </w:trPr>
        <w:tc>
          <w:tcPr>
            <w:tcW w:w="608" w:type="dxa"/>
            <w:shd w:val="clear" w:color="auto" w:fill="auto"/>
            <w:vAlign w:val="center"/>
          </w:tcPr>
          <w:p w14:paraId="78439F87"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6</w:t>
            </w:r>
          </w:p>
        </w:tc>
        <w:tc>
          <w:tcPr>
            <w:tcW w:w="3004" w:type="dxa"/>
            <w:shd w:val="clear" w:color="auto" w:fill="auto"/>
            <w:vAlign w:val="center"/>
          </w:tcPr>
          <w:p w14:paraId="554BFA33"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挥发酚类（以苯酚计），</w:t>
            </w:r>
            <w:r>
              <w:rPr>
                <w:color w:val="000000" w:themeColor="text1"/>
                <w:kern w:val="0"/>
                <w:sz w:val="21"/>
                <w:szCs w:val="21"/>
              </w:rPr>
              <w:t>mg/L</w:t>
            </w:r>
          </w:p>
        </w:tc>
        <w:tc>
          <w:tcPr>
            <w:tcW w:w="984" w:type="dxa"/>
            <w:tcBorders>
              <w:right w:val="double" w:sz="4" w:space="0" w:color="auto"/>
            </w:tcBorders>
            <w:shd w:val="clear" w:color="auto" w:fill="auto"/>
            <w:vAlign w:val="center"/>
          </w:tcPr>
          <w:p w14:paraId="5ECA4F9E"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≦0.002</w:t>
            </w:r>
          </w:p>
        </w:tc>
        <w:tc>
          <w:tcPr>
            <w:tcW w:w="607" w:type="dxa"/>
            <w:tcBorders>
              <w:left w:val="double" w:sz="4" w:space="0" w:color="auto"/>
              <w:right w:val="single" w:sz="6" w:space="0" w:color="auto"/>
            </w:tcBorders>
            <w:shd w:val="clear" w:color="auto" w:fill="auto"/>
            <w:vAlign w:val="center"/>
          </w:tcPr>
          <w:p w14:paraId="125D391E"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17</w:t>
            </w:r>
          </w:p>
        </w:tc>
        <w:tc>
          <w:tcPr>
            <w:tcW w:w="2268" w:type="dxa"/>
            <w:tcBorders>
              <w:left w:val="single" w:sz="6" w:space="0" w:color="auto"/>
              <w:right w:val="single" w:sz="4" w:space="0" w:color="auto"/>
            </w:tcBorders>
            <w:shd w:val="clear" w:color="auto" w:fill="auto"/>
            <w:vAlign w:val="center"/>
          </w:tcPr>
          <w:p w14:paraId="1D64E9C6"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汞，</w:t>
            </w:r>
            <w:r>
              <w:rPr>
                <w:color w:val="000000" w:themeColor="text1"/>
                <w:kern w:val="0"/>
                <w:sz w:val="21"/>
                <w:szCs w:val="21"/>
              </w:rPr>
              <w:t>mg/L</w:t>
            </w:r>
          </w:p>
        </w:tc>
        <w:tc>
          <w:tcPr>
            <w:tcW w:w="1051" w:type="dxa"/>
            <w:tcBorders>
              <w:left w:val="single" w:sz="6" w:space="0" w:color="auto"/>
              <w:right w:val="single" w:sz="4" w:space="0" w:color="auto"/>
            </w:tcBorders>
            <w:shd w:val="clear" w:color="auto" w:fill="auto"/>
            <w:vAlign w:val="center"/>
          </w:tcPr>
          <w:p w14:paraId="43691B69"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≦0.001</w:t>
            </w:r>
          </w:p>
        </w:tc>
      </w:tr>
      <w:tr w:rsidR="005A1A44" w14:paraId="465DDDC4" w14:textId="77777777">
        <w:trPr>
          <w:cantSplit/>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5B92C6F6"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7</w:t>
            </w:r>
          </w:p>
        </w:tc>
        <w:tc>
          <w:tcPr>
            <w:tcW w:w="3004" w:type="dxa"/>
            <w:tcBorders>
              <w:top w:val="single" w:sz="4" w:space="0" w:color="auto"/>
              <w:left w:val="single" w:sz="4" w:space="0" w:color="auto"/>
              <w:bottom w:val="single" w:sz="4" w:space="0" w:color="auto"/>
              <w:right w:val="single" w:sz="4" w:space="0" w:color="auto"/>
            </w:tcBorders>
            <w:shd w:val="clear" w:color="auto" w:fill="auto"/>
            <w:vAlign w:val="center"/>
          </w:tcPr>
          <w:p w14:paraId="28E7BFE2"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氨氮（以</w:t>
            </w:r>
            <w:r>
              <w:rPr>
                <w:color w:val="000000" w:themeColor="text1"/>
                <w:kern w:val="0"/>
                <w:sz w:val="21"/>
                <w:szCs w:val="21"/>
              </w:rPr>
              <w:t>N</w:t>
            </w:r>
            <w:r>
              <w:rPr>
                <w:color w:val="000000" w:themeColor="text1"/>
                <w:kern w:val="0"/>
                <w:sz w:val="21"/>
                <w:szCs w:val="21"/>
              </w:rPr>
              <w:t>计），</w:t>
            </w:r>
            <w:r>
              <w:rPr>
                <w:color w:val="000000" w:themeColor="text1"/>
                <w:kern w:val="0"/>
                <w:sz w:val="21"/>
                <w:szCs w:val="21"/>
              </w:rPr>
              <w:t>mg/L</w:t>
            </w:r>
          </w:p>
        </w:tc>
        <w:tc>
          <w:tcPr>
            <w:tcW w:w="984" w:type="dxa"/>
            <w:tcBorders>
              <w:top w:val="single" w:sz="4" w:space="0" w:color="auto"/>
              <w:left w:val="single" w:sz="4" w:space="0" w:color="auto"/>
              <w:bottom w:val="single" w:sz="4" w:space="0" w:color="auto"/>
              <w:right w:val="double" w:sz="4" w:space="0" w:color="auto"/>
            </w:tcBorders>
            <w:shd w:val="clear" w:color="auto" w:fill="auto"/>
            <w:vAlign w:val="center"/>
          </w:tcPr>
          <w:p w14:paraId="5DB905E2"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≦0.5</w:t>
            </w:r>
          </w:p>
        </w:tc>
        <w:tc>
          <w:tcPr>
            <w:tcW w:w="607" w:type="dxa"/>
            <w:tcBorders>
              <w:top w:val="single" w:sz="4" w:space="0" w:color="auto"/>
              <w:left w:val="double" w:sz="4" w:space="0" w:color="auto"/>
              <w:bottom w:val="single" w:sz="4" w:space="0" w:color="auto"/>
              <w:right w:val="single" w:sz="6" w:space="0" w:color="auto"/>
            </w:tcBorders>
            <w:shd w:val="clear" w:color="auto" w:fill="auto"/>
            <w:vAlign w:val="center"/>
          </w:tcPr>
          <w:p w14:paraId="1E23A591"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18</w:t>
            </w:r>
          </w:p>
        </w:tc>
        <w:tc>
          <w:tcPr>
            <w:tcW w:w="2268" w:type="dxa"/>
            <w:tcBorders>
              <w:top w:val="single" w:sz="4" w:space="0" w:color="auto"/>
              <w:left w:val="single" w:sz="6" w:space="0" w:color="auto"/>
              <w:bottom w:val="single" w:sz="4" w:space="0" w:color="auto"/>
              <w:right w:val="single" w:sz="4" w:space="0" w:color="auto"/>
            </w:tcBorders>
            <w:shd w:val="clear" w:color="auto" w:fill="auto"/>
            <w:vAlign w:val="center"/>
          </w:tcPr>
          <w:p w14:paraId="589365D2"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铅，</w:t>
            </w:r>
            <w:r>
              <w:rPr>
                <w:color w:val="000000" w:themeColor="text1"/>
                <w:kern w:val="0"/>
                <w:sz w:val="21"/>
                <w:szCs w:val="21"/>
              </w:rPr>
              <w:t>mg/L</w:t>
            </w:r>
          </w:p>
        </w:tc>
        <w:tc>
          <w:tcPr>
            <w:tcW w:w="1051" w:type="dxa"/>
            <w:tcBorders>
              <w:top w:val="single" w:sz="4" w:space="0" w:color="auto"/>
              <w:left w:val="single" w:sz="6" w:space="0" w:color="auto"/>
              <w:bottom w:val="single" w:sz="4" w:space="0" w:color="auto"/>
              <w:right w:val="single" w:sz="4" w:space="0" w:color="auto"/>
            </w:tcBorders>
            <w:shd w:val="clear" w:color="auto" w:fill="auto"/>
            <w:vAlign w:val="center"/>
          </w:tcPr>
          <w:p w14:paraId="29B60155"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≦0.01</w:t>
            </w:r>
          </w:p>
        </w:tc>
      </w:tr>
      <w:tr w:rsidR="005A1A44" w14:paraId="08EA0909" w14:textId="77777777">
        <w:trPr>
          <w:cantSplit/>
          <w:trHeight w:val="248"/>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1A117169"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8</w:t>
            </w:r>
          </w:p>
        </w:tc>
        <w:tc>
          <w:tcPr>
            <w:tcW w:w="3004" w:type="dxa"/>
            <w:tcBorders>
              <w:top w:val="single" w:sz="4" w:space="0" w:color="auto"/>
              <w:left w:val="single" w:sz="4" w:space="0" w:color="auto"/>
              <w:bottom w:val="single" w:sz="4" w:space="0" w:color="auto"/>
              <w:right w:val="single" w:sz="4" w:space="0" w:color="auto"/>
            </w:tcBorders>
            <w:shd w:val="clear" w:color="auto" w:fill="auto"/>
            <w:vAlign w:val="center"/>
          </w:tcPr>
          <w:p w14:paraId="2A388E61"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氰化物，</w:t>
            </w:r>
            <w:r>
              <w:rPr>
                <w:color w:val="000000" w:themeColor="text1"/>
                <w:kern w:val="0"/>
                <w:sz w:val="21"/>
                <w:szCs w:val="21"/>
              </w:rPr>
              <w:t>mg/L</w:t>
            </w:r>
          </w:p>
        </w:tc>
        <w:tc>
          <w:tcPr>
            <w:tcW w:w="984" w:type="dxa"/>
            <w:tcBorders>
              <w:top w:val="single" w:sz="4" w:space="0" w:color="auto"/>
              <w:left w:val="single" w:sz="4" w:space="0" w:color="auto"/>
              <w:bottom w:val="single" w:sz="4" w:space="0" w:color="auto"/>
              <w:right w:val="double" w:sz="4" w:space="0" w:color="auto"/>
            </w:tcBorders>
            <w:shd w:val="clear" w:color="auto" w:fill="auto"/>
            <w:vAlign w:val="center"/>
          </w:tcPr>
          <w:p w14:paraId="56BAF2C8"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w:t>
            </w:r>
            <w:r>
              <w:rPr>
                <w:rFonts w:hint="eastAsia"/>
                <w:color w:val="000000" w:themeColor="text1"/>
                <w:kern w:val="0"/>
                <w:sz w:val="21"/>
                <w:szCs w:val="21"/>
              </w:rPr>
              <w:t>0.05</w:t>
            </w:r>
          </w:p>
        </w:tc>
        <w:tc>
          <w:tcPr>
            <w:tcW w:w="607" w:type="dxa"/>
            <w:tcBorders>
              <w:top w:val="single" w:sz="4" w:space="0" w:color="auto"/>
              <w:left w:val="double" w:sz="4" w:space="0" w:color="auto"/>
              <w:bottom w:val="single" w:sz="4" w:space="0" w:color="auto"/>
              <w:right w:val="single" w:sz="6" w:space="0" w:color="auto"/>
            </w:tcBorders>
            <w:shd w:val="clear" w:color="auto" w:fill="auto"/>
            <w:vAlign w:val="center"/>
          </w:tcPr>
          <w:p w14:paraId="5D00D0CD"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19</w:t>
            </w:r>
          </w:p>
        </w:tc>
        <w:tc>
          <w:tcPr>
            <w:tcW w:w="2268" w:type="dxa"/>
            <w:tcBorders>
              <w:top w:val="single" w:sz="4" w:space="0" w:color="auto"/>
              <w:left w:val="single" w:sz="6" w:space="0" w:color="auto"/>
              <w:bottom w:val="single" w:sz="4" w:space="0" w:color="auto"/>
              <w:right w:val="single" w:sz="4" w:space="0" w:color="auto"/>
            </w:tcBorders>
            <w:shd w:val="clear" w:color="auto" w:fill="auto"/>
            <w:vAlign w:val="center"/>
          </w:tcPr>
          <w:p w14:paraId="035722C4"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铜，</w:t>
            </w:r>
            <w:r>
              <w:rPr>
                <w:color w:val="000000" w:themeColor="text1"/>
                <w:kern w:val="0"/>
                <w:sz w:val="21"/>
                <w:szCs w:val="21"/>
              </w:rPr>
              <w:t>mg/L</w:t>
            </w:r>
          </w:p>
        </w:tc>
        <w:tc>
          <w:tcPr>
            <w:tcW w:w="1051" w:type="dxa"/>
            <w:tcBorders>
              <w:top w:val="single" w:sz="4" w:space="0" w:color="auto"/>
              <w:left w:val="single" w:sz="6" w:space="0" w:color="auto"/>
              <w:bottom w:val="single" w:sz="4" w:space="0" w:color="auto"/>
              <w:right w:val="single" w:sz="4" w:space="0" w:color="auto"/>
            </w:tcBorders>
            <w:shd w:val="clear" w:color="auto" w:fill="auto"/>
            <w:vAlign w:val="center"/>
          </w:tcPr>
          <w:p w14:paraId="40DD67F5"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≦1.0</w:t>
            </w:r>
          </w:p>
        </w:tc>
      </w:tr>
      <w:tr w:rsidR="005A1A44" w14:paraId="27115D07" w14:textId="77777777">
        <w:trPr>
          <w:cantSplit/>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15694862"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9</w:t>
            </w:r>
          </w:p>
        </w:tc>
        <w:tc>
          <w:tcPr>
            <w:tcW w:w="3004" w:type="dxa"/>
            <w:tcBorders>
              <w:top w:val="single" w:sz="4" w:space="0" w:color="auto"/>
              <w:left w:val="single" w:sz="4" w:space="0" w:color="auto"/>
              <w:bottom w:val="single" w:sz="4" w:space="0" w:color="auto"/>
              <w:right w:val="single" w:sz="4" w:space="0" w:color="auto"/>
            </w:tcBorders>
            <w:shd w:val="clear" w:color="auto" w:fill="auto"/>
            <w:vAlign w:val="center"/>
          </w:tcPr>
          <w:p w14:paraId="030A8E3A"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氯化物（以</w:t>
            </w:r>
            <w:r>
              <w:rPr>
                <w:color w:val="000000" w:themeColor="text1"/>
                <w:kern w:val="0"/>
                <w:sz w:val="21"/>
                <w:szCs w:val="21"/>
              </w:rPr>
              <w:t>Cl</w:t>
            </w:r>
            <w:r>
              <w:rPr>
                <w:color w:val="000000" w:themeColor="text1"/>
                <w:kern w:val="0"/>
                <w:sz w:val="21"/>
                <w:szCs w:val="21"/>
                <w:vertAlign w:val="superscript"/>
              </w:rPr>
              <w:t>-</w:t>
            </w:r>
            <w:r>
              <w:rPr>
                <w:color w:val="000000" w:themeColor="text1"/>
                <w:kern w:val="0"/>
                <w:sz w:val="21"/>
                <w:szCs w:val="21"/>
              </w:rPr>
              <w:t>计），</w:t>
            </w:r>
            <w:r>
              <w:rPr>
                <w:color w:val="000000" w:themeColor="text1"/>
                <w:kern w:val="0"/>
                <w:sz w:val="21"/>
                <w:szCs w:val="21"/>
              </w:rPr>
              <w:t>mg/L</w:t>
            </w:r>
          </w:p>
        </w:tc>
        <w:tc>
          <w:tcPr>
            <w:tcW w:w="984" w:type="dxa"/>
            <w:tcBorders>
              <w:top w:val="single" w:sz="4" w:space="0" w:color="auto"/>
              <w:left w:val="single" w:sz="4" w:space="0" w:color="auto"/>
              <w:bottom w:val="single" w:sz="4" w:space="0" w:color="auto"/>
              <w:right w:val="double" w:sz="4" w:space="0" w:color="auto"/>
            </w:tcBorders>
            <w:shd w:val="clear" w:color="auto" w:fill="auto"/>
            <w:vAlign w:val="center"/>
          </w:tcPr>
          <w:p w14:paraId="46FF0A81"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≦250</w:t>
            </w:r>
          </w:p>
        </w:tc>
        <w:tc>
          <w:tcPr>
            <w:tcW w:w="607" w:type="dxa"/>
            <w:tcBorders>
              <w:top w:val="single" w:sz="4" w:space="0" w:color="auto"/>
              <w:left w:val="double" w:sz="4" w:space="0" w:color="auto"/>
              <w:bottom w:val="single" w:sz="4" w:space="0" w:color="auto"/>
              <w:right w:val="single" w:sz="6" w:space="0" w:color="auto"/>
            </w:tcBorders>
            <w:shd w:val="clear" w:color="auto" w:fill="auto"/>
            <w:vAlign w:val="center"/>
          </w:tcPr>
          <w:p w14:paraId="4142E2FD"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20</w:t>
            </w:r>
          </w:p>
        </w:tc>
        <w:tc>
          <w:tcPr>
            <w:tcW w:w="2268" w:type="dxa"/>
            <w:tcBorders>
              <w:top w:val="single" w:sz="4" w:space="0" w:color="auto"/>
              <w:left w:val="single" w:sz="6" w:space="0" w:color="auto"/>
              <w:bottom w:val="single" w:sz="4" w:space="0" w:color="auto"/>
              <w:right w:val="single" w:sz="4" w:space="0" w:color="auto"/>
            </w:tcBorders>
            <w:shd w:val="clear" w:color="auto" w:fill="auto"/>
            <w:vAlign w:val="center"/>
          </w:tcPr>
          <w:p w14:paraId="3E0AD283"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锌，</w:t>
            </w:r>
            <w:r>
              <w:rPr>
                <w:color w:val="000000" w:themeColor="text1"/>
                <w:kern w:val="0"/>
                <w:sz w:val="21"/>
                <w:szCs w:val="21"/>
              </w:rPr>
              <w:t>mg/L</w:t>
            </w:r>
          </w:p>
        </w:tc>
        <w:tc>
          <w:tcPr>
            <w:tcW w:w="1051" w:type="dxa"/>
            <w:tcBorders>
              <w:top w:val="single" w:sz="4" w:space="0" w:color="auto"/>
              <w:left w:val="single" w:sz="6" w:space="0" w:color="auto"/>
              <w:bottom w:val="single" w:sz="4" w:space="0" w:color="auto"/>
              <w:right w:val="single" w:sz="4" w:space="0" w:color="auto"/>
            </w:tcBorders>
            <w:shd w:val="clear" w:color="auto" w:fill="auto"/>
            <w:vAlign w:val="center"/>
          </w:tcPr>
          <w:p w14:paraId="403AB3D2"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≦1.0</w:t>
            </w:r>
          </w:p>
        </w:tc>
      </w:tr>
      <w:tr w:rsidR="005A1A44" w14:paraId="018CCC31" w14:textId="77777777">
        <w:trPr>
          <w:cantSplit/>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602A91EF"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10</w:t>
            </w:r>
          </w:p>
        </w:tc>
        <w:tc>
          <w:tcPr>
            <w:tcW w:w="3004" w:type="dxa"/>
            <w:tcBorders>
              <w:top w:val="single" w:sz="4" w:space="0" w:color="auto"/>
              <w:left w:val="single" w:sz="4" w:space="0" w:color="auto"/>
              <w:bottom w:val="single" w:sz="4" w:space="0" w:color="auto"/>
              <w:right w:val="single" w:sz="4" w:space="0" w:color="auto"/>
            </w:tcBorders>
            <w:shd w:val="clear" w:color="auto" w:fill="auto"/>
            <w:vAlign w:val="center"/>
          </w:tcPr>
          <w:p w14:paraId="5C2D6719"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氟化物（以</w:t>
            </w:r>
            <w:r>
              <w:rPr>
                <w:color w:val="000000" w:themeColor="text1"/>
                <w:kern w:val="0"/>
                <w:sz w:val="21"/>
                <w:szCs w:val="21"/>
              </w:rPr>
              <w:t>F</w:t>
            </w:r>
            <w:r>
              <w:rPr>
                <w:color w:val="000000" w:themeColor="text1"/>
                <w:kern w:val="0"/>
                <w:sz w:val="21"/>
                <w:szCs w:val="21"/>
                <w:vertAlign w:val="superscript"/>
              </w:rPr>
              <w:t>-</w:t>
            </w:r>
            <w:r>
              <w:rPr>
                <w:color w:val="000000" w:themeColor="text1"/>
                <w:kern w:val="0"/>
                <w:sz w:val="21"/>
                <w:szCs w:val="21"/>
              </w:rPr>
              <w:t>计），</w:t>
            </w:r>
            <w:r>
              <w:rPr>
                <w:color w:val="000000" w:themeColor="text1"/>
                <w:kern w:val="0"/>
                <w:sz w:val="21"/>
                <w:szCs w:val="21"/>
              </w:rPr>
              <w:t>mg/L</w:t>
            </w:r>
          </w:p>
        </w:tc>
        <w:tc>
          <w:tcPr>
            <w:tcW w:w="984" w:type="dxa"/>
            <w:tcBorders>
              <w:top w:val="single" w:sz="4" w:space="0" w:color="auto"/>
              <w:left w:val="single" w:sz="4" w:space="0" w:color="auto"/>
              <w:bottom w:val="single" w:sz="4" w:space="0" w:color="auto"/>
              <w:right w:val="double" w:sz="4" w:space="0" w:color="auto"/>
            </w:tcBorders>
            <w:shd w:val="clear" w:color="auto" w:fill="auto"/>
            <w:vAlign w:val="center"/>
          </w:tcPr>
          <w:p w14:paraId="54D90BCA"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≦1.0</w:t>
            </w:r>
          </w:p>
        </w:tc>
        <w:tc>
          <w:tcPr>
            <w:tcW w:w="607" w:type="dxa"/>
            <w:tcBorders>
              <w:top w:val="single" w:sz="4" w:space="0" w:color="auto"/>
              <w:left w:val="double" w:sz="4" w:space="0" w:color="auto"/>
              <w:bottom w:val="single" w:sz="4" w:space="0" w:color="auto"/>
              <w:right w:val="single" w:sz="6" w:space="0" w:color="auto"/>
            </w:tcBorders>
            <w:shd w:val="clear" w:color="auto" w:fill="auto"/>
            <w:vAlign w:val="center"/>
          </w:tcPr>
          <w:p w14:paraId="25A618D4"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21</w:t>
            </w:r>
          </w:p>
        </w:tc>
        <w:tc>
          <w:tcPr>
            <w:tcW w:w="2268" w:type="dxa"/>
            <w:tcBorders>
              <w:top w:val="single" w:sz="4" w:space="0" w:color="auto"/>
              <w:left w:val="single" w:sz="6" w:space="0" w:color="auto"/>
              <w:bottom w:val="single" w:sz="4" w:space="0" w:color="auto"/>
              <w:right w:val="single" w:sz="4" w:space="0" w:color="auto"/>
            </w:tcBorders>
            <w:shd w:val="clear" w:color="auto" w:fill="auto"/>
            <w:vAlign w:val="center"/>
          </w:tcPr>
          <w:p w14:paraId="70134BB0"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硒，</w:t>
            </w:r>
            <w:r>
              <w:rPr>
                <w:color w:val="000000" w:themeColor="text1"/>
                <w:kern w:val="0"/>
                <w:sz w:val="21"/>
                <w:szCs w:val="21"/>
              </w:rPr>
              <w:t>mg/L</w:t>
            </w:r>
          </w:p>
        </w:tc>
        <w:tc>
          <w:tcPr>
            <w:tcW w:w="1051" w:type="dxa"/>
            <w:tcBorders>
              <w:top w:val="single" w:sz="4" w:space="0" w:color="auto"/>
              <w:left w:val="single" w:sz="6" w:space="0" w:color="auto"/>
              <w:bottom w:val="single" w:sz="4" w:space="0" w:color="auto"/>
              <w:right w:val="single" w:sz="4" w:space="0" w:color="auto"/>
            </w:tcBorders>
            <w:shd w:val="clear" w:color="auto" w:fill="auto"/>
            <w:vAlign w:val="center"/>
          </w:tcPr>
          <w:p w14:paraId="2F4B9480"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≦0.01</w:t>
            </w:r>
          </w:p>
        </w:tc>
      </w:tr>
      <w:tr w:rsidR="005A1A44" w14:paraId="29B76ABD" w14:textId="77777777">
        <w:trPr>
          <w:cantSplit/>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1182378A"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11</w:t>
            </w:r>
          </w:p>
        </w:tc>
        <w:tc>
          <w:tcPr>
            <w:tcW w:w="3004" w:type="dxa"/>
            <w:tcBorders>
              <w:top w:val="single" w:sz="4" w:space="0" w:color="auto"/>
              <w:left w:val="single" w:sz="4" w:space="0" w:color="auto"/>
              <w:bottom w:val="single" w:sz="4" w:space="0" w:color="auto"/>
              <w:right w:val="single" w:sz="4" w:space="0" w:color="auto"/>
            </w:tcBorders>
            <w:shd w:val="clear" w:color="auto" w:fill="auto"/>
            <w:vAlign w:val="center"/>
          </w:tcPr>
          <w:p w14:paraId="4B996467" w14:textId="77777777" w:rsidR="005A1A44" w:rsidRDefault="0008059E">
            <w:pPr>
              <w:widowControl/>
              <w:adjustRightInd w:val="0"/>
              <w:snapToGrid w:val="0"/>
              <w:spacing w:line="240" w:lineRule="auto"/>
              <w:ind w:firstLineChars="0" w:firstLine="0"/>
              <w:jc w:val="center"/>
              <w:textAlignment w:val="center"/>
              <w:rPr>
                <w:color w:val="000000" w:themeColor="text1"/>
                <w:kern w:val="0"/>
                <w:sz w:val="21"/>
                <w:szCs w:val="21"/>
              </w:rPr>
            </w:pPr>
            <w:r>
              <w:rPr>
                <w:color w:val="000000" w:themeColor="text1"/>
                <w:kern w:val="0"/>
                <w:sz w:val="21"/>
                <w:szCs w:val="21"/>
              </w:rPr>
              <w:t>硫酸盐（以</w:t>
            </w:r>
            <w:r>
              <w:rPr>
                <w:color w:val="000000" w:themeColor="text1"/>
                <w:kern w:val="0"/>
                <w:sz w:val="21"/>
                <w:szCs w:val="21"/>
              </w:rPr>
              <w:t>SO4</w:t>
            </w:r>
            <w:r>
              <w:rPr>
                <w:color w:val="000000" w:themeColor="text1"/>
                <w:kern w:val="0"/>
                <w:sz w:val="21"/>
                <w:szCs w:val="21"/>
                <w:vertAlign w:val="superscript"/>
              </w:rPr>
              <w:t>2-</w:t>
            </w:r>
            <w:r>
              <w:rPr>
                <w:color w:val="000000" w:themeColor="text1"/>
                <w:kern w:val="0"/>
                <w:sz w:val="21"/>
                <w:szCs w:val="21"/>
              </w:rPr>
              <w:t>计），</w:t>
            </w:r>
            <w:r>
              <w:rPr>
                <w:color w:val="000000" w:themeColor="text1"/>
                <w:kern w:val="0"/>
                <w:sz w:val="21"/>
                <w:szCs w:val="21"/>
              </w:rPr>
              <w:t>mg/L</w:t>
            </w:r>
          </w:p>
        </w:tc>
        <w:tc>
          <w:tcPr>
            <w:tcW w:w="984" w:type="dxa"/>
            <w:tcBorders>
              <w:top w:val="single" w:sz="4" w:space="0" w:color="auto"/>
              <w:left w:val="single" w:sz="4" w:space="0" w:color="auto"/>
              <w:bottom w:val="single" w:sz="4" w:space="0" w:color="auto"/>
              <w:right w:val="double" w:sz="4" w:space="0" w:color="auto"/>
            </w:tcBorders>
            <w:shd w:val="clear" w:color="auto" w:fill="auto"/>
            <w:vAlign w:val="center"/>
          </w:tcPr>
          <w:p w14:paraId="56AD9C65" w14:textId="77777777" w:rsidR="005A1A44" w:rsidRDefault="0008059E">
            <w:pPr>
              <w:widowControl/>
              <w:adjustRightInd w:val="0"/>
              <w:snapToGrid w:val="0"/>
              <w:spacing w:line="240" w:lineRule="auto"/>
              <w:ind w:firstLineChars="0" w:firstLine="0"/>
              <w:jc w:val="center"/>
              <w:textAlignment w:val="center"/>
              <w:rPr>
                <w:color w:val="000000" w:themeColor="text1"/>
                <w:kern w:val="0"/>
                <w:sz w:val="21"/>
                <w:szCs w:val="21"/>
              </w:rPr>
            </w:pPr>
            <w:r>
              <w:rPr>
                <w:color w:val="000000" w:themeColor="text1"/>
                <w:kern w:val="0"/>
                <w:sz w:val="21"/>
                <w:szCs w:val="21"/>
              </w:rPr>
              <w:t>≦250</w:t>
            </w:r>
          </w:p>
        </w:tc>
        <w:tc>
          <w:tcPr>
            <w:tcW w:w="607" w:type="dxa"/>
            <w:tcBorders>
              <w:top w:val="single" w:sz="4" w:space="0" w:color="auto"/>
              <w:left w:val="double" w:sz="4" w:space="0" w:color="auto"/>
              <w:bottom w:val="single" w:sz="4" w:space="0" w:color="auto"/>
              <w:right w:val="single" w:sz="6" w:space="0" w:color="auto"/>
            </w:tcBorders>
            <w:shd w:val="clear" w:color="auto" w:fill="auto"/>
            <w:vAlign w:val="center"/>
          </w:tcPr>
          <w:p w14:paraId="5D55B019"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22</w:t>
            </w:r>
          </w:p>
        </w:tc>
        <w:tc>
          <w:tcPr>
            <w:tcW w:w="2268" w:type="dxa"/>
            <w:tcBorders>
              <w:top w:val="single" w:sz="4" w:space="0" w:color="auto"/>
              <w:left w:val="single" w:sz="6" w:space="0" w:color="auto"/>
              <w:bottom w:val="single" w:sz="4" w:space="0" w:color="auto"/>
              <w:right w:val="single" w:sz="4" w:space="0" w:color="auto"/>
            </w:tcBorders>
            <w:shd w:val="clear" w:color="auto" w:fill="auto"/>
            <w:vAlign w:val="center"/>
          </w:tcPr>
          <w:p w14:paraId="3B518E04"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镉，</w:t>
            </w:r>
            <w:r>
              <w:rPr>
                <w:color w:val="000000" w:themeColor="text1"/>
                <w:kern w:val="0"/>
                <w:sz w:val="21"/>
                <w:szCs w:val="21"/>
              </w:rPr>
              <w:t>mg/L</w:t>
            </w:r>
          </w:p>
        </w:tc>
        <w:tc>
          <w:tcPr>
            <w:tcW w:w="1051" w:type="dxa"/>
            <w:tcBorders>
              <w:top w:val="single" w:sz="4" w:space="0" w:color="auto"/>
              <w:left w:val="single" w:sz="6" w:space="0" w:color="auto"/>
              <w:bottom w:val="single" w:sz="4" w:space="0" w:color="auto"/>
              <w:right w:val="single" w:sz="4" w:space="0" w:color="auto"/>
            </w:tcBorders>
            <w:shd w:val="clear" w:color="auto" w:fill="auto"/>
            <w:vAlign w:val="center"/>
          </w:tcPr>
          <w:p w14:paraId="42C20E9D" w14:textId="77777777" w:rsidR="005A1A44" w:rsidRDefault="0008059E">
            <w:pPr>
              <w:widowControl/>
              <w:adjustRightInd w:val="0"/>
              <w:snapToGrid w:val="0"/>
              <w:spacing w:line="240" w:lineRule="auto"/>
              <w:ind w:firstLineChars="0" w:firstLine="0"/>
              <w:jc w:val="center"/>
              <w:textAlignment w:val="center"/>
              <w:rPr>
                <w:color w:val="000000" w:themeColor="text1"/>
                <w:sz w:val="21"/>
                <w:szCs w:val="21"/>
              </w:rPr>
            </w:pPr>
            <w:r>
              <w:rPr>
                <w:color w:val="000000" w:themeColor="text1"/>
                <w:kern w:val="0"/>
                <w:sz w:val="21"/>
                <w:szCs w:val="21"/>
              </w:rPr>
              <w:t>≦0.005</w:t>
            </w:r>
          </w:p>
        </w:tc>
      </w:tr>
    </w:tbl>
    <w:p w14:paraId="7C8695FF" w14:textId="77777777" w:rsidR="005A1A44" w:rsidRDefault="0008059E">
      <w:pPr>
        <w:ind w:firstLine="480"/>
      </w:pPr>
      <w:r>
        <w:t>（</w:t>
      </w:r>
      <w:r>
        <w:rPr>
          <w:rFonts w:hint="eastAsia"/>
        </w:rPr>
        <w:t>4</w:t>
      </w:r>
      <w:r>
        <w:t>）声环境质量标准</w:t>
      </w:r>
    </w:p>
    <w:p w14:paraId="52354076" w14:textId="77777777" w:rsidR="005A1A44" w:rsidRDefault="0008059E">
      <w:pPr>
        <w:ind w:firstLine="480"/>
      </w:pPr>
      <w:r>
        <w:t>根据拟建项目所在区域声环境概况和地理位置，声环境质量评价标准采用《声环境质量标准》（</w:t>
      </w:r>
      <w:r>
        <w:t>GB3096-2008</w:t>
      </w:r>
      <w:r>
        <w:t>）中</w:t>
      </w:r>
      <w:r>
        <w:t>2</w:t>
      </w:r>
      <w:r>
        <w:t>类</w:t>
      </w:r>
      <w:r>
        <w:rPr>
          <w:rFonts w:hint="eastAsia"/>
        </w:rPr>
        <w:t>、</w:t>
      </w:r>
      <w:r>
        <w:rPr>
          <w:rFonts w:hint="eastAsia"/>
        </w:rPr>
        <w:t>4a</w:t>
      </w:r>
      <w:r>
        <w:t>标准，见表</w:t>
      </w:r>
      <w:r>
        <w:rPr>
          <w:rFonts w:hint="eastAsia"/>
        </w:rPr>
        <w:t>2</w:t>
      </w:r>
      <w:r>
        <w:t>.</w:t>
      </w:r>
      <w:r>
        <w:rPr>
          <w:rFonts w:hint="eastAsia"/>
        </w:rPr>
        <w:t>3</w:t>
      </w:r>
      <w:r>
        <w:t>-</w:t>
      </w:r>
      <w:r>
        <w:rPr>
          <w:rFonts w:hint="eastAsia"/>
        </w:rPr>
        <w:t>4</w:t>
      </w:r>
      <w:r>
        <w:t>。</w:t>
      </w:r>
    </w:p>
    <w:p w14:paraId="5FF6CD33" w14:textId="77777777" w:rsidR="005A1A44" w:rsidRDefault="005A1A44">
      <w:pPr>
        <w:ind w:firstLineChars="0" w:firstLine="0"/>
        <w:jc w:val="center"/>
        <w:rPr>
          <w:rFonts w:eastAsia="黑体"/>
          <w:color w:val="000000" w:themeColor="text1"/>
        </w:rPr>
      </w:pPr>
    </w:p>
    <w:p w14:paraId="1A2B11AB" w14:textId="77777777" w:rsidR="005A1A44" w:rsidRDefault="005A1A44">
      <w:pPr>
        <w:ind w:firstLineChars="0" w:firstLine="0"/>
        <w:jc w:val="center"/>
        <w:rPr>
          <w:rFonts w:eastAsia="黑体"/>
          <w:color w:val="000000" w:themeColor="text1"/>
        </w:rPr>
      </w:pPr>
    </w:p>
    <w:p w14:paraId="0151956E" w14:textId="77777777" w:rsidR="005A1A44" w:rsidRDefault="0008059E">
      <w:pPr>
        <w:ind w:firstLineChars="0" w:firstLine="0"/>
        <w:jc w:val="center"/>
        <w:rPr>
          <w:color w:val="000000" w:themeColor="text1"/>
        </w:rPr>
      </w:pPr>
      <w:r>
        <w:rPr>
          <w:rFonts w:eastAsia="黑体"/>
          <w:color w:val="000000" w:themeColor="text1"/>
        </w:rPr>
        <w:lastRenderedPageBreak/>
        <w:t>表</w:t>
      </w:r>
      <w:r>
        <w:rPr>
          <w:rFonts w:eastAsia="黑体" w:hint="eastAsia"/>
          <w:color w:val="000000" w:themeColor="text1"/>
        </w:rPr>
        <w:t>2</w:t>
      </w:r>
      <w:r>
        <w:rPr>
          <w:rFonts w:eastAsia="黑体"/>
          <w:color w:val="000000" w:themeColor="text1"/>
        </w:rPr>
        <w:t>.</w:t>
      </w:r>
      <w:r>
        <w:rPr>
          <w:rFonts w:eastAsia="黑体" w:hint="eastAsia"/>
          <w:color w:val="000000" w:themeColor="text1"/>
        </w:rPr>
        <w:t>3</w:t>
      </w:r>
      <w:r>
        <w:rPr>
          <w:rFonts w:eastAsia="黑体"/>
          <w:color w:val="000000" w:themeColor="text1"/>
        </w:rPr>
        <w:t>-</w:t>
      </w:r>
      <w:r>
        <w:rPr>
          <w:rFonts w:eastAsia="黑体" w:hint="eastAsia"/>
          <w:color w:val="000000" w:themeColor="text1"/>
        </w:rPr>
        <w:t>4</w:t>
      </w:r>
      <w:r>
        <w:rPr>
          <w:rFonts w:eastAsia="黑体"/>
          <w:color w:val="000000" w:themeColor="text1"/>
        </w:rPr>
        <w:t xml:space="preserve">  </w:t>
      </w:r>
      <w:r>
        <w:rPr>
          <w:rFonts w:eastAsia="黑体"/>
          <w:color w:val="000000" w:themeColor="text1"/>
        </w:rPr>
        <w:t>声环境质量标准</w:t>
      </w:r>
      <w:r>
        <w:rPr>
          <w:color w:val="000000" w:themeColor="text1"/>
        </w:rPr>
        <w:t xml:space="preserve">          </w:t>
      </w:r>
      <w:r>
        <w:rPr>
          <w:color w:val="000000" w:themeColor="text1"/>
        </w:rPr>
        <w:t>单位：</w:t>
      </w:r>
      <w:r>
        <w:rPr>
          <w:color w:val="000000" w:themeColor="text1"/>
        </w:rPr>
        <w:t>dB(A)</w:t>
      </w:r>
    </w:p>
    <w:tbl>
      <w:tblPr>
        <w:tblW w:w="85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61"/>
        <w:gridCol w:w="1732"/>
        <w:gridCol w:w="1731"/>
        <w:gridCol w:w="2898"/>
      </w:tblGrid>
      <w:tr w:rsidR="005A1A44" w14:paraId="6A9EF74C" w14:textId="77777777">
        <w:trPr>
          <w:cantSplit/>
          <w:trHeight w:hRule="exact" w:val="340"/>
          <w:jc w:val="center"/>
        </w:trPr>
        <w:tc>
          <w:tcPr>
            <w:tcW w:w="2161" w:type="dxa"/>
            <w:vMerge w:val="restart"/>
            <w:shd w:val="clear" w:color="auto" w:fill="auto"/>
            <w:vAlign w:val="center"/>
          </w:tcPr>
          <w:p w14:paraId="31DE5B4D" w14:textId="77777777" w:rsidR="005A1A44" w:rsidRDefault="0008059E">
            <w:pPr>
              <w:ind w:firstLineChars="0" w:firstLine="0"/>
              <w:jc w:val="center"/>
              <w:rPr>
                <w:color w:val="000000" w:themeColor="text1"/>
                <w:sz w:val="21"/>
                <w:szCs w:val="21"/>
              </w:rPr>
            </w:pPr>
            <w:r>
              <w:rPr>
                <w:color w:val="000000" w:themeColor="text1"/>
                <w:sz w:val="21"/>
                <w:szCs w:val="21"/>
              </w:rPr>
              <w:t>适应区域</w:t>
            </w:r>
          </w:p>
        </w:tc>
        <w:tc>
          <w:tcPr>
            <w:tcW w:w="3463" w:type="dxa"/>
            <w:gridSpan w:val="2"/>
            <w:shd w:val="clear" w:color="auto" w:fill="auto"/>
            <w:vAlign w:val="center"/>
          </w:tcPr>
          <w:p w14:paraId="3A61779C" w14:textId="77777777" w:rsidR="005A1A44" w:rsidRDefault="0008059E">
            <w:pPr>
              <w:ind w:firstLineChars="0" w:firstLine="0"/>
              <w:jc w:val="center"/>
              <w:rPr>
                <w:color w:val="000000" w:themeColor="text1"/>
                <w:sz w:val="21"/>
                <w:szCs w:val="21"/>
              </w:rPr>
            </w:pPr>
            <w:r>
              <w:rPr>
                <w:color w:val="000000" w:themeColor="text1"/>
                <w:sz w:val="21"/>
                <w:szCs w:val="21"/>
              </w:rPr>
              <w:t>标准值</w:t>
            </w:r>
          </w:p>
        </w:tc>
        <w:tc>
          <w:tcPr>
            <w:tcW w:w="2898" w:type="dxa"/>
            <w:vMerge w:val="restart"/>
            <w:shd w:val="clear" w:color="auto" w:fill="auto"/>
            <w:vAlign w:val="center"/>
          </w:tcPr>
          <w:p w14:paraId="48366A75" w14:textId="77777777" w:rsidR="005A1A44" w:rsidRDefault="0008059E">
            <w:pPr>
              <w:ind w:firstLineChars="0" w:firstLine="0"/>
              <w:jc w:val="center"/>
              <w:rPr>
                <w:color w:val="000000" w:themeColor="text1"/>
                <w:sz w:val="21"/>
                <w:szCs w:val="21"/>
              </w:rPr>
            </w:pPr>
            <w:r>
              <w:rPr>
                <w:color w:val="000000" w:themeColor="text1"/>
                <w:sz w:val="21"/>
                <w:szCs w:val="21"/>
              </w:rPr>
              <w:t>标准来源</w:t>
            </w:r>
          </w:p>
        </w:tc>
      </w:tr>
      <w:tr w:rsidR="005A1A44" w14:paraId="3795CD75" w14:textId="77777777">
        <w:trPr>
          <w:cantSplit/>
          <w:trHeight w:hRule="exact" w:val="340"/>
          <w:jc w:val="center"/>
        </w:trPr>
        <w:tc>
          <w:tcPr>
            <w:tcW w:w="2161" w:type="dxa"/>
            <w:vMerge/>
            <w:shd w:val="clear" w:color="auto" w:fill="auto"/>
            <w:vAlign w:val="center"/>
          </w:tcPr>
          <w:p w14:paraId="6F8214EB" w14:textId="77777777" w:rsidR="005A1A44" w:rsidRDefault="005A1A44">
            <w:pPr>
              <w:ind w:firstLineChars="0" w:firstLine="0"/>
              <w:jc w:val="center"/>
              <w:rPr>
                <w:color w:val="000000" w:themeColor="text1"/>
                <w:sz w:val="21"/>
                <w:szCs w:val="21"/>
              </w:rPr>
            </w:pPr>
          </w:p>
        </w:tc>
        <w:tc>
          <w:tcPr>
            <w:tcW w:w="1732" w:type="dxa"/>
            <w:shd w:val="clear" w:color="auto" w:fill="auto"/>
            <w:vAlign w:val="center"/>
          </w:tcPr>
          <w:p w14:paraId="6C69744E" w14:textId="77777777" w:rsidR="005A1A44" w:rsidRDefault="0008059E">
            <w:pPr>
              <w:ind w:firstLineChars="0" w:firstLine="0"/>
              <w:jc w:val="center"/>
              <w:rPr>
                <w:color w:val="000000" w:themeColor="text1"/>
                <w:sz w:val="21"/>
                <w:szCs w:val="21"/>
              </w:rPr>
            </w:pPr>
            <w:r>
              <w:rPr>
                <w:color w:val="000000" w:themeColor="text1"/>
                <w:sz w:val="21"/>
                <w:szCs w:val="21"/>
              </w:rPr>
              <w:t>昼</w:t>
            </w:r>
            <w:r>
              <w:rPr>
                <w:color w:val="000000" w:themeColor="text1"/>
                <w:sz w:val="21"/>
                <w:szCs w:val="21"/>
              </w:rPr>
              <w:t xml:space="preserve">  </w:t>
            </w:r>
            <w:r>
              <w:rPr>
                <w:color w:val="000000" w:themeColor="text1"/>
                <w:sz w:val="21"/>
                <w:szCs w:val="21"/>
              </w:rPr>
              <w:t>间</w:t>
            </w:r>
          </w:p>
        </w:tc>
        <w:tc>
          <w:tcPr>
            <w:tcW w:w="1731" w:type="dxa"/>
            <w:shd w:val="clear" w:color="auto" w:fill="auto"/>
            <w:vAlign w:val="center"/>
          </w:tcPr>
          <w:p w14:paraId="249FB4C5" w14:textId="77777777" w:rsidR="005A1A44" w:rsidRDefault="0008059E">
            <w:pPr>
              <w:ind w:firstLineChars="0" w:firstLine="0"/>
              <w:jc w:val="center"/>
              <w:rPr>
                <w:color w:val="000000" w:themeColor="text1"/>
                <w:sz w:val="21"/>
                <w:szCs w:val="21"/>
              </w:rPr>
            </w:pPr>
            <w:r>
              <w:rPr>
                <w:color w:val="000000" w:themeColor="text1"/>
                <w:sz w:val="21"/>
                <w:szCs w:val="21"/>
              </w:rPr>
              <w:t>夜</w:t>
            </w:r>
            <w:r>
              <w:rPr>
                <w:color w:val="000000" w:themeColor="text1"/>
                <w:sz w:val="21"/>
                <w:szCs w:val="21"/>
              </w:rPr>
              <w:t xml:space="preserve">  </w:t>
            </w:r>
            <w:r>
              <w:rPr>
                <w:color w:val="000000" w:themeColor="text1"/>
                <w:sz w:val="21"/>
                <w:szCs w:val="21"/>
              </w:rPr>
              <w:t>间</w:t>
            </w:r>
          </w:p>
        </w:tc>
        <w:tc>
          <w:tcPr>
            <w:tcW w:w="2898" w:type="dxa"/>
            <w:vMerge/>
            <w:shd w:val="clear" w:color="auto" w:fill="auto"/>
            <w:vAlign w:val="center"/>
          </w:tcPr>
          <w:p w14:paraId="1DE6BAB7" w14:textId="77777777" w:rsidR="005A1A44" w:rsidRDefault="005A1A44">
            <w:pPr>
              <w:ind w:firstLineChars="0" w:firstLine="0"/>
              <w:jc w:val="center"/>
              <w:rPr>
                <w:color w:val="000000" w:themeColor="text1"/>
                <w:sz w:val="21"/>
                <w:szCs w:val="21"/>
              </w:rPr>
            </w:pPr>
          </w:p>
        </w:tc>
      </w:tr>
      <w:tr w:rsidR="005A1A44" w14:paraId="35C18B7C" w14:textId="77777777">
        <w:trPr>
          <w:cantSplit/>
          <w:trHeight w:hRule="exact" w:val="340"/>
          <w:jc w:val="center"/>
        </w:trPr>
        <w:tc>
          <w:tcPr>
            <w:tcW w:w="2161" w:type="dxa"/>
            <w:shd w:val="clear" w:color="auto" w:fill="auto"/>
            <w:vAlign w:val="center"/>
          </w:tcPr>
          <w:p w14:paraId="08F7C638" w14:textId="77777777" w:rsidR="005A1A44" w:rsidRDefault="0008059E">
            <w:pPr>
              <w:ind w:firstLineChars="0" w:firstLine="0"/>
              <w:jc w:val="center"/>
              <w:rPr>
                <w:color w:val="000000" w:themeColor="text1"/>
                <w:sz w:val="21"/>
                <w:szCs w:val="21"/>
              </w:rPr>
            </w:pPr>
            <w:r>
              <w:rPr>
                <w:color w:val="000000" w:themeColor="text1"/>
                <w:sz w:val="21"/>
                <w:szCs w:val="21"/>
              </w:rPr>
              <w:t>2</w:t>
            </w:r>
            <w:r>
              <w:rPr>
                <w:color w:val="000000" w:themeColor="text1"/>
                <w:sz w:val="21"/>
                <w:szCs w:val="21"/>
              </w:rPr>
              <w:t>类</w:t>
            </w:r>
          </w:p>
        </w:tc>
        <w:tc>
          <w:tcPr>
            <w:tcW w:w="1732" w:type="dxa"/>
            <w:shd w:val="clear" w:color="auto" w:fill="auto"/>
            <w:vAlign w:val="center"/>
          </w:tcPr>
          <w:p w14:paraId="247BF51D" w14:textId="77777777" w:rsidR="005A1A44" w:rsidRDefault="0008059E">
            <w:pPr>
              <w:ind w:firstLineChars="0" w:firstLine="0"/>
              <w:jc w:val="center"/>
              <w:rPr>
                <w:color w:val="000000" w:themeColor="text1"/>
                <w:sz w:val="21"/>
                <w:szCs w:val="21"/>
              </w:rPr>
            </w:pPr>
            <w:r>
              <w:rPr>
                <w:color w:val="000000" w:themeColor="text1"/>
                <w:sz w:val="21"/>
                <w:szCs w:val="21"/>
              </w:rPr>
              <w:t>60</w:t>
            </w:r>
          </w:p>
        </w:tc>
        <w:tc>
          <w:tcPr>
            <w:tcW w:w="1731" w:type="dxa"/>
            <w:shd w:val="clear" w:color="auto" w:fill="auto"/>
            <w:vAlign w:val="center"/>
          </w:tcPr>
          <w:p w14:paraId="427717CD" w14:textId="77777777" w:rsidR="005A1A44" w:rsidRDefault="0008059E">
            <w:pPr>
              <w:ind w:firstLineChars="0" w:firstLine="0"/>
              <w:jc w:val="center"/>
              <w:rPr>
                <w:color w:val="000000" w:themeColor="text1"/>
                <w:sz w:val="21"/>
                <w:szCs w:val="21"/>
              </w:rPr>
            </w:pPr>
            <w:r>
              <w:rPr>
                <w:color w:val="000000" w:themeColor="text1"/>
                <w:sz w:val="21"/>
                <w:szCs w:val="21"/>
              </w:rPr>
              <w:t>50</w:t>
            </w:r>
          </w:p>
        </w:tc>
        <w:tc>
          <w:tcPr>
            <w:tcW w:w="2898" w:type="dxa"/>
            <w:vMerge w:val="restart"/>
            <w:shd w:val="clear" w:color="auto" w:fill="auto"/>
            <w:vAlign w:val="center"/>
          </w:tcPr>
          <w:p w14:paraId="6DD8EB23" w14:textId="77777777" w:rsidR="005A1A44" w:rsidRDefault="0008059E">
            <w:pPr>
              <w:ind w:firstLineChars="0" w:firstLine="0"/>
              <w:jc w:val="center"/>
              <w:rPr>
                <w:color w:val="000000" w:themeColor="text1"/>
                <w:sz w:val="21"/>
                <w:szCs w:val="21"/>
              </w:rPr>
            </w:pPr>
            <w:r>
              <w:rPr>
                <w:color w:val="000000" w:themeColor="text1"/>
                <w:sz w:val="21"/>
                <w:szCs w:val="21"/>
              </w:rPr>
              <w:t>GB3096-2008</w:t>
            </w:r>
          </w:p>
        </w:tc>
      </w:tr>
      <w:tr w:rsidR="005A1A44" w14:paraId="46AD27D2" w14:textId="77777777">
        <w:trPr>
          <w:cantSplit/>
          <w:trHeight w:hRule="exact" w:val="340"/>
          <w:jc w:val="center"/>
        </w:trPr>
        <w:tc>
          <w:tcPr>
            <w:tcW w:w="2161" w:type="dxa"/>
            <w:shd w:val="clear" w:color="auto" w:fill="auto"/>
            <w:vAlign w:val="center"/>
          </w:tcPr>
          <w:p w14:paraId="5D10F1EE" w14:textId="77777777" w:rsidR="005A1A44" w:rsidRDefault="0008059E">
            <w:pPr>
              <w:ind w:firstLineChars="0" w:firstLine="0"/>
              <w:jc w:val="center"/>
              <w:rPr>
                <w:color w:val="000000" w:themeColor="text1"/>
                <w:sz w:val="21"/>
                <w:szCs w:val="21"/>
              </w:rPr>
            </w:pPr>
            <w:r>
              <w:rPr>
                <w:rFonts w:hint="eastAsia"/>
                <w:color w:val="000000" w:themeColor="text1"/>
                <w:sz w:val="21"/>
                <w:szCs w:val="21"/>
              </w:rPr>
              <w:t>4a</w:t>
            </w:r>
          </w:p>
        </w:tc>
        <w:tc>
          <w:tcPr>
            <w:tcW w:w="1732" w:type="dxa"/>
            <w:shd w:val="clear" w:color="auto" w:fill="auto"/>
            <w:vAlign w:val="center"/>
          </w:tcPr>
          <w:p w14:paraId="6E1E2827" w14:textId="77777777" w:rsidR="005A1A44" w:rsidRDefault="0008059E">
            <w:pPr>
              <w:ind w:firstLineChars="0" w:firstLine="0"/>
              <w:jc w:val="center"/>
              <w:rPr>
                <w:color w:val="000000" w:themeColor="text1"/>
                <w:sz w:val="21"/>
                <w:szCs w:val="21"/>
              </w:rPr>
            </w:pPr>
            <w:r>
              <w:rPr>
                <w:rFonts w:hint="eastAsia"/>
                <w:color w:val="000000" w:themeColor="text1"/>
                <w:sz w:val="21"/>
                <w:szCs w:val="21"/>
              </w:rPr>
              <w:t>7</w:t>
            </w:r>
            <w:r>
              <w:rPr>
                <w:color w:val="000000" w:themeColor="text1"/>
                <w:sz w:val="21"/>
                <w:szCs w:val="21"/>
              </w:rPr>
              <w:t>0</w:t>
            </w:r>
          </w:p>
        </w:tc>
        <w:tc>
          <w:tcPr>
            <w:tcW w:w="1731" w:type="dxa"/>
            <w:shd w:val="clear" w:color="auto" w:fill="auto"/>
            <w:vAlign w:val="center"/>
          </w:tcPr>
          <w:p w14:paraId="15F74134" w14:textId="77777777" w:rsidR="005A1A44" w:rsidRDefault="0008059E">
            <w:pPr>
              <w:ind w:firstLineChars="0" w:firstLine="0"/>
              <w:jc w:val="center"/>
              <w:rPr>
                <w:color w:val="000000" w:themeColor="text1"/>
                <w:sz w:val="21"/>
                <w:szCs w:val="21"/>
              </w:rPr>
            </w:pPr>
            <w:r>
              <w:rPr>
                <w:rFonts w:hint="eastAsia"/>
                <w:color w:val="000000" w:themeColor="text1"/>
                <w:sz w:val="21"/>
                <w:szCs w:val="21"/>
              </w:rPr>
              <w:t>5</w:t>
            </w:r>
            <w:r>
              <w:rPr>
                <w:color w:val="000000" w:themeColor="text1"/>
                <w:sz w:val="21"/>
                <w:szCs w:val="21"/>
              </w:rPr>
              <w:t>5</w:t>
            </w:r>
          </w:p>
        </w:tc>
        <w:tc>
          <w:tcPr>
            <w:tcW w:w="2898" w:type="dxa"/>
            <w:vMerge/>
            <w:shd w:val="clear" w:color="auto" w:fill="auto"/>
            <w:vAlign w:val="center"/>
          </w:tcPr>
          <w:p w14:paraId="498D240F" w14:textId="77777777" w:rsidR="005A1A44" w:rsidRDefault="005A1A44">
            <w:pPr>
              <w:ind w:firstLineChars="0" w:firstLine="0"/>
              <w:jc w:val="center"/>
              <w:rPr>
                <w:color w:val="000000" w:themeColor="text1"/>
                <w:sz w:val="21"/>
                <w:szCs w:val="21"/>
              </w:rPr>
            </w:pPr>
          </w:p>
        </w:tc>
      </w:tr>
    </w:tbl>
    <w:p w14:paraId="7BDD6AFE" w14:textId="77777777" w:rsidR="005A1A44" w:rsidRDefault="0008059E">
      <w:pPr>
        <w:numPr>
          <w:ilvl w:val="0"/>
          <w:numId w:val="5"/>
        </w:numPr>
        <w:ind w:firstLine="480"/>
      </w:pPr>
      <w:r>
        <w:rPr>
          <w:rFonts w:hint="eastAsia"/>
        </w:rPr>
        <w:t>土壤环境质量标准</w:t>
      </w:r>
    </w:p>
    <w:p w14:paraId="785E8BF4" w14:textId="77777777" w:rsidR="005A1A44" w:rsidRDefault="0008059E">
      <w:pPr>
        <w:ind w:firstLine="480"/>
      </w:pPr>
      <w:r>
        <w:t>根据拟建项目所在区域</w:t>
      </w:r>
      <w:r>
        <w:rPr>
          <w:rFonts w:hint="eastAsia"/>
        </w:rPr>
        <w:t>土地性质</w:t>
      </w:r>
      <w:r>
        <w:t>，</w:t>
      </w:r>
      <w:r>
        <w:rPr>
          <w:rFonts w:hint="eastAsia"/>
        </w:rPr>
        <w:t>土壤环境质量、河道底质质量评价标准采用《土壤环境质量</w:t>
      </w:r>
      <w:r>
        <w:rPr>
          <w:rFonts w:hint="eastAsia"/>
        </w:rPr>
        <w:t xml:space="preserve"> </w:t>
      </w:r>
      <w:r>
        <w:rPr>
          <w:rFonts w:hint="eastAsia"/>
        </w:rPr>
        <w:t>农用地土壤污染风险管控标准（试行）》</w:t>
      </w:r>
      <w:r>
        <w:t>（</w:t>
      </w:r>
      <w:r>
        <w:t>GB</w:t>
      </w:r>
      <w:r>
        <w:rPr>
          <w:rFonts w:hint="eastAsia"/>
        </w:rPr>
        <w:t>15618</w:t>
      </w:r>
      <w:r>
        <w:t>-20</w:t>
      </w:r>
      <w:r>
        <w:rPr>
          <w:rFonts w:hint="eastAsia"/>
        </w:rPr>
        <w:t>1</w:t>
      </w:r>
      <w:r>
        <w:t>8</w:t>
      </w:r>
      <w:r>
        <w:t>）</w:t>
      </w:r>
      <w:r>
        <w:rPr>
          <w:rFonts w:hint="eastAsia"/>
        </w:rPr>
        <w:t>，见表</w:t>
      </w:r>
      <w:r>
        <w:rPr>
          <w:rFonts w:hint="eastAsia"/>
        </w:rPr>
        <w:t>2.3-5</w:t>
      </w:r>
      <w:r>
        <w:rPr>
          <w:rFonts w:hint="eastAsia"/>
        </w:rPr>
        <w:t>。</w:t>
      </w:r>
    </w:p>
    <w:p w14:paraId="5E2C0F3E" w14:textId="77777777" w:rsidR="005A1A44" w:rsidRDefault="0008059E">
      <w:pPr>
        <w:ind w:firstLineChars="0" w:firstLine="0"/>
        <w:jc w:val="center"/>
        <w:rPr>
          <w:rFonts w:eastAsia="黑体"/>
          <w:color w:val="000000" w:themeColor="text1"/>
        </w:rPr>
      </w:pPr>
      <w:r>
        <w:rPr>
          <w:rFonts w:eastAsia="黑体" w:hint="eastAsia"/>
          <w:color w:val="000000" w:themeColor="text1"/>
        </w:rPr>
        <w:t>表</w:t>
      </w:r>
      <w:r>
        <w:rPr>
          <w:rFonts w:eastAsia="黑体" w:hint="eastAsia"/>
          <w:color w:val="000000" w:themeColor="text1"/>
        </w:rPr>
        <w:t xml:space="preserve">2.3-5  </w:t>
      </w:r>
      <w:r>
        <w:rPr>
          <w:rFonts w:eastAsia="黑体" w:hint="eastAsia"/>
          <w:color w:val="000000" w:themeColor="text1"/>
        </w:rPr>
        <w:t>土壤环境质量标准</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7"/>
        <w:gridCol w:w="4423"/>
      </w:tblGrid>
      <w:tr w:rsidR="005A1A44" w14:paraId="1C563317" w14:textId="77777777">
        <w:trPr>
          <w:cantSplit/>
          <w:trHeight w:val="487"/>
          <w:jc w:val="center"/>
        </w:trPr>
        <w:tc>
          <w:tcPr>
            <w:tcW w:w="4427" w:type="dxa"/>
            <w:vMerge w:val="restart"/>
            <w:vAlign w:val="center"/>
          </w:tcPr>
          <w:p w14:paraId="5B51A440"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监</w:t>
            </w:r>
            <w:r>
              <w:rPr>
                <w:color w:val="000000" w:themeColor="text1"/>
                <w:sz w:val="21"/>
                <w:szCs w:val="21"/>
              </w:rPr>
              <w:t xml:space="preserve"> </w:t>
            </w:r>
            <w:r>
              <w:rPr>
                <w:color w:val="000000" w:themeColor="text1"/>
                <w:sz w:val="21"/>
                <w:szCs w:val="21"/>
              </w:rPr>
              <w:t>测</w:t>
            </w:r>
            <w:r>
              <w:rPr>
                <w:color w:val="000000" w:themeColor="text1"/>
                <w:sz w:val="21"/>
                <w:szCs w:val="21"/>
              </w:rPr>
              <w:t xml:space="preserve"> </w:t>
            </w:r>
            <w:r>
              <w:rPr>
                <w:color w:val="000000" w:themeColor="text1"/>
                <w:sz w:val="21"/>
                <w:szCs w:val="21"/>
              </w:rPr>
              <w:t>项</w:t>
            </w:r>
            <w:r>
              <w:rPr>
                <w:color w:val="000000" w:themeColor="text1"/>
                <w:sz w:val="21"/>
                <w:szCs w:val="21"/>
              </w:rPr>
              <w:t xml:space="preserve"> </w:t>
            </w:r>
            <w:r>
              <w:rPr>
                <w:color w:val="000000" w:themeColor="text1"/>
                <w:sz w:val="21"/>
                <w:szCs w:val="21"/>
              </w:rPr>
              <w:t>目</w:t>
            </w:r>
          </w:p>
        </w:tc>
        <w:tc>
          <w:tcPr>
            <w:tcW w:w="4423" w:type="dxa"/>
            <w:vMerge w:val="restart"/>
            <w:tcBorders>
              <w:top w:val="single" w:sz="4" w:space="0" w:color="000000"/>
              <w:right w:val="single" w:sz="4" w:space="0" w:color="000000"/>
            </w:tcBorders>
            <w:vAlign w:val="center"/>
          </w:tcPr>
          <w:p w14:paraId="66170636"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筛选值</w:t>
            </w:r>
          </w:p>
        </w:tc>
      </w:tr>
      <w:tr w:rsidR="005A1A44" w14:paraId="75F85602" w14:textId="77777777">
        <w:trPr>
          <w:cantSplit/>
          <w:trHeight w:val="312"/>
          <w:jc w:val="center"/>
        </w:trPr>
        <w:tc>
          <w:tcPr>
            <w:tcW w:w="4427" w:type="dxa"/>
            <w:vMerge/>
            <w:vAlign w:val="center"/>
          </w:tcPr>
          <w:p w14:paraId="31F2BB4B" w14:textId="77777777" w:rsidR="005A1A44" w:rsidRDefault="005A1A44">
            <w:pPr>
              <w:adjustRightInd w:val="0"/>
              <w:snapToGrid w:val="0"/>
              <w:spacing w:line="240" w:lineRule="auto"/>
              <w:ind w:firstLineChars="0" w:firstLine="0"/>
              <w:jc w:val="center"/>
              <w:rPr>
                <w:color w:val="000000" w:themeColor="text1"/>
                <w:sz w:val="21"/>
                <w:szCs w:val="21"/>
              </w:rPr>
            </w:pPr>
          </w:p>
        </w:tc>
        <w:tc>
          <w:tcPr>
            <w:tcW w:w="4423" w:type="dxa"/>
            <w:vMerge/>
            <w:tcBorders>
              <w:right w:val="single" w:sz="4" w:space="0" w:color="000000"/>
            </w:tcBorders>
            <w:vAlign w:val="center"/>
          </w:tcPr>
          <w:p w14:paraId="48080017" w14:textId="77777777" w:rsidR="005A1A44" w:rsidRDefault="005A1A44">
            <w:pPr>
              <w:adjustRightInd w:val="0"/>
              <w:snapToGrid w:val="0"/>
              <w:spacing w:line="240" w:lineRule="auto"/>
              <w:ind w:firstLineChars="0" w:firstLine="0"/>
              <w:jc w:val="center"/>
              <w:rPr>
                <w:color w:val="000000" w:themeColor="text1"/>
                <w:sz w:val="21"/>
                <w:szCs w:val="21"/>
              </w:rPr>
            </w:pPr>
          </w:p>
        </w:tc>
      </w:tr>
      <w:tr w:rsidR="005A1A44" w14:paraId="74D3B302" w14:textId="77777777">
        <w:trPr>
          <w:cantSplit/>
          <w:jc w:val="center"/>
        </w:trPr>
        <w:tc>
          <w:tcPr>
            <w:tcW w:w="4427" w:type="dxa"/>
            <w:vAlign w:val="center"/>
          </w:tcPr>
          <w:p w14:paraId="53087AE5"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pH</w:t>
            </w:r>
            <w:r>
              <w:rPr>
                <w:color w:val="000000" w:themeColor="text1"/>
                <w:sz w:val="21"/>
                <w:szCs w:val="21"/>
              </w:rPr>
              <w:t>（</w:t>
            </w:r>
            <w:r>
              <w:rPr>
                <w:rFonts w:hint="eastAsia"/>
                <w:color w:val="000000" w:themeColor="text1"/>
                <w:sz w:val="21"/>
                <w:szCs w:val="21"/>
              </w:rPr>
              <w:t>无量纲</w:t>
            </w:r>
            <w:r>
              <w:rPr>
                <w:color w:val="000000" w:themeColor="text1"/>
                <w:sz w:val="21"/>
                <w:szCs w:val="21"/>
              </w:rPr>
              <w:t>）</w:t>
            </w:r>
          </w:p>
        </w:tc>
        <w:tc>
          <w:tcPr>
            <w:tcW w:w="4423" w:type="dxa"/>
            <w:vAlign w:val="center"/>
          </w:tcPr>
          <w:p w14:paraId="075F79E3" w14:textId="77777777" w:rsidR="005A1A44" w:rsidRDefault="0008059E">
            <w:pPr>
              <w:adjustRightInd w:val="0"/>
              <w:snapToGrid w:val="0"/>
              <w:spacing w:line="240" w:lineRule="auto"/>
              <w:ind w:firstLineChars="0" w:firstLine="0"/>
              <w:jc w:val="center"/>
              <w:rPr>
                <w:color w:val="000000" w:themeColor="text1"/>
                <w:sz w:val="21"/>
                <w:szCs w:val="21"/>
              </w:rPr>
            </w:pPr>
            <w:r>
              <w:rPr>
                <w:rFonts w:ascii="宋体" w:eastAsia="宋体" w:hAnsi="宋体" w:hint="eastAsia"/>
                <w:color w:val="000000" w:themeColor="text1"/>
                <w:sz w:val="21"/>
                <w:szCs w:val="21"/>
              </w:rPr>
              <w:t>&gt;</w:t>
            </w:r>
            <w:r>
              <w:rPr>
                <w:rFonts w:hint="eastAsia"/>
                <w:color w:val="000000" w:themeColor="text1"/>
                <w:sz w:val="21"/>
                <w:szCs w:val="21"/>
              </w:rPr>
              <w:t>7</w:t>
            </w:r>
            <w:r>
              <w:rPr>
                <w:color w:val="000000" w:themeColor="text1"/>
                <w:sz w:val="21"/>
                <w:szCs w:val="21"/>
              </w:rPr>
              <w:t>.5</w:t>
            </w:r>
          </w:p>
        </w:tc>
      </w:tr>
      <w:tr w:rsidR="005A1A44" w14:paraId="5F3724AD" w14:textId="77777777">
        <w:trPr>
          <w:cantSplit/>
          <w:jc w:val="center"/>
        </w:trPr>
        <w:tc>
          <w:tcPr>
            <w:tcW w:w="4427" w:type="dxa"/>
            <w:vAlign w:val="center"/>
          </w:tcPr>
          <w:p w14:paraId="788740BE"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汞，</w:t>
            </w:r>
            <w:r>
              <w:rPr>
                <w:color w:val="000000" w:themeColor="text1"/>
                <w:sz w:val="21"/>
                <w:szCs w:val="21"/>
              </w:rPr>
              <w:t>mg/kg</w:t>
            </w:r>
          </w:p>
        </w:tc>
        <w:tc>
          <w:tcPr>
            <w:tcW w:w="4423" w:type="dxa"/>
            <w:vAlign w:val="center"/>
          </w:tcPr>
          <w:p w14:paraId="77CBC450"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3.4</w:t>
            </w:r>
          </w:p>
        </w:tc>
      </w:tr>
      <w:tr w:rsidR="005A1A44" w14:paraId="5FFC19C1" w14:textId="77777777">
        <w:trPr>
          <w:cantSplit/>
          <w:trHeight w:val="90"/>
          <w:jc w:val="center"/>
        </w:trPr>
        <w:tc>
          <w:tcPr>
            <w:tcW w:w="4427" w:type="dxa"/>
            <w:vAlign w:val="center"/>
          </w:tcPr>
          <w:p w14:paraId="6186E52D"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砷，</w:t>
            </w:r>
            <w:r>
              <w:rPr>
                <w:color w:val="000000" w:themeColor="text1"/>
                <w:sz w:val="21"/>
                <w:szCs w:val="21"/>
              </w:rPr>
              <w:t>mg/kg</w:t>
            </w:r>
          </w:p>
        </w:tc>
        <w:tc>
          <w:tcPr>
            <w:tcW w:w="4423" w:type="dxa"/>
            <w:vAlign w:val="center"/>
          </w:tcPr>
          <w:p w14:paraId="0F12D182"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20</w:t>
            </w:r>
          </w:p>
        </w:tc>
      </w:tr>
      <w:tr w:rsidR="005A1A44" w14:paraId="1B5A40D9" w14:textId="77777777">
        <w:trPr>
          <w:cantSplit/>
          <w:jc w:val="center"/>
        </w:trPr>
        <w:tc>
          <w:tcPr>
            <w:tcW w:w="4427" w:type="dxa"/>
            <w:vAlign w:val="center"/>
          </w:tcPr>
          <w:p w14:paraId="6574DD6C"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铬，</w:t>
            </w:r>
            <w:r>
              <w:rPr>
                <w:color w:val="000000" w:themeColor="text1"/>
                <w:sz w:val="21"/>
                <w:szCs w:val="21"/>
              </w:rPr>
              <w:t>mg/kg</w:t>
            </w:r>
          </w:p>
        </w:tc>
        <w:tc>
          <w:tcPr>
            <w:tcW w:w="4423" w:type="dxa"/>
            <w:vAlign w:val="center"/>
          </w:tcPr>
          <w:p w14:paraId="4F5F700B"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250</w:t>
            </w:r>
          </w:p>
        </w:tc>
      </w:tr>
      <w:tr w:rsidR="005A1A44" w14:paraId="365C78CF" w14:textId="77777777">
        <w:trPr>
          <w:cantSplit/>
          <w:jc w:val="center"/>
        </w:trPr>
        <w:tc>
          <w:tcPr>
            <w:tcW w:w="4427" w:type="dxa"/>
            <w:vAlign w:val="center"/>
          </w:tcPr>
          <w:p w14:paraId="7076790E"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镉，</w:t>
            </w:r>
            <w:r>
              <w:rPr>
                <w:color w:val="000000" w:themeColor="text1"/>
                <w:sz w:val="21"/>
                <w:szCs w:val="21"/>
              </w:rPr>
              <w:t>mg/kg</w:t>
            </w:r>
          </w:p>
        </w:tc>
        <w:tc>
          <w:tcPr>
            <w:tcW w:w="4423" w:type="dxa"/>
            <w:vAlign w:val="center"/>
          </w:tcPr>
          <w:p w14:paraId="0C0EFF15"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0.6</w:t>
            </w:r>
          </w:p>
        </w:tc>
      </w:tr>
      <w:tr w:rsidR="005A1A44" w14:paraId="2413F735" w14:textId="77777777">
        <w:trPr>
          <w:cantSplit/>
          <w:jc w:val="center"/>
        </w:trPr>
        <w:tc>
          <w:tcPr>
            <w:tcW w:w="4427" w:type="dxa"/>
            <w:vAlign w:val="center"/>
          </w:tcPr>
          <w:p w14:paraId="14936F2C"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铅，</w:t>
            </w:r>
            <w:r>
              <w:rPr>
                <w:color w:val="000000" w:themeColor="text1"/>
                <w:sz w:val="21"/>
                <w:szCs w:val="21"/>
              </w:rPr>
              <w:t>mg/kg</w:t>
            </w:r>
          </w:p>
        </w:tc>
        <w:tc>
          <w:tcPr>
            <w:tcW w:w="4423" w:type="dxa"/>
            <w:vAlign w:val="center"/>
          </w:tcPr>
          <w:p w14:paraId="771CB9E1"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170</w:t>
            </w:r>
          </w:p>
        </w:tc>
      </w:tr>
      <w:tr w:rsidR="005A1A44" w14:paraId="76271015" w14:textId="77777777">
        <w:trPr>
          <w:cantSplit/>
          <w:jc w:val="center"/>
        </w:trPr>
        <w:tc>
          <w:tcPr>
            <w:tcW w:w="4427" w:type="dxa"/>
            <w:vAlign w:val="center"/>
          </w:tcPr>
          <w:p w14:paraId="2CFF7982"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镍，</w:t>
            </w:r>
            <w:r>
              <w:rPr>
                <w:color w:val="000000" w:themeColor="text1"/>
                <w:sz w:val="21"/>
                <w:szCs w:val="21"/>
              </w:rPr>
              <w:t>mg/kg</w:t>
            </w:r>
          </w:p>
        </w:tc>
        <w:tc>
          <w:tcPr>
            <w:tcW w:w="4423" w:type="dxa"/>
            <w:vAlign w:val="center"/>
          </w:tcPr>
          <w:p w14:paraId="5FE52E1E"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190</w:t>
            </w:r>
          </w:p>
        </w:tc>
      </w:tr>
      <w:tr w:rsidR="005A1A44" w14:paraId="6598D0F0" w14:textId="77777777">
        <w:trPr>
          <w:cantSplit/>
          <w:trHeight w:val="90"/>
          <w:jc w:val="center"/>
        </w:trPr>
        <w:tc>
          <w:tcPr>
            <w:tcW w:w="4427" w:type="dxa"/>
            <w:vAlign w:val="center"/>
          </w:tcPr>
          <w:p w14:paraId="53A0F801"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铜</w:t>
            </w:r>
            <w:r>
              <w:rPr>
                <w:color w:val="000000" w:themeColor="text1"/>
                <w:sz w:val="21"/>
                <w:szCs w:val="21"/>
              </w:rPr>
              <w:t>，</w:t>
            </w:r>
            <w:r>
              <w:rPr>
                <w:color w:val="000000" w:themeColor="text1"/>
                <w:sz w:val="21"/>
                <w:szCs w:val="21"/>
              </w:rPr>
              <w:t>mg/kg</w:t>
            </w:r>
          </w:p>
        </w:tc>
        <w:tc>
          <w:tcPr>
            <w:tcW w:w="4423" w:type="dxa"/>
            <w:vAlign w:val="center"/>
          </w:tcPr>
          <w:p w14:paraId="61571A4C"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100</w:t>
            </w:r>
          </w:p>
        </w:tc>
      </w:tr>
    </w:tbl>
    <w:p w14:paraId="329486A4" w14:textId="77777777" w:rsidR="005A1A44" w:rsidRDefault="0008059E">
      <w:pPr>
        <w:pStyle w:val="4"/>
        <w:numPr>
          <w:ilvl w:val="3"/>
          <w:numId w:val="2"/>
        </w:numPr>
      </w:pPr>
      <w:bookmarkStart w:id="112" w:name="_Toc3044_WPSOffice_Level2"/>
      <w:r>
        <w:rPr>
          <w:rFonts w:hint="eastAsia"/>
        </w:rPr>
        <w:t xml:space="preserve"> </w:t>
      </w:r>
      <w:r>
        <w:rPr>
          <w:rFonts w:hint="eastAsia"/>
        </w:rPr>
        <w:t>排放标准</w:t>
      </w:r>
    </w:p>
    <w:p w14:paraId="06FE1A4C" w14:textId="77777777" w:rsidR="005A1A44" w:rsidRDefault="0008059E">
      <w:pPr>
        <w:ind w:firstLine="480"/>
      </w:pPr>
      <w:r>
        <w:t>（</w:t>
      </w:r>
      <w:r>
        <w:t>1</w:t>
      </w:r>
      <w:r>
        <w:t>）大气污染物排放标准</w:t>
      </w:r>
    </w:p>
    <w:p w14:paraId="5D438B7B" w14:textId="77777777" w:rsidR="005A1A44" w:rsidRDefault="0008059E">
      <w:pPr>
        <w:ind w:firstLine="480"/>
        <w:rPr>
          <w:rFonts w:eastAsia="黑体"/>
          <w:color w:val="000000" w:themeColor="text1"/>
        </w:rPr>
      </w:pPr>
      <w:r>
        <w:rPr>
          <w:rFonts w:hint="eastAsia"/>
        </w:rPr>
        <w:t>项目施工过程中产生的大气污染物颗粒物执行《大气污染物综合排放标准》（</w:t>
      </w:r>
      <w:r>
        <w:rPr>
          <w:rFonts w:hint="eastAsia"/>
        </w:rPr>
        <w:t>GB 6297-1996</w:t>
      </w:r>
      <w:r>
        <w:rPr>
          <w:rFonts w:hint="eastAsia"/>
        </w:rPr>
        <w:t>）表</w:t>
      </w:r>
      <w:r>
        <w:rPr>
          <w:rFonts w:hint="eastAsia"/>
        </w:rPr>
        <w:t>2</w:t>
      </w:r>
      <w:r>
        <w:rPr>
          <w:rFonts w:hint="eastAsia"/>
        </w:rPr>
        <w:t>中新污染源二级标准。同时执行《工业场所有害因素职业接触限值</w:t>
      </w:r>
      <w:r>
        <w:rPr>
          <w:rFonts w:hint="eastAsia"/>
        </w:rPr>
        <w:t>-</w:t>
      </w:r>
      <w:r>
        <w:rPr>
          <w:rFonts w:hint="eastAsia"/>
        </w:rPr>
        <w:t>化学有害因素（粉尘允许浓度相关限值）》（</w:t>
      </w:r>
      <w:r>
        <w:rPr>
          <w:rFonts w:hint="eastAsia"/>
        </w:rPr>
        <w:t>GBZ 2007-2.1</w:t>
      </w:r>
      <w:r>
        <w:rPr>
          <w:rFonts w:hint="eastAsia"/>
        </w:rPr>
        <w:t>）相关限值标准</w:t>
      </w:r>
      <w:r>
        <w:t>。标准值见表</w:t>
      </w:r>
      <w:r>
        <w:rPr>
          <w:rFonts w:hint="eastAsia"/>
        </w:rPr>
        <w:t>2</w:t>
      </w:r>
      <w:r>
        <w:t>.</w:t>
      </w:r>
      <w:r>
        <w:rPr>
          <w:rFonts w:hint="eastAsia"/>
        </w:rPr>
        <w:t>3</w:t>
      </w:r>
      <w:r>
        <w:t>-</w:t>
      </w:r>
      <w:r>
        <w:rPr>
          <w:rFonts w:hint="eastAsia"/>
        </w:rPr>
        <w:t>6</w:t>
      </w:r>
      <w:r>
        <w:t>。</w:t>
      </w:r>
    </w:p>
    <w:p w14:paraId="034ADE88" w14:textId="77777777" w:rsidR="005A1A44" w:rsidRDefault="0008059E">
      <w:pPr>
        <w:ind w:firstLineChars="0" w:firstLine="0"/>
        <w:jc w:val="center"/>
        <w:rPr>
          <w:rFonts w:eastAsia="黑体"/>
          <w:color w:val="000000" w:themeColor="text1"/>
        </w:rPr>
      </w:pPr>
      <w:r>
        <w:rPr>
          <w:rFonts w:eastAsia="黑体"/>
          <w:color w:val="000000" w:themeColor="text1"/>
        </w:rPr>
        <w:t>表</w:t>
      </w:r>
      <w:r>
        <w:rPr>
          <w:rFonts w:eastAsia="黑体" w:hint="eastAsia"/>
          <w:color w:val="000000" w:themeColor="text1"/>
        </w:rPr>
        <w:t>2</w:t>
      </w:r>
      <w:r>
        <w:rPr>
          <w:rFonts w:eastAsia="黑体"/>
          <w:color w:val="000000" w:themeColor="text1"/>
        </w:rPr>
        <w:t>.</w:t>
      </w:r>
      <w:r>
        <w:rPr>
          <w:rFonts w:eastAsia="黑体" w:hint="eastAsia"/>
          <w:color w:val="000000" w:themeColor="text1"/>
        </w:rPr>
        <w:t>3</w:t>
      </w:r>
      <w:r>
        <w:rPr>
          <w:rFonts w:eastAsia="黑体"/>
          <w:color w:val="000000" w:themeColor="text1"/>
        </w:rPr>
        <w:t>-</w:t>
      </w:r>
      <w:r>
        <w:rPr>
          <w:rFonts w:eastAsia="黑体" w:hint="eastAsia"/>
          <w:color w:val="000000" w:themeColor="text1"/>
        </w:rPr>
        <w:t>6</w:t>
      </w:r>
      <w:r>
        <w:rPr>
          <w:rFonts w:eastAsia="黑体"/>
          <w:color w:val="000000" w:themeColor="text1"/>
        </w:rPr>
        <w:t xml:space="preserve">   </w:t>
      </w:r>
      <w:r>
        <w:rPr>
          <w:rFonts w:eastAsia="黑体"/>
          <w:color w:val="000000" w:themeColor="text1"/>
        </w:rPr>
        <w:t>大气污染物排放标准</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30"/>
        <w:gridCol w:w="1031"/>
        <w:gridCol w:w="1382"/>
        <w:gridCol w:w="1383"/>
        <w:gridCol w:w="3536"/>
      </w:tblGrid>
      <w:tr w:rsidR="005A1A44" w14:paraId="08444CC7" w14:textId="77777777">
        <w:trPr>
          <w:cantSplit/>
          <w:trHeight w:val="240"/>
          <w:tblHeader/>
          <w:jc w:val="center"/>
        </w:trPr>
        <w:tc>
          <w:tcPr>
            <w:tcW w:w="2061" w:type="dxa"/>
            <w:gridSpan w:val="2"/>
            <w:tcBorders>
              <w:left w:val="single" w:sz="2" w:space="0" w:color="auto"/>
            </w:tcBorders>
            <w:vAlign w:val="center"/>
          </w:tcPr>
          <w:p w14:paraId="6A47A9A5" w14:textId="77777777" w:rsidR="005A1A44" w:rsidRDefault="0008059E">
            <w:pPr>
              <w:spacing w:line="240" w:lineRule="auto"/>
              <w:ind w:firstLineChars="0" w:firstLine="0"/>
              <w:jc w:val="center"/>
              <w:rPr>
                <w:b/>
                <w:bCs/>
                <w:sz w:val="21"/>
                <w:szCs w:val="21"/>
              </w:rPr>
            </w:pPr>
            <w:r>
              <w:rPr>
                <w:b/>
                <w:bCs/>
                <w:sz w:val="21"/>
                <w:szCs w:val="21"/>
              </w:rPr>
              <w:t>污染物</w:t>
            </w:r>
          </w:p>
        </w:tc>
        <w:tc>
          <w:tcPr>
            <w:tcW w:w="1382" w:type="dxa"/>
            <w:tcBorders>
              <w:top w:val="single" w:sz="2" w:space="0" w:color="auto"/>
            </w:tcBorders>
            <w:vAlign w:val="center"/>
          </w:tcPr>
          <w:p w14:paraId="5A441F85" w14:textId="77777777" w:rsidR="005A1A44" w:rsidRDefault="0008059E">
            <w:pPr>
              <w:spacing w:line="240" w:lineRule="auto"/>
              <w:ind w:firstLineChars="0" w:firstLine="0"/>
              <w:jc w:val="center"/>
              <w:rPr>
                <w:b/>
                <w:bCs/>
                <w:sz w:val="21"/>
                <w:szCs w:val="21"/>
              </w:rPr>
            </w:pPr>
            <w:r>
              <w:rPr>
                <w:b/>
                <w:bCs/>
                <w:sz w:val="21"/>
                <w:szCs w:val="21"/>
              </w:rPr>
              <w:t>标准值</w:t>
            </w:r>
          </w:p>
        </w:tc>
        <w:tc>
          <w:tcPr>
            <w:tcW w:w="1383" w:type="dxa"/>
            <w:tcBorders>
              <w:top w:val="single" w:sz="2" w:space="0" w:color="auto"/>
            </w:tcBorders>
            <w:vAlign w:val="center"/>
          </w:tcPr>
          <w:p w14:paraId="027A1679" w14:textId="77777777" w:rsidR="005A1A44" w:rsidRDefault="0008059E">
            <w:pPr>
              <w:spacing w:line="240" w:lineRule="auto"/>
              <w:ind w:firstLineChars="0" w:firstLine="0"/>
              <w:jc w:val="center"/>
              <w:rPr>
                <w:b/>
                <w:bCs/>
                <w:sz w:val="21"/>
                <w:szCs w:val="21"/>
              </w:rPr>
            </w:pPr>
            <w:r>
              <w:rPr>
                <w:rFonts w:hint="eastAsia"/>
                <w:b/>
                <w:bCs/>
                <w:sz w:val="21"/>
                <w:szCs w:val="21"/>
              </w:rPr>
              <w:t>单位</w:t>
            </w:r>
          </w:p>
        </w:tc>
        <w:tc>
          <w:tcPr>
            <w:tcW w:w="3536" w:type="dxa"/>
            <w:tcBorders>
              <w:top w:val="single" w:sz="2" w:space="0" w:color="auto"/>
            </w:tcBorders>
            <w:vAlign w:val="center"/>
          </w:tcPr>
          <w:p w14:paraId="20BCDBAD" w14:textId="77777777" w:rsidR="005A1A44" w:rsidRDefault="0008059E">
            <w:pPr>
              <w:spacing w:line="240" w:lineRule="auto"/>
              <w:ind w:firstLineChars="0" w:firstLine="0"/>
              <w:jc w:val="center"/>
              <w:rPr>
                <w:b/>
                <w:bCs/>
                <w:sz w:val="21"/>
                <w:szCs w:val="21"/>
              </w:rPr>
            </w:pPr>
            <w:r>
              <w:rPr>
                <w:b/>
                <w:bCs/>
                <w:sz w:val="21"/>
                <w:szCs w:val="21"/>
              </w:rPr>
              <w:t>执行标准</w:t>
            </w:r>
          </w:p>
        </w:tc>
      </w:tr>
      <w:tr w:rsidR="005A1A44" w14:paraId="49DBFC74" w14:textId="77777777">
        <w:trPr>
          <w:cantSplit/>
          <w:trHeight w:val="240"/>
          <w:jc w:val="center"/>
        </w:trPr>
        <w:tc>
          <w:tcPr>
            <w:tcW w:w="1030" w:type="dxa"/>
            <w:vMerge w:val="restart"/>
            <w:tcBorders>
              <w:left w:val="single" w:sz="2" w:space="0" w:color="auto"/>
            </w:tcBorders>
            <w:shd w:val="clear" w:color="auto" w:fill="auto"/>
            <w:vAlign w:val="center"/>
          </w:tcPr>
          <w:p w14:paraId="3F421901" w14:textId="77777777" w:rsidR="005A1A44" w:rsidRDefault="0008059E">
            <w:pPr>
              <w:spacing w:line="240" w:lineRule="auto"/>
              <w:ind w:firstLineChars="0" w:firstLine="0"/>
              <w:jc w:val="center"/>
              <w:rPr>
                <w:bCs/>
                <w:sz w:val="21"/>
                <w:szCs w:val="21"/>
              </w:rPr>
            </w:pPr>
            <w:r>
              <w:rPr>
                <w:rFonts w:hint="eastAsia"/>
                <w:bCs/>
                <w:sz w:val="21"/>
                <w:szCs w:val="21"/>
              </w:rPr>
              <w:t>有组织</w:t>
            </w:r>
          </w:p>
          <w:p w14:paraId="65C6035E" w14:textId="77777777" w:rsidR="005A1A44" w:rsidRDefault="0008059E">
            <w:pPr>
              <w:spacing w:line="240" w:lineRule="auto"/>
              <w:ind w:firstLineChars="0" w:firstLine="0"/>
              <w:jc w:val="center"/>
              <w:rPr>
                <w:b/>
                <w:bCs/>
                <w:sz w:val="21"/>
                <w:szCs w:val="21"/>
              </w:rPr>
            </w:pPr>
            <w:r>
              <w:rPr>
                <w:rFonts w:hint="eastAsia"/>
                <w:bCs/>
                <w:sz w:val="21"/>
                <w:szCs w:val="21"/>
              </w:rPr>
              <w:t>排放源</w:t>
            </w:r>
          </w:p>
        </w:tc>
        <w:tc>
          <w:tcPr>
            <w:tcW w:w="1031" w:type="dxa"/>
            <w:tcBorders>
              <w:left w:val="single" w:sz="2" w:space="0" w:color="auto"/>
            </w:tcBorders>
            <w:shd w:val="clear" w:color="auto" w:fill="auto"/>
            <w:vAlign w:val="center"/>
          </w:tcPr>
          <w:p w14:paraId="787C1C57" w14:textId="77777777" w:rsidR="005A1A44" w:rsidRDefault="0008059E">
            <w:pPr>
              <w:spacing w:line="240" w:lineRule="auto"/>
              <w:ind w:firstLineChars="0" w:firstLine="0"/>
              <w:jc w:val="center"/>
              <w:rPr>
                <w:bCs/>
                <w:sz w:val="21"/>
                <w:szCs w:val="21"/>
              </w:rPr>
            </w:pPr>
            <w:r>
              <w:rPr>
                <w:rFonts w:hint="eastAsia"/>
                <w:bCs/>
                <w:sz w:val="21"/>
                <w:szCs w:val="21"/>
              </w:rPr>
              <w:t>颗粒物</w:t>
            </w:r>
          </w:p>
        </w:tc>
        <w:tc>
          <w:tcPr>
            <w:tcW w:w="1382" w:type="dxa"/>
            <w:tcBorders>
              <w:top w:val="single" w:sz="2" w:space="0" w:color="auto"/>
            </w:tcBorders>
            <w:shd w:val="clear" w:color="auto" w:fill="auto"/>
            <w:vAlign w:val="center"/>
          </w:tcPr>
          <w:p w14:paraId="4C5824B9" w14:textId="77777777" w:rsidR="005A1A44" w:rsidRDefault="0008059E">
            <w:pPr>
              <w:spacing w:line="240" w:lineRule="auto"/>
              <w:ind w:firstLineChars="0" w:firstLine="0"/>
              <w:jc w:val="center"/>
              <w:rPr>
                <w:bCs/>
                <w:sz w:val="21"/>
                <w:szCs w:val="21"/>
              </w:rPr>
            </w:pPr>
            <w:r>
              <w:rPr>
                <w:rFonts w:hint="eastAsia"/>
                <w:bCs/>
                <w:sz w:val="21"/>
                <w:szCs w:val="21"/>
              </w:rPr>
              <w:t>120</w:t>
            </w:r>
          </w:p>
        </w:tc>
        <w:tc>
          <w:tcPr>
            <w:tcW w:w="1383" w:type="dxa"/>
            <w:tcBorders>
              <w:top w:val="single" w:sz="2" w:space="0" w:color="auto"/>
            </w:tcBorders>
            <w:shd w:val="clear" w:color="auto" w:fill="auto"/>
            <w:vAlign w:val="center"/>
          </w:tcPr>
          <w:p w14:paraId="6C85B56E" w14:textId="77777777" w:rsidR="005A1A44" w:rsidRDefault="0008059E">
            <w:pPr>
              <w:spacing w:line="240" w:lineRule="auto"/>
              <w:ind w:firstLineChars="0" w:firstLine="0"/>
              <w:jc w:val="center"/>
              <w:rPr>
                <w:bCs/>
                <w:sz w:val="21"/>
                <w:szCs w:val="21"/>
              </w:rPr>
            </w:pPr>
            <w:r>
              <w:rPr>
                <w:bCs/>
                <w:sz w:val="21"/>
                <w:szCs w:val="21"/>
              </w:rPr>
              <w:t>mg/m</w:t>
            </w:r>
            <w:r>
              <w:rPr>
                <w:bCs/>
                <w:sz w:val="21"/>
                <w:szCs w:val="21"/>
                <w:vertAlign w:val="superscript"/>
              </w:rPr>
              <w:t>3</w:t>
            </w:r>
          </w:p>
        </w:tc>
        <w:tc>
          <w:tcPr>
            <w:tcW w:w="3536" w:type="dxa"/>
            <w:vMerge w:val="restart"/>
            <w:tcBorders>
              <w:top w:val="single" w:sz="2" w:space="0" w:color="auto"/>
            </w:tcBorders>
            <w:vAlign w:val="center"/>
          </w:tcPr>
          <w:p w14:paraId="608E3033" w14:textId="77777777" w:rsidR="005A1A44" w:rsidRDefault="0008059E">
            <w:pPr>
              <w:spacing w:line="240" w:lineRule="auto"/>
              <w:ind w:firstLineChars="0" w:firstLine="0"/>
              <w:jc w:val="center"/>
              <w:rPr>
                <w:b/>
                <w:bCs/>
                <w:sz w:val="21"/>
                <w:szCs w:val="21"/>
              </w:rPr>
            </w:pPr>
            <w:r>
              <w:rPr>
                <w:bCs/>
                <w:sz w:val="21"/>
                <w:szCs w:val="21"/>
              </w:rPr>
              <w:t>《大气污染物综合排放标准》（</w:t>
            </w:r>
            <w:r>
              <w:rPr>
                <w:bCs/>
                <w:sz w:val="21"/>
                <w:szCs w:val="21"/>
              </w:rPr>
              <w:t>GB16297-1996</w:t>
            </w:r>
            <w:r>
              <w:rPr>
                <w:bCs/>
                <w:sz w:val="21"/>
                <w:szCs w:val="21"/>
              </w:rPr>
              <w:t>）表</w:t>
            </w:r>
            <w:r>
              <w:rPr>
                <w:bCs/>
                <w:sz w:val="21"/>
                <w:szCs w:val="21"/>
              </w:rPr>
              <w:t>2</w:t>
            </w:r>
            <w:r>
              <w:rPr>
                <w:rFonts w:hint="eastAsia"/>
                <w:bCs/>
                <w:sz w:val="21"/>
                <w:szCs w:val="21"/>
              </w:rPr>
              <w:t>新污染源大气污染物排放限值</w:t>
            </w:r>
            <w:r>
              <w:rPr>
                <w:bCs/>
                <w:sz w:val="21"/>
                <w:szCs w:val="21"/>
              </w:rPr>
              <w:t xml:space="preserve"> </w:t>
            </w:r>
          </w:p>
        </w:tc>
      </w:tr>
      <w:tr w:rsidR="005A1A44" w14:paraId="360CCC77" w14:textId="77777777">
        <w:trPr>
          <w:cantSplit/>
          <w:trHeight w:val="240"/>
          <w:jc w:val="center"/>
        </w:trPr>
        <w:tc>
          <w:tcPr>
            <w:tcW w:w="1030" w:type="dxa"/>
            <w:vMerge/>
            <w:tcBorders>
              <w:left w:val="single" w:sz="2" w:space="0" w:color="auto"/>
            </w:tcBorders>
            <w:shd w:val="clear" w:color="auto" w:fill="auto"/>
            <w:vAlign w:val="center"/>
          </w:tcPr>
          <w:p w14:paraId="1770C583" w14:textId="77777777" w:rsidR="005A1A44" w:rsidRDefault="005A1A44">
            <w:pPr>
              <w:spacing w:line="240" w:lineRule="auto"/>
              <w:ind w:firstLineChars="0" w:firstLine="0"/>
              <w:jc w:val="center"/>
              <w:rPr>
                <w:bCs/>
                <w:sz w:val="21"/>
                <w:szCs w:val="21"/>
              </w:rPr>
            </w:pPr>
          </w:p>
        </w:tc>
        <w:tc>
          <w:tcPr>
            <w:tcW w:w="1031" w:type="dxa"/>
            <w:tcBorders>
              <w:left w:val="single" w:sz="2" w:space="0" w:color="auto"/>
            </w:tcBorders>
            <w:shd w:val="clear" w:color="auto" w:fill="auto"/>
            <w:vAlign w:val="center"/>
          </w:tcPr>
          <w:p w14:paraId="5C55DE1F" w14:textId="77777777" w:rsidR="005A1A44" w:rsidRDefault="0008059E">
            <w:pPr>
              <w:spacing w:line="240" w:lineRule="auto"/>
              <w:ind w:firstLineChars="0" w:firstLine="0"/>
              <w:jc w:val="center"/>
              <w:rPr>
                <w:bCs/>
                <w:sz w:val="21"/>
                <w:szCs w:val="21"/>
              </w:rPr>
            </w:pPr>
            <w:r>
              <w:rPr>
                <w:rFonts w:hint="eastAsia"/>
                <w:bCs/>
                <w:sz w:val="21"/>
                <w:szCs w:val="21"/>
              </w:rPr>
              <w:t>SO</w:t>
            </w:r>
            <w:r>
              <w:rPr>
                <w:rFonts w:hint="eastAsia"/>
                <w:bCs/>
                <w:sz w:val="21"/>
                <w:szCs w:val="21"/>
                <w:vertAlign w:val="subscript"/>
              </w:rPr>
              <w:t>2</w:t>
            </w:r>
          </w:p>
        </w:tc>
        <w:tc>
          <w:tcPr>
            <w:tcW w:w="1382" w:type="dxa"/>
            <w:tcBorders>
              <w:top w:val="single" w:sz="2" w:space="0" w:color="auto"/>
            </w:tcBorders>
            <w:shd w:val="clear" w:color="auto" w:fill="auto"/>
            <w:vAlign w:val="center"/>
          </w:tcPr>
          <w:p w14:paraId="6537398E" w14:textId="77777777" w:rsidR="005A1A44" w:rsidRDefault="0008059E">
            <w:pPr>
              <w:spacing w:line="240" w:lineRule="auto"/>
              <w:ind w:firstLineChars="0" w:firstLine="0"/>
              <w:jc w:val="center"/>
              <w:rPr>
                <w:bCs/>
                <w:sz w:val="21"/>
                <w:szCs w:val="21"/>
              </w:rPr>
            </w:pPr>
            <w:r>
              <w:rPr>
                <w:rFonts w:hint="eastAsia"/>
                <w:bCs/>
                <w:sz w:val="21"/>
                <w:szCs w:val="21"/>
              </w:rPr>
              <w:t>550</w:t>
            </w:r>
          </w:p>
        </w:tc>
        <w:tc>
          <w:tcPr>
            <w:tcW w:w="1383" w:type="dxa"/>
            <w:tcBorders>
              <w:top w:val="single" w:sz="2" w:space="0" w:color="auto"/>
            </w:tcBorders>
            <w:shd w:val="clear" w:color="auto" w:fill="auto"/>
            <w:vAlign w:val="center"/>
          </w:tcPr>
          <w:p w14:paraId="12A7E4D0" w14:textId="77777777" w:rsidR="005A1A44" w:rsidRDefault="0008059E">
            <w:pPr>
              <w:spacing w:line="240" w:lineRule="auto"/>
              <w:ind w:firstLineChars="0" w:firstLine="0"/>
              <w:jc w:val="center"/>
              <w:rPr>
                <w:bCs/>
                <w:sz w:val="21"/>
                <w:szCs w:val="21"/>
              </w:rPr>
            </w:pPr>
            <w:r>
              <w:rPr>
                <w:bCs/>
                <w:sz w:val="21"/>
                <w:szCs w:val="21"/>
              </w:rPr>
              <w:t>mg/m</w:t>
            </w:r>
            <w:r>
              <w:rPr>
                <w:bCs/>
                <w:sz w:val="21"/>
                <w:szCs w:val="21"/>
                <w:vertAlign w:val="superscript"/>
              </w:rPr>
              <w:t>3</w:t>
            </w:r>
          </w:p>
        </w:tc>
        <w:tc>
          <w:tcPr>
            <w:tcW w:w="3536" w:type="dxa"/>
            <w:vMerge/>
            <w:vAlign w:val="center"/>
          </w:tcPr>
          <w:p w14:paraId="4E01CC70" w14:textId="77777777" w:rsidR="005A1A44" w:rsidRDefault="005A1A44">
            <w:pPr>
              <w:spacing w:line="240" w:lineRule="auto"/>
              <w:ind w:firstLineChars="0" w:firstLine="0"/>
              <w:jc w:val="center"/>
              <w:rPr>
                <w:bCs/>
                <w:sz w:val="21"/>
                <w:szCs w:val="21"/>
              </w:rPr>
            </w:pPr>
          </w:p>
        </w:tc>
      </w:tr>
      <w:tr w:rsidR="005A1A44" w14:paraId="4B15F028" w14:textId="77777777">
        <w:trPr>
          <w:cantSplit/>
          <w:trHeight w:val="293"/>
          <w:jc w:val="center"/>
        </w:trPr>
        <w:tc>
          <w:tcPr>
            <w:tcW w:w="1030" w:type="dxa"/>
            <w:vMerge/>
            <w:tcBorders>
              <w:left w:val="single" w:sz="2" w:space="0" w:color="auto"/>
            </w:tcBorders>
            <w:shd w:val="clear" w:color="auto" w:fill="auto"/>
            <w:vAlign w:val="center"/>
          </w:tcPr>
          <w:p w14:paraId="240CBAAA" w14:textId="77777777" w:rsidR="005A1A44" w:rsidRDefault="005A1A44">
            <w:pPr>
              <w:spacing w:line="240" w:lineRule="auto"/>
              <w:ind w:firstLineChars="0" w:firstLine="0"/>
              <w:jc w:val="center"/>
              <w:rPr>
                <w:bCs/>
                <w:sz w:val="21"/>
                <w:szCs w:val="21"/>
              </w:rPr>
            </w:pPr>
          </w:p>
        </w:tc>
        <w:tc>
          <w:tcPr>
            <w:tcW w:w="1031" w:type="dxa"/>
            <w:tcBorders>
              <w:left w:val="single" w:sz="2" w:space="0" w:color="auto"/>
            </w:tcBorders>
            <w:shd w:val="clear" w:color="auto" w:fill="auto"/>
            <w:vAlign w:val="center"/>
          </w:tcPr>
          <w:p w14:paraId="1761BF89" w14:textId="77777777" w:rsidR="005A1A44" w:rsidRDefault="0008059E">
            <w:pPr>
              <w:spacing w:line="240" w:lineRule="auto"/>
              <w:ind w:firstLineChars="0" w:firstLine="0"/>
              <w:jc w:val="center"/>
              <w:rPr>
                <w:bCs/>
                <w:sz w:val="21"/>
                <w:szCs w:val="21"/>
              </w:rPr>
            </w:pPr>
            <w:r>
              <w:rPr>
                <w:bCs/>
                <w:sz w:val="21"/>
                <w:szCs w:val="21"/>
              </w:rPr>
              <w:t>NO</w:t>
            </w:r>
            <w:r>
              <w:rPr>
                <w:bCs/>
                <w:sz w:val="21"/>
                <w:szCs w:val="21"/>
                <w:vertAlign w:val="subscript"/>
              </w:rPr>
              <w:t>x</w:t>
            </w:r>
          </w:p>
        </w:tc>
        <w:tc>
          <w:tcPr>
            <w:tcW w:w="1382" w:type="dxa"/>
            <w:tcBorders>
              <w:top w:val="single" w:sz="2" w:space="0" w:color="auto"/>
            </w:tcBorders>
            <w:shd w:val="clear" w:color="auto" w:fill="auto"/>
            <w:vAlign w:val="center"/>
          </w:tcPr>
          <w:p w14:paraId="1BFDB1F4" w14:textId="77777777" w:rsidR="005A1A44" w:rsidRDefault="0008059E">
            <w:pPr>
              <w:spacing w:line="240" w:lineRule="auto"/>
              <w:ind w:firstLineChars="0" w:firstLine="0"/>
              <w:jc w:val="center"/>
              <w:rPr>
                <w:bCs/>
                <w:sz w:val="21"/>
                <w:szCs w:val="21"/>
              </w:rPr>
            </w:pPr>
            <w:r>
              <w:rPr>
                <w:rFonts w:hint="eastAsia"/>
                <w:bCs/>
                <w:sz w:val="21"/>
                <w:szCs w:val="21"/>
              </w:rPr>
              <w:t>240</w:t>
            </w:r>
          </w:p>
        </w:tc>
        <w:tc>
          <w:tcPr>
            <w:tcW w:w="1383" w:type="dxa"/>
            <w:tcBorders>
              <w:top w:val="single" w:sz="2" w:space="0" w:color="auto"/>
            </w:tcBorders>
            <w:shd w:val="clear" w:color="auto" w:fill="auto"/>
            <w:vAlign w:val="center"/>
          </w:tcPr>
          <w:p w14:paraId="6EA0A68B" w14:textId="77777777" w:rsidR="005A1A44" w:rsidRDefault="0008059E">
            <w:pPr>
              <w:spacing w:line="240" w:lineRule="auto"/>
              <w:ind w:firstLineChars="0" w:firstLine="0"/>
              <w:jc w:val="center"/>
              <w:rPr>
                <w:bCs/>
                <w:sz w:val="21"/>
                <w:szCs w:val="21"/>
              </w:rPr>
            </w:pPr>
            <w:r>
              <w:rPr>
                <w:bCs/>
                <w:sz w:val="21"/>
                <w:szCs w:val="21"/>
              </w:rPr>
              <w:t>mg/m</w:t>
            </w:r>
            <w:r>
              <w:rPr>
                <w:bCs/>
                <w:sz w:val="21"/>
                <w:szCs w:val="21"/>
                <w:vertAlign w:val="superscript"/>
              </w:rPr>
              <w:t>3</w:t>
            </w:r>
          </w:p>
        </w:tc>
        <w:tc>
          <w:tcPr>
            <w:tcW w:w="3536" w:type="dxa"/>
            <w:vMerge/>
            <w:vAlign w:val="center"/>
          </w:tcPr>
          <w:p w14:paraId="24221896" w14:textId="77777777" w:rsidR="005A1A44" w:rsidRDefault="005A1A44">
            <w:pPr>
              <w:spacing w:line="240" w:lineRule="auto"/>
              <w:ind w:firstLineChars="0" w:firstLine="0"/>
              <w:jc w:val="center"/>
              <w:rPr>
                <w:bCs/>
                <w:sz w:val="21"/>
                <w:szCs w:val="21"/>
              </w:rPr>
            </w:pPr>
          </w:p>
        </w:tc>
      </w:tr>
      <w:tr w:rsidR="005A1A44" w14:paraId="5907704A" w14:textId="77777777">
        <w:trPr>
          <w:cantSplit/>
          <w:trHeight w:val="70"/>
          <w:jc w:val="center"/>
        </w:trPr>
        <w:tc>
          <w:tcPr>
            <w:tcW w:w="1030" w:type="dxa"/>
            <w:vMerge w:val="restart"/>
            <w:tcBorders>
              <w:left w:val="single" w:sz="2" w:space="0" w:color="auto"/>
            </w:tcBorders>
            <w:shd w:val="clear" w:color="auto" w:fill="auto"/>
            <w:vAlign w:val="center"/>
          </w:tcPr>
          <w:p w14:paraId="23AB1B2E" w14:textId="77777777" w:rsidR="005A1A44" w:rsidRDefault="0008059E">
            <w:pPr>
              <w:spacing w:line="240" w:lineRule="auto"/>
              <w:ind w:firstLineChars="0" w:firstLine="0"/>
              <w:jc w:val="center"/>
              <w:rPr>
                <w:bCs/>
                <w:sz w:val="21"/>
                <w:szCs w:val="21"/>
              </w:rPr>
            </w:pPr>
            <w:r>
              <w:rPr>
                <w:rFonts w:hint="eastAsia"/>
                <w:bCs/>
                <w:sz w:val="21"/>
                <w:szCs w:val="21"/>
              </w:rPr>
              <w:t>无组织</w:t>
            </w:r>
          </w:p>
          <w:p w14:paraId="763E75B8" w14:textId="77777777" w:rsidR="005A1A44" w:rsidRDefault="0008059E">
            <w:pPr>
              <w:spacing w:line="240" w:lineRule="auto"/>
              <w:ind w:firstLineChars="0" w:firstLine="0"/>
              <w:jc w:val="center"/>
              <w:rPr>
                <w:bCs/>
                <w:sz w:val="21"/>
                <w:szCs w:val="21"/>
              </w:rPr>
            </w:pPr>
            <w:r>
              <w:rPr>
                <w:rFonts w:hint="eastAsia"/>
                <w:bCs/>
                <w:sz w:val="21"/>
                <w:szCs w:val="21"/>
              </w:rPr>
              <w:lastRenderedPageBreak/>
              <w:t>排放源</w:t>
            </w:r>
          </w:p>
        </w:tc>
        <w:tc>
          <w:tcPr>
            <w:tcW w:w="1031" w:type="dxa"/>
            <w:tcBorders>
              <w:left w:val="single" w:sz="2" w:space="0" w:color="auto"/>
            </w:tcBorders>
            <w:shd w:val="clear" w:color="auto" w:fill="auto"/>
            <w:vAlign w:val="center"/>
          </w:tcPr>
          <w:p w14:paraId="55371505" w14:textId="77777777" w:rsidR="005A1A44" w:rsidRDefault="0008059E">
            <w:pPr>
              <w:spacing w:line="240" w:lineRule="auto"/>
              <w:ind w:firstLineChars="0" w:firstLine="0"/>
              <w:jc w:val="center"/>
              <w:rPr>
                <w:bCs/>
                <w:sz w:val="21"/>
                <w:szCs w:val="21"/>
              </w:rPr>
            </w:pPr>
            <w:r>
              <w:rPr>
                <w:bCs/>
                <w:sz w:val="21"/>
                <w:szCs w:val="21"/>
              </w:rPr>
              <w:lastRenderedPageBreak/>
              <w:t>颗粒物</w:t>
            </w:r>
          </w:p>
        </w:tc>
        <w:tc>
          <w:tcPr>
            <w:tcW w:w="1382" w:type="dxa"/>
            <w:tcBorders>
              <w:bottom w:val="single" w:sz="2" w:space="0" w:color="auto"/>
            </w:tcBorders>
            <w:vAlign w:val="center"/>
          </w:tcPr>
          <w:p w14:paraId="3D2E405A" w14:textId="77777777" w:rsidR="005A1A44" w:rsidRDefault="0008059E">
            <w:pPr>
              <w:spacing w:line="240" w:lineRule="auto"/>
              <w:ind w:firstLineChars="0" w:firstLine="0"/>
              <w:jc w:val="center"/>
              <w:rPr>
                <w:bCs/>
                <w:sz w:val="21"/>
                <w:szCs w:val="21"/>
              </w:rPr>
            </w:pPr>
            <w:r>
              <w:rPr>
                <w:bCs/>
                <w:sz w:val="21"/>
                <w:szCs w:val="21"/>
              </w:rPr>
              <w:t>1.0</w:t>
            </w:r>
          </w:p>
        </w:tc>
        <w:tc>
          <w:tcPr>
            <w:tcW w:w="1383" w:type="dxa"/>
            <w:tcBorders>
              <w:bottom w:val="single" w:sz="2" w:space="0" w:color="auto"/>
            </w:tcBorders>
            <w:vAlign w:val="center"/>
          </w:tcPr>
          <w:p w14:paraId="326786E0" w14:textId="77777777" w:rsidR="005A1A44" w:rsidRDefault="0008059E">
            <w:pPr>
              <w:spacing w:line="240" w:lineRule="auto"/>
              <w:ind w:firstLineChars="0" w:firstLine="0"/>
              <w:jc w:val="center"/>
              <w:rPr>
                <w:bCs/>
                <w:sz w:val="21"/>
                <w:szCs w:val="21"/>
              </w:rPr>
            </w:pPr>
            <w:r>
              <w:rPr>
                <w:bCs/>
                <w:sz w:val="21"/>
                <w:szCs w:val="21"/>
              </w:rPr>
              <w:t>mg/m</w:t>
            </w:r>
            <w:r>
              <w:rPr>
                <w:bCs/>
                <w:sz w:val="21"/>
                <w:szCs w:val="21"/>
                <w:vertAlign w:val="superscript"/>
              </w:rPr>
              <w:t>3</w:t>
            </w:r>
          </w:p>
        </w:tc>
        <w:tc>
          <w:tcPr>
            <w:tcW w:w="3536" w:type="dxa"/>
            <w:vMerge/>
            <w:vAlign w:val="center"/>
          </w:tcPr>
          <w:p w14:paraId="48AE1278" w14:textId="77777777" w:rsidR="005A1A44" w:rsidRDefault="005A1A44">
            <w:pPr>
              <w:spacing w:line="240" w:lineRule="auto"/>
              <w:ind w:firstLineChars="0" w:firstLine="0"/>
              <w:jc w:val="center"/>
              <w:rPr>
                <w:bCs/>
                <w:sz w:val="21"/>
                <w:szCs w:val="21"/>
              </w:rPr>
            </w:pPr>
          </w:p>
        </w:tc>
      </w:tr>
      <w:tr w:rsidR="005A1A44" w14:paraId="7F43D6BA" w14:textId="77777777">
        <w:trPr>
          <w:cantSplit/>
          <w:trHeight w:val="70"/>
          <w:jc w:val="center"/>
        </w:trPr>
        <w:tc>
          <w:tcPr>
            <w:tcW w:w="1030" w:type="dxa"/>
            <w:vMerge/>
            <w:tcBorders>
              <w:left w:val="single" w:sz="2" w:space="0" w:color="auto"/>
            </w:tcBorders>
            <w:shd w:val="clear" w:color="auto" w:fill="auto"/>
            <w:vAlign w:val="center"/>
          </w:tcPr>
          <w:p w14:paraId="0D6BB9E7" w14:textId="77777777" w:rsidR="005A1A44" w:rsidRDefault="005A1A44">
            <w:pPr>
              <w:spacing w:line="240" w:lineRule="auto"/>
              <w:ind w:firstLineChars="0" w:firstLine="0"/>
              <w:jc w:val="center"/>
              <w:rPr>
                <w:bCs/>
                <w:sz w:val="21"/>
                <w:szCs w:val="21"/>
              </w:rPr>
            </w:pPr>
          </w:p>
        </w:tc>
        <w:tc>
          <w:tcPr>
            <w:tcW w:w="1031" w:type="dxa"/>
            <w:tcBorders>
              <w:left w:val="single" w:sz="2" w:space="0" w:color="auto"/>
            </w:tcBorders>
            <w:shd w:val="clear" w:color="auto" w:fill="auto"/>
            <w:vAlign w:val="center"/>
          </w:tcPr>
          <w:p w14:paraId="78C77F6C" w14:textId="77777777" w:rsidR="005A1A44" w:rsidRDefault="0008059E">
            <w:pPr>
              <w:spacing w:line="240" w:lineRule="auto"/>
              <w:ind w:firstLineChars="0" w:firstLine="0"/>
              <w:jc w:val="center"/>
              <w:rPr>
                <w:bCs/>
                <w:sz w:val="21"/>
                <w:szCs w:val="21"/>
              </w:rPr>
            </w:pPr>
            <w:r>
              <w:rPr>
                <w:rFonts w:hint="eastAsia"/>
                <w:bCs/>
                <w:sz w:val="21"/>
                <w:szCs w:val="21"/>
              </w:rPr>
              <w:t>SO</w:t>
            </w:r>
            <w:r>
              <w:rPr>
                <w:rFonts w:hint="eastAsia"/>
                <w:bCs/>
                <w:sz w:val="21"/>
                <w:szCs w:val="21"/>
                <w:vertAlign w:val="subscript"/>
              </w:rPr>
              <w:t>2</w:t>
            </w:r>
          </w:p>
        </w:tc>
        <w:tc>
          <w:tcPr>
            <w:tcW w:w="1382" w:type="dxa"/>
            <w:tcBorders>
              <w:bottom w:val="single" w:sz="2" w:space="0" w:color="auto"/>
            </w:tcBorders>
            <w:vAlign w:val="center"/>
          </w:tcPr>
          <w:p w14:paraId="18704E65" w14:textId="77777777" w:rsidR="005A1A44" w:rsidRDefault="0008059E">
            <w:pPr>
              <w:spacing w:line="240" w:lineRule="auto"/>
              <w:ind w:firstLineChars="0" w:firstLine="0"/>
              <w:jc w:val="center"/>
              <w:rPr>
                <w:bCs/>
                <w:sz w:val="21"/>
                <w:szCs w:val="21"/>
              </w:rPr>
            </w:pPr>
            <w:r>
              <w:rPr>
                <w:rFonts w:hint="eastAsia"/>
                <w:bCs/>
                <w:sz w:val="21"/>
                <w:szCs w:val="21"/>
              </w:rPr>
              <w:t>0.4</w:t>
            </w:r>
          </w:p>
        </w:tc>
        <w:tc>
          <w:tcPr>
            <w:tcW w:w="1383" w:type="dxa"/>
            <w:tcBorders>
              <w:bottom w:val="single" w:sz="2" w:space="0" w:color="auto"/>
            </w:tcBorders>
            <w:vAlign w:val="center"/>
          </w:tcPr>
          <w:p w14:paraId="277C2B6B" w14:textId="77777777" w:rsidR="005A1A44" w:rsidRDefault="0008059E">
            <w:pPr>
              <w:spacing w:line="240" w:lineRule="auto"/>
              <w:ind w:firstLineChars="0" w:firstLine="0"/>
              <w:jc w:val="center"/>
              <w:rPr>
                <w:bCs/>
                <w:sz w:val="21"/>
                <w:szCs w:val="21"/>
              </w:rPr>
            </w:pPr>
            <w:r>
              <w:rPr>
                <w:bCs/>
                <w:sz w:val="21"/>
                <w:szCs w:val="21"/>
              </w:rPr>
              <w:t>mg/m</w:t>
            </w:r>
            <w:r>
              <w:rPr>
                <w:bCs/>
                <w:sz w:val="21"/>
                <w:szCs w:val="21"/>
                <w:vertAlign w:val="superscript"/>
              </w:rPr>
              <w:t>3</w:t>
            </w:r>
          </w:p>
        </w:tc>
        <w:tc>
          <w:tcPr>
            <w:tcW w:w="3536" w:type="dxa"/>
            <w:vMerge/>
            <w:vAlign w:val="center"/>
          </w:tcPr>
          <w:p w14:paraId="619A8096" w14:textId="77777777" w:rsidR="005A1A44" w:rsidRDefault="005A1A44">
            <w:pPr>
              <w:spacing w:line="240" w:lineRule="auto"/>
              <w:ind w:firstLineChars="0" w:firstLine="0"/>
              <w:jc w:val="center"/>
              <w:rPr>
                <w:bCs/>
                <w:sz w:val="21"/>
                <w:szCs w:val="21"/>
              </w:rPr>
            </w:pPr>
          </w:p>
        </w:tc>
      </w:tr>
      <w:tr w:rsidR="005A1A44" w14:paraId="31FA883A" w14:textId="77777777">
        <w:trPr>
          <w:cantSplit/>
          <w:trHeight w:val="293"/>
          <w:jc w:val="center"/>
        </w:trPr>
        <w:tc>
          <w:tcPr>
            <w:tcW w:w="1030" w:type="dxa"/>
            <w:vMerge/>
            <w:tcBorders>
              <w:left w:val="single" w:sz="2" w:space="0" w:color="auto"/>
            </w:tcBorders>
            <w:shd w:val="clear" w:color="auto" w:fill="auto"/>
            <w:vAlign w:val="center"/>
          </w:tcPr>
          <w:p w14:paraId="68918E69" w14:textId="77777777" w:rsidR="005A1A44" w:rsidRDefault="005A1A44">
            <w:pPr>
              <w:spacing w:line="240" w:lineRule="auto"/>
              <w:ind w:firstLineChars="0" w:firstLine="0"/>
              <w:jc w:val="center"/>
              <w:rPr>
                <w:bCs/>
                <w:sz w:val="21"/>
                <w:szCs w:val="21"/>
              </w:rPr>
            </w:pPr>
          </w:p>
        </w:tc>
        <w:tc>
          <w:tcPr>
            <w:tcW w:w="1031" w:type="dxa"/>
            <w:tcBorders>
              <w:left w:val="single" w:sz="2" w:space="0" w:color="auto"/>
            </w:tcBorders>
            <w:shd w:val="clear" w:color="auto" w:fill="auto"/>
            <w:vAlign w:val="center"/>
          </w:tcPr>
          <w:p w14:paraId="33114144" w14:textId="77777777" w:rsidR="005A1A44" w:rsidRDefault="0008059E">
            <w:pPr>
              <w:spacing w:line="240" w:lineRule="auto"/>
              <w:ind w:firstLineChars="0" w:firstLine="0"/>
              <w:jc w:val="center"/>
              <w:rPr>
                <w:bCs/>
                <w:sz w:val="21"/>
                <w:szCs w:val="21"/>
              </w:rPr>
            </w:pPr>
            <w:r>
              <w:rPr>
                <w:bCs/>
                <w:sz w:val="21"/>
                <w:szCs w:val="21"/>
              </w:rPr>
              <w:t>NO</w:t>
            </w:r>
            <w:r>
              <w:rPr>
                <w:bCs/>
                <w:sz w:val="21"/>
                <w:szCs w:val="21"/>
                <w:vertAlign w:val="subscript"/>
              </w:rPr>
              <w:t>x</w:t>
            </w:r>
          </w:p>
        </w:tc>
        <w:tc>
          <w:tcPr>
            <w:tcW w:w="1382" w:type="dxa"/>
            <w:vAlign w:val="center"/>
          </w:tcPr>
          <w:p w14:paraId="38018F7E" w14:textId="77777777" w:rsidR="005A1A44" w:rsidRDefault="0008059E">
            <w:pPr>
              <w:spacing w:line="240" w:lineRule="auto"/>
              <w:ind w:firstLineChars="0" w:firstLine="0"/>
              <w:jc w:val="center"/>
              <w:rPr>
                <w:bCs/>
                <w:sz w:val="21"/>
                <w:szCs w:val="21"/>
              </w:rPr>
            </w:pPr>
            <w:r>
              <w:rPr>
                <w:bCs/>
                <w:sz w:val="21"/>
                <w:szCs w:val="21"/>
              </w:rPr>
              <w:t>0.12</w:t>
            </w:r>
          </w:p>
        </w:tc>
        <w:tc>
          <w:tcPr>
            <w:tcW w:w="1383" w:type="dxa"/>
            <w:vAlign w:val="center"/>
          </w:tcPr>
          <w:p w14:paraId="2EEA9AAF" w14:textId="77777777" w:rsidR="005A1A44" w:rsidRDefault="0008059E">
            <w:pPr>
              <w:spacing w:line="240" w:lineRule="auto"/>
              <w:ind w:firstLineChars="0" w:firstLine="0"/>
              <w:jc w:val="center"/>
              <w:rPr>
                <w:bCs/>
                <w:sz w:val="21"/>
                <w:szCs w:val="21"/>
              </w:rPr>
            </w:pPr>
            <w:r>
              <w:rPr>
                <w:bCs/>
                <w:sz w:val="21"/>
                <w:szCs w:val="21"/>
              </w:rPr>
              <w:t>mg/m</w:t>
            </w:r>
            <w:r>
              <w:rPr>
                <w:bCs/>
                <w:sz w:val="21"/>
                <w:szCs w:val="21"/>
                <w:vertAlign w:val="superscript"/>
              </w:rPr>
              <w:t>3</w:t>
            </w:r>
          </w:p>
        </w:tc>
        <w:tc>
          <w:tcPr>
            <w:tcW w:w="3536" w:type="dxa"/>
            <w:vMerge/>
            <w:vAlign w:val="center"/>
          </w:tcPr>
          <w:p w14:paraId="793CF11B" w14:textId="77777777" w:rsidR="005A1A44" w:rsidRDefault="005A1A44">
            <w:pPr>
              <w:spacing w:line="240" w:lineRule="auto"/>
              <w:ind w:firstLineChars="0" w:firstLine="0"/>
              <w:jc w:val="center"/>
              <w:rPr>
                <w:bCs/>
                <w:sz w:val="21"/>
                <w:szCs w:val="21"/>
              </w:rPr>
            </w:pPr>
          </w:p>
        </w:tc>
      </w:tr>
      <w:tr w:rsidR="005A1A44" w14:paraId="29042A41" w14:textId="77777777">
        <w:trPr>
          <w:cantSplit/>
          <w:trHeight w:val="293"/>
          <w:jc w:val="center"/>
        </w:trPr>
        <w:tc>
          <w:tcPr>
            <w:tcW w:w="1030" w:type="dxa"/>
            <w:tcBorders>
              <w:left w:val="single" w:sz="2" w:space="0" w:color="auto"/>
            </w:tcBorders>
            <w:shd w:val="clear" w:color="auto" w:fill="auto"/>
            <w:vAlign w:val="center"/>
          </w:tcPr>
          <w:p w14:paraId="7348F6CE" w14:textId="77777777" w:rsidR="005A1A44" w:rsidRDefault="005A1A44">
            <w:pPr>
              <w:spacing w:line="240" w:lineRule="auto"/>
              <w:ind w:firstLineChars="0" w:firstLine="0"/>
              <w:jc w:val="center"/>
              <w:rPr>
                <w:bCs/>
                <w:sz w:val="21"/>
                <w:szCs w:val="21"/>
              </w:rPr>
            </w:pPr>
          </w:p>
        </w:tc>
        <w:tc>
          <w:tcPr>
            <w:tcW w:w="1031" w:type="dxa"/>
            <w:tcBorders>
              <w:left w:val="single" w:sz="2" w:space="0" w:color="auto"/>
            </w:tcBorders>
            <w:shd w:val="clear" w:color="auto" w:fill="auto"/>
            <w:vAlign w:val="center"/>
          </w:tcPr>
          <w:p w14:paraId="51311F97" w14:textId="77777777" w:rsidR="005A1A44" w:rsidRDefault="0008059E">
            <w:pPr>
              <w:spacing w:line="240" w:lineRule="auto"/>
              <w:ind w:firstLineChars="0" w:firstLine="0"/>
              <w:jc w:val="center"/>
              <w:rPr>
                <w:bCs/>
                <w:sz w:val="21"/>
                <w:szCs w:val="21"/>
              </w:rPr>
            </w:pPr>
            <w:r>
              <w:rPr>
                <w:rFonts w:hint="eastAsia"/>
                <w:bCs/>
                <w:sz w:val="21"/>
                <w:szCs w:val="21"/>
              </w:rPr>
              <w:t>粉尘</w:t>
            </w:r>
          </w:p>
        </w:tc>
        <w:tc>
          <w:tcPr>
            <w:tcW w:w="1382" w:type="dxa"/>
            <w:tcBorders>
              <w:bottom w:val="single" w:sz="2" w:space="0" w:color="auto"/>
            </w:tcBorders>
            <w:vAlign w:val="center"/>
          </w:tcPr>
          <w:p w14:paraId="6495CD47" w14:textId="77777777" w:rsidR="005A1A44" w:rsidRDefault="0008059E">
            <w:pPr>
              <w:spacing w:line="240" w:lineRule="auto"/>
              <w:ind w:firstLineChars="0" w:firstLine="0"/>
              <w:jc w:val="center"/>
              <w:rPr>
                <w:bCs/>
                <w:sz w:val="21"/>
                <w:szCs w:val="21"/>
              </w:rPr>
            </w:pPr>
            <w:r>
              <w:rPr>
                <w:rFonts w:hint="eastAsia"/>
                <w:bCs/>
                <w:sz w:val="21"/>
                <w:szCs w:val="21"/>
              </w:rPr>
              <w:t>1.0</w:t>
            </w:r>
          </w:p>
        </w:tc>
        <w:tc>
          <w:tcPr>
            <w:tcW w:w="1383" w:type="dxa"/>
            <w:tcBorders>
              <w:bottom w:val="single" w:sz="2" w:space="0" w:color="auto"/>
            </w:tcBorders>
            <w:vAlign w:val="center"/>
          </w:tcPr>
          <w:p w14:paraId="61F10C6F" w14:textId="77777777" w:rsidR="005A1A44" w:rsidRDefault="0008059E">
            <w:pPr>
              <w:spacing w:line="240" w:lineRule="auto"/>
              <w:ind w:firstLineChars="0" w:firstLine="0"/>
              <w:jc w:val="center"/>
              <w:rPr>
                <w:bCs/>
                <w:sz w:val="21"/>
                <w:szCs w:val="21"/>
              </w:rPr>
            </w:pPr>
            <w:r>
              <w:rPr>
                <w:bCs/>
                <w:sz w:val="21"/>
                <w:szCs w:val="21"/>
              </w:rPr>
              <w:t>mg/m</w:t>
            </w:r>
            <w:r>
              <w:rPr>
                <w:bCs/>
                <w:sz w:val="21"/>
                <w:szCs w:val="21"/>
                <w:vertAlign w:val="superscript"/>
              </w:rPr>
              <w:t>3</w:t>
            </w:r>
          </w:p>
        </w:tc>
        <w:tc>
          <w:tcPr>
            <w:tcW w:w="3536" w:type="dxa"/>
            <w:vAlign w:val="center"/>
          </w:tcPr>
          <w:p w14:paraId="7776F0E3" w14:textId="77777777" w:rsidR="005A1A44" w:rsidRDefault="0008059E">
            <w:pPr>
              <w:spacing w:line="240" w:lineRule="auto"/>
              <w:ind w:firstLineChars="0" w:firstLine="0"/>
              <w:jc w:val="center"/>
              <w:rPr>
                <w:bCs/>
                <w:sz w:val="21"/>
                <w:szCs w:val="21"/>
              </w:rPr>
            </w:pPr>
            <w:r>
              <w:rPr>
                <w:rFonts w:hint="eastAsia"/>
                <w:bCs/>
                <w:sz w:val="21"/>
                <w:szCs w:val="21"/>
              </w:rPr>
              <w:t>《大气污染物综合排放标准》（</w:t>
            </w:r>
            <w:r>
              <w:rPr>
                <w:rFonts w:hint="eastAsia"/>
                <w:bCs/>
                <w:sz w:val="21"/>
                <w:szCs w:val="21"/>
              </w:rPr>
              <w:t>GB 6297-1996</w:t>
            </w:r>
            <w:r>
              <w:rPr>
                <w:rFonts w:hint="eastAsia"/>
                <w:bCs/>
                <w:sz w:val="21"/>
                <w:szCs w:val="21"/>
              </w:rPr>
              <w:t>）</w:t>
            </w:r>
          </w:p>
        </w:tc>
      </w:tr>
    </w:tbl>
    <w:p w14:paraId="1FD5C7C6" w14:textId="77777777" w:rsidR="005A1A44" w:rsidRDefault="0008059E">
      <w:pPr>
        <w:ind w:firstLine="480"/>
      </w:pPr>
      <w:r>
        <w:t>（</w:t>
      </w:r>
      <w:r>
        <w:t>2</w:t>
      </w:r>
      <w:r>
        <w:t>）废水排放标准</w:t>
      </w:r>
    </w:p>
    <w:p w14:paraId="675DA755" w14:textId="77777777" w:rsidR="005A1A44" w:rsidRDefault="0008059E">
      <w:pPr>
        <w:ind w:firstLine="480"/>
        <w:rPr>
          <w:rFonts w:eastAsia="黑体"/>
          <w:color w:val="000000" w:themeColor="text1"/>
        </w:rPr>
      </w:pPr>
      <w:r>
        <w:rPr>
          <w:rFonts w:hint="eastAsia"/>
        </w:rPr>
        <w:t>本项目生产、生活污水均不外排，生产、生活污水处理达《污水综合排放标准》（</w:t>
      </w:r>
      <w:r>
        <w:rPr>
          <w:rFonts w:hint="eastAsia"/>
        </w:rPr>
        <w:t>GB8978-1996</w:t>
      </w:r>
      <w:r>
        <w:rPr>
          <w:rFonts w:hint="eastAsia"/>
        </w:rPr>
        <w:t>）中的二级标准要求后回用于项目区生产及绿化。废水排放</w:t>
      </w:r>
      <w:r>
        <w:t>标准值见表</w:t>
      </w:r>
      <w:r>
        <w:rPr>
          <w:rFonts w:hint="eastAsia"/>
        </w:rPr>
        <w:t>2</w:t>
      </w:r>
      <w:r>
        <w:t>.</w:t>
      </w:r>
      <w:r>
        <w:rPr>
          <w:rFonts w:hint="eastAsia"/>
        </w:rPr>
        <w:t>3</w:t>
      </w:r>
      <w:r>
        <w:t>-</w:t>
      </w:r>
      <w:r>
        <w:rPr>
          <w:rFonts w:hint="eastAsia"/>
        </w:rPr>
        <w:t>7</w:t>
      </w:r>
      <w:r>
        <w:t>。</w:t>
      </w:r>
    </w:p>
    <w:p w14:paraId="0EE94EC2" w14:textId="77777777" w:rsidR="005A1A44" w:rsidRDefault="0008059E">
      <w:pPr>
        <w:ind w:firstLineChars="0" w:firstLine="0"/>
        <w:jc w:val="center"/>
      </w:pPr>
      <w:r>
        <w:rPr>
          <w:rFonts w:eastAsia="黑体"/>
          <w:color w:val="000000" w:themeColor="text1"/>
        </w:rPr>
        <w:t>表</w:t>
      </w:r>
      <w:r>
        <w:rPr>
          <w:rFonts w:eastAsia="黑体" w:hint="eastAsia"/>
          <w:color w:val="000000" w:themeColor="text1"/>
        </w:rPr>
        <w:t>2</w:t>
      </w:r>
      <w:r>
        <w:rPr>
          <w:rFonts w:eastAsia="黑体"/>
          <w:color w:val="000000" w:themeColor="text1"/>
        </w:rPr>
        <w:t>.</w:t>
      </w:r>
      <w:r>
        <w:rPr>
          <w:rFonts w:eastAsia="黑体" w:hint="eastAsia"/>
          <w:color w:val="000000" w:themeColor="text1"/>
        </w:rPr>
        <w:t>3</w:t>
      </w:r>
      <w:r>
        <w:rPr>
          <w:rFonts w:eastAsia="黑体"/>
          <w:color w:val="000000" w:themeColor="text1"/>
        </w:rPr>
        <w:t>-</w:t>
      </w:r>
      <w:r>
        <w:rPr>
          <w:rFonts w:eastAsia="黑体" w:hint="eastAsia"/>
          <w:color w:val="000000" w:themeColor="text1"/>
        </w:rPr>
        <w:t>7</w:t>
      </w:r>
      <w:r>
        <w:rPr>
          <w:rFonts w:eastAsia="黑体"/>
          <w:color w:val="000000" w:themeColor="text1"/>
        </w:rPr>
        <w:t xml:space="preserve">   </w:t>
      </w:r>
      <w:r>
        <w:rPr>
          <w:rFonts w:eastAsia="黑体"/>
          <w:color w:val="000000" w:themeColor="text1"/>
        </w:rPr>
        <w:t>项目水污染物排放浓度限值</w:t>
      </w:r>
      <w:r>
        <w:rPr>
          <w:color w:val="000000" w:themeColor="text1"/>
        </w:rPr>
        <w:t xml:space="preserve">      </w:t>
      </w:r>
      <w:r>
        <w:rPr>
          <w:color w:val="000000" w:themeColor="text1"/>
        </w:rPr>
        <w:t>单位：</w:t>
      </w:r>
      <w:r>
        <w:rPr>
          <w:color w:val="000000" w:themeColor="text1"/>
        </w:rPr>
        <w:t>mg/</w:t>
      </w:r>
      <w:r>
        <w:rPr>
          <w:rFonts w:hint="eastAsia"/>
          <w:color w:val="000000" w:themeColor="text1"/>
        </w:rPr>
        <w:t>L</w:t>
      </w:r>
      <w:r>
        <w:rPr>
          <w:rFonts w:hint="eastAsia"/>
          <w:color w:val="000000" w:themeColor="text1"/>
        </w:rPr>
        <w:t>（</w:t>
      </w:r>
      <w:r>
        <w:rPr>
          <w:rFonts w:hint="eastAsia"/>
        </w:rPr>
        <w:t>pH</w:t>
      </w:r>
      <w:r>
        <w:rPr>
          <w:rFonts w:hint="eastAsia"/>
        </w:rPr>
        <w:t>除外</w:t>
      </w:r>
      <w:r>
        <w:rPr>
          <w:rFonts w:hint="eastAsia"/>
          <w:color w:val="000000" w:themeColor="text1"/>
        </w:rPr>
        <w:t>）</w:t>
      </w:r>
    </w:p>
    <w:tbl>
      <w:tblPr>
        <w:tblW w:w="88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75"/>
        <w:gridCol w:w="858"/>
        <w:gridCol w:w="1140"/>
        <w:gridCol w:w="1260"/>
        <w:gridCol w:w="919"/>
        <w:gridCol w:w="1398"/>
      </w:tblGrid>
      <w:tr w:rsidR="005A1A44" w14:paraId="6701E21E" w14:textId="77777777">
        <w:tc>
          <w:tcPr>
            <w:tcW w:w="3275" w:type="dxa"/>
            <w:shd w:val="clear" w:color="auto" w:fill="auto"/>
            <w:vAlign w:val="center"/>
          </w:tcPr>
          <w:p w14:paraId="277F2B04" w14:textId="77777777" w:rsidR="005A1A44" w:rsidRDefault="0008059E">
            <w:pPr>
              <w:ind w:firstLineChars="0" w:firstLine="0"/>
              <w:jc w:val="center"/>
              <w:rPr>
                <w:sz w:val="21"/>
                <w:szCs w:val="21"/>
              </w:rPr>
            </w:pPr>
            <w:r>
              <w:rPr>
                <w:sz w:val="21"/>
                <w:szCs w:val="21"/>
              </w:rPr>
              <w:t>污染物</w:t>
            </w:r>
          </w:p>
        </w:tc>
        <w:tc>
          <w:tcPr>
            <w:tcW w:w="858" w:type="dxa"/>
            <w:shd w:val="clear" w:color="auto" w:fill="auto"/>
            <w:vAlign w:val="center"/>
          </w:tcPr>
          <w:p w14:paraId="54A1F751" w14:textId="77777777" w:rsidR="005A1A44" w:rsidRDefault="0008059E">
            <w:pPr>
              <w:ind w:firstLineChars="0" w:firstLine="0"/>
              <w:jc w:val="center"/>
              <w:rPr>
                <w:sz w:val="21"/>
                <w:szCs w:val="21"/>
              </w:rPr>
            </w:pPr>
            <w:r>
              <w:rPr>
                <w:sz w:val="21"/>
                <w:szCs w:val="21"/>
              </w:rPr>
              <w:t>pH</w:t>
            </w:r>
          </w:p>
        </w:tc>
        <w:tc>
          <w:tcPr>
            <w:tcW w:w="1140" w:type="dxa"/>
            <w:shd w:val="clear" w:color="auto" w:fill="auto"/>
            <w:vAlign w:val="center"/>
          </w:tcPr>
          <w:p w14:paraId="6499C779" w14:textId="77777777" w:rsidR="005A1A44" w:rsidRDefault="0008059E">
            <w:pPr>
              <w:ind w:firstLineChars="0" w:firstLine="0"/>
              <w:jc w:val="center"/>
              <w:rPr>
                <w:sz w:val="21"/>
                <w:szCs w:val="21"/>
              </w:rPr>
            </w:pPr>
            <w:r>
              <w:rPr>
                <w:sz w:val="21"/>
                <w:szCs w:val="21"/>
              </w:rPr>
              <w:t>COD</w:t>
            </w:r>
          </w:p>
        </w:tc>
        <w:tc>
          <w:tcPr>
            <w:tcW w:w="1260" w:type="dxa"/>
            <w:shd w:val="clear" w:color="auto" w:fill="auto"/>
            <w:vAlign w:val="center"/>
          </w:tcPr>
          <w:p w14:paraId="7A86601E" w14:textId="77777777" w:rsidR="005A1A44" w:rsidRDefault="0008059E">
            <w:pPr>
              <w:ind w:firstLineChars="0" w:firstLine="0"/>
              <w:jc w:val="center"/>
              <w:rPr>
                <w:sz w:val="21"/>
                <w:szCs w:val="21"/>
              </w:rPr>
            </w:pPr>
            <w:r>
              <w:rPr>
                <w:sz w:val="21"/>
                <w:szCs w:val="21"/>
              </w:rPr>
              <w:t>BOD</w:t>
            </w:r>
            <w:r>
              <w:rPr>
                <w:sz w:val="21"/>
                <w:szCs w:val="21"/>
                <w:vertAlign w:val="subscript"/>
              </w:rPr>
              <w:t>5</w:t>
            </w:r>
          </w:p>
        </w:tc>
        <w:tc>
          <w:tcPr>
            <w:tcW w:w="919" w:type="dxa"/>
            <w:shd w:val="clear" w:color="auto" w:fill="auto"/>
            <w:vAlign w:val="center"/>
          </w:tcPr>
          <w:p w14:paraId="10226613" w14:textId="77777777" w:rsidR="005A1A44" w:rsidRDefault="0008059E">
            <w:pPr>
              <w:ind w:firstLineChars="0" w:firstLine="0"/>
              <w:jc w:val="center"/>
              <w:rPr>
                <w:sz w:val="21"/>
                <w:szCs w:val="21"/>
              </w:rPr>
            </w:pPr>
            <w:r>
              <w:rPr>
                <w:sz w:val="21"/>
                <w:szCs w:val="21"/>
              </w:rPr>
              <w:t>SS</w:t>
            </w:r>
          </w:p>
        </w:tc>
        <w:tc>
          <w:tcPr>
            <w:tcW w:w="1398" w:type="dxa"/>
            <w:shd w:val="clear" w:color="auto" w:fill="auto"/>
            <w:vAlign w:val="center"/>
          </w:tcPr>
          <w:p w14:paraId="12B28E18" w14:textId="77777777" w:rsidR="005A1A44" w:rsidRDefault="0008059E">
            <w:pPr>
              <w:ind w:firstLineChars="0" w:firstLine="0"/>
              <w:jc w:val="center"/>
              <w:rPr>
                <w:sz w:val="21"/>
                <w:szCs w:val="21"/>
              </w:rPr>
            </w:pPr>
            <w:r>
              <w:rPr>
                <w:sz w:val="21"/>
                <w:szCs w:val="21"/>
              </w:rPr>
              <w:t>NH</w:t>
            </w:r>
            <w:r>
              <w:rPr>
                <w:sz w:val="21"/>
                <w:szCs w:val="21"/>
                <w:vertAlign w:val="subscript"/>
              </w:rPr>
              <w:t>3</w:t>
            </w:r>
            <w:r>
              <w:rPr>
                <w:sz w:val="21"/>
                <w:szCs w:val="21"/>
              </w:rPr>
              <w:t>-N</w:t>
            </w:r>
          </w:p>
        </w:tc>
      </w:tr>
      <w:tr w:rsidR="005A1A44" w14:paraId="31D57C96" w14:textId="77777777">
        <w:tc>
          <w:tcPr>
            <w:tcW w:w="3275" w:type="dxa"/>
            <w:shd w:val="clear" w:color="auto" w:fill="auto"/>
            <w:vAlign w:val="center"/>
          </w:tcPr>
          <w:p w14:paraId="4E4C89F7" w14:textId="77777777" w:rsidR="005A1A44" w:rsidRDefault="0008059E">
            <w:pPr>
              <w:adjustRightInd w:val="0"/>
              <w:snapToGrid w:val="0"/>
              <w:ind w:firstLineChars="0" w:firstLine="0"/>
              <w:jc w:val="center"/>
              <w:rPr>
                <w:color w:val="000000" w:themeColor="text1"/>
                <w:sz w:val="21"/>
                <w:szCs w:val="21"/>
              </w:rPr>
            </w:pPr>
            <w:r>
              <w:rPr>
                <w:color w:val="000000" w:themeColor="text1"/>
                <w:sz w:val="21"/>
                <w:szCs w:val="21"/>
              </w:rPr>
              <w:t>最高允许排放浓度</w:t>
            </w:r>
          </w:p>
        </w:tc>
        <w:tc>
          <w:tcPr>
            <w:tcW w:w="858" w:type="dxa"/>
            <w:shd w:val="clear" w:color="auto" w:fill="auto"/>
            <w:vAlign w:val="center"/>
          </w:tcPr>
          <w:p w14:paraId="6955A63D" w14:textId="77777777" w:rsidR="005A1A44" w:rsidRDefault="0008059E">
            <w:pPr>
              <w:adjustRightInd w:val="0"/>
              <w:snapToGrid w:val="0"/>
              <w:ind w:firstLineChars="0" w:firstLine="0"/>
              <w:jc w:val="center"/>
              <w:rPr>
                <w:color w:val="000000" w:themeColor="text1"/>
                <w:sz w:val="21"/>
                <w:szCs w:val="21"/>
              </w:rPr>
            </w:pPr>
            <w:r>
              <w:rPr>
                <w:color w:val="000000" w:themeColor="text1"/>
                <w:sz w:val="21"/>
                <w:szCs w:val="21"/>
              </w:rPr>
              <w:t>6-9</w:t>
            </w:r>
          </w:p>
        </w:tc>
        <w:tc>
          <w:tcPr>
            <w:tcW w:w="1140" w:type="dxa"/>
            <w:shd w:val="clear" w:color="auto" w:fill="auto"/>
            <w:vAlign w:val="center"/>
          </w:tcPr>
          <w:p w14:paraId="15D76660" w14:textId="77777777" w:rsidR="005A1A44" w:rsidRDefault="0008059E">
            <w:pPr>
              <w:adjustRightInd w:val="0"/>
              <w:snapToGrid w:val="0"/>
              <w:ind w:firstLineChars="0" w:firstLine="0"/>
              <w:jc w:val="center"/>
              <w:rPr>
                <w:color w:val="000000" w:themeColor="text1"/>
                <w:sz w:val="21"/>
                <w:szCs w:val="21"/>
              </w:rPr>
            </w:pPr>
            <w:r>
              <w:rPr>
                <w:color w:val="000000" w:themeColor="text1"/>
                <w:sz w:val="21"/>
                <w:szCs w:val="21"/>
              </w:rPr>
              <w:t>150</w:t>
            </w:r>
          </w:p>
        </w:tc>
        <w:tc>
          <w:tcPr>
            <w:tcW w:w="1260" w:type="dxa"/>
            <w:shd w:val="clear" w:color="auto" w:fill="auto"/>
            <w:vAlign w:val="center"/>
          </w:tcPr>
          <w:p w14:paraId="037F4027" w14:textId="77777777" w:rsidR="005A1A44" w:rsidRDefault="0008059E">
            <w:pPr>
              <w:adjustRightInd w:val="0"/>
              <w:snapToGrid w:val="0"/>
              <w:ind w:firstLineChars="0" w:firstLine="0"/>
              <w:jc w:val="center"/>
              <w:rPr>
                <w:color w:val="000000" w:themeColor="text1"/>
                <w:sz w:val="21"/>
                <w:szCs w:val="21"/>
              </w:rPr>
            </w:pPr>
            <w:r>
              <w:rPr>
                <w:color w:val="000000" w:themeColor="text1"/>
                <w:sz w:val="21"/>
                <w:szCs w:val="21"/>
              </w:rPr>
              <w:t>30</w:t>
            </w:r>
          </w:p>
        </w:tc>
        <w:tc>
          <w:tcPr>
            <w:tcW w:w="919" w:type="dxa"/>
            <w:shd w:val="clear" w:color="auto" w:fill="auto"/>
            <w:vAlign w:val="center"/>
          </w:tcPr>
          <w:p w14:paraId="43CCD263" w14:textId="77777777" w:rsidR="005A1A44" w:rsidRDefault="0008059E">
            <w:pPr>
              <w:adjustRightInd w:val="0"/>
              <w:snapToGrid w:val="0"/>
              <w:ind w:firstLineChars="0" w:firstLine="0"/>
              <w:jc w:val="center"/>
              <w:rPr>
                <w:color w:val="000000" w:themeColor="text1"/>
                <w:sz w:val="21"/>
                <w:szCs w:val="21"/>
              </w:rPr>
            </w:pPr>
            <w:r>
              <w:rPr>
                <w:color w:val="000000" w:themeColor="text1"/>
                <w:sz w:val="21"/>
                <w:szCs w:val="21"/>
              </w:rPr>
              <w:t>150</w:t>
            </w:r>
          </w:p>
        </w:tc>
        <w:tc>
          <w:tcPr>
            <w:tcW w:w="1398" w:type="dxa"/>
            <w:shd w:val="clear" w:color="auto" w:fill="auto"/>
            <w:vAlign w:val="center"/>
          </w:tcPr>
          <w:p w14:paraId="23AFFEFA" w14:textId="77777777" w:rsidR="005A1A44" w:rsidRDefault="0008059E">
            <w:pPr>
              <w:adjustRightInd w:val="0"/>
              <w:snapToGrid w:val="0"/>
              <w:ind w:firstLineChars="0" w:firstLine="0"/>
              <w:jc w:val="center"/>
              <w:rPr>
                <w:color w:val="000000" w:themeColor="text1"/>
                <w:sz w:val="21"/>
                <w:szCs w:val="21"/>
              </w:rPr>
            </w:pPr>
            <w:r>
              <w:rPr>
                <w:color w:val="000000" w:themeColor="text1"/>
                <w:sz w:val="21"/>
                <w:szCs w:val="21"/>
              </w:rPr>
              <w:t>25</w:t>
            </w:r>
          </w:p>
        </w:tc>
      </w:tr>
    </w:tbl>
    <w:p w14:paraId="66195012" w14:textId="77777777" w:rsidR="005A1A44" w:rsidRDefault="0008059E">
      <w:pPr>
        <w:ind w:firstLine="480"/>
      </w:pPr>
      <w:r>
        <w:t>（</w:t>
      </w:r>
      <w:r>
        <w:t>3</w:t>
      </w:r>
      <w:r>
        <w:t>）噪声排放标准</w:t>
      </w:r>
    </w:p>
    <w:p w14:paraId="7421AA9D" w14:textId="77777777" w:rsidR="005A1A44" w:rsidRDefault="0008059E">
      <w:pPr>
        <w:ind w:firstLine="480"/>
      </w:pPr>
      <w:r>
        <w:t>噪声排放标准执行《工业企业厂界环境噪声排放标准》（</w:t>
      </w:r>
      <w:r>
        <w:t>GB12348-2008</w:t>
      </w:r>
      <w:r>
        <w:t>）中的</w:t>
      </w:r>
      <w:r>
        <w:t>2</w:t>
      </w:r>
      <w:r>
        <w:t>类标准</w:t>
      </w:r>
      <w:r>
        <w:rPr>
          <w:rFonts w:hint="eastAsia"/>
        </w:rPr>
        <w:t>，</w:t>
      </w:r>
      <w:r>
        <w:t>标准值见表</w:t>
      </w:r>
      <w:r>
        <w:rPr>
          <w:rFonts w:hint="eastAsia"/>
        </w:rPr>
        <w:t>2</w:t>
      </w:r>
      <w:r>
        <w:t>.</w:t>
      </w:r>
      <w:r>
        <w:rPr>
          <w:rFonts w:hint="eastAsia"/>
        </w:rPr>
        <w:t>3</w:t>
      </w:r>
      <w:r>
        <w:t>-</w:t>
      </w:r>
      <w:r>
        <w:rPr>
          <w:rFonts w:hint="eastAsia"/>
        </w:rPr>
        <w:t>8</w:t>
      </w:r>
      <w:r>
        <w:t>。</w:t>
      </w:r>
    </w:p>
    <w:p w14:paraId="4A9B2E56" w14:textId="77777777" w:rsidR="005A1A44" w:rsidRDefault="0008059E">
      <w:pPr>
        <w:ind w:firstLineChars="0" w:firstLine="0"/>
        <w:jc w:val="center"/>
        <w:rPr>
          <w:color w:val="000000" w:themeColor="text1"/>
        </w:rPr>
      </w:pPr>
      <w:r>
        <w:rPr>
          <w:rFonts w:eastAsia="黑体"/>
          <w:color w:val="000000" w:themeColor="text1"/>
        </w:rPr>
        <w:t>表</w:t>
      </w:r>
      <w:r>
        <w:rPr>
          <w:rFonts w:eastAsia="黑体" w:hint="eastAsia"/>
          <w:color w:val="000000" w:themeColor="text1"/>
        </w:rPr>
        <w:t>2</w:t>
      </w:r>
      <w:r>
        <w:rPr>
          <w:rFonts w:eastAsia="黑体"/>
          <w:color w:val="000000" w:themeColor="text1"/>
        </w:rPr>
        <w:t>.</w:t>
      </w:r>
      <w:r>
        <w:rPr>
          <w:rFonts w:eastAsia="黑体" w:hint="eastAsia"/>
          <w:color w:val="000000" w:themeColor="text1"/>
        </w:rPr>
        <w:t>3</w:t>
      </w:r>
      <w:r>
        <w:rPr>
          <w:rFonts w:eastAsia="黑体"/>
          <w:color w:val="000000" w:themeColor="text1"/>
        </w:rPr>
        <w:t>-</w:t>
      </w:r>
      <w:r>
        <w:rPr>
          <w:rFonts w:eastAsia="黑体" w:hint="eastAsia"/>
          <w:color w:val="000000" w:themeColor="text1"/>
        </w:rPr>
        <w:t>8</w:t>
      </w:r>
      <w:r>
        <w:rPr>
          <w:rFonts w:eastAsia="黑体"/>
          <w:color w:val="000000" w:themeColor="text1"/>
        </w:rPr>
        <w:t xml:space="preserve">    </w:t>
      </w:r>
      <w:r>
        <w:rPr>
          <w:rFonts w:eastAsia="黑体"/>
          <w:color w:val="000000" w:themeColor="text1"/>
        </w:rPr>
        <w:t>工业企业厂界环境噪声排放标准</w:t>
      </w:r>
      <w:r>
        <w:rPr>
          <w:color w:val="000000" w:themeColor="text1"/>
        </w:rPr>
        <w:t xml:space="preserve">      </w:t>
      </w:r>
      <w:r>
        <w:rPr>
          <w:color w:val="000000" w:themeColor="text1"/>
        </w:rPr>
        <w:t>单位：</w:t>
      </w:r>
      <w:r>
        <w:rPr>
          <w:color w:val="000000" w:themeColor="text1"/>
        </w:rPr>
        <w:t>dB</w:t>
      </w:r>
      <w:r>
        <w:rPr>
          <w:color w:val="000000" w:themeColor="text1"/>
        </w:rPr>
        <w:t>（</w:t>
      </w:r>
      <w:r>
        <w:rPr>
          <w:color w:val="000000" w:themeColor="text1"/>
        </w:rPr>
        <w:t>A</w:t>
      </w:r>
      <w:r>
        <w:rPr>
          <w:color w:val="000000" w:themeColor="text1"/>
        </w:rPr>
        <w:t>）</w:t>
      </w:r>
    </w:p>
    <w:tbl>
      <w:tblPr>
        <w:tblW w:w="85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08"/>
        <w:gridCol w:w="1688"/>
        <w:gridCol w:w="1690"/>
        <w:gridCol w:w="3036"/>
      </w:tblGrid>
      <w:tr w:rsidR="005A1A44" w14:paraId="36249F08" w14:textId="77777777">
        <w:trPr>
          <w:cantSplit/>
          <w:trHeight w:val="379"/>
          <w:jc w:val="center"/>
        </w:trPr>
        <w:tc>
          <w:tcPr>
            <w:tcW w:w="2108" w:type="dxa"/>
            <w:vMerge w:val="restart"/>
            <w:shd w:val="clear" w:color="auto" w:fill="auto"/>
            <w:vAlign w:val="center"/>
          </w:tcPr>
          <w:p w14:paraId="3E4D8943"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适应区域</w:t>
            </w:r>
          </w:p>
        </w:tc>
        <w:tc>
          <w:tcPr>
            <w:tcW w:w="3378" w:type="dxa"/>
            <w:gridSpan w:val="2"/>
            <w:shd w:val="clear" w:color="auto" w:fill="auto"/>
            <w:vAlign w:val="center"/>
          </w:tcPr>
          <w:p w14:paraId="3F979805"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标准值</w:t>
            </w:r>
          </w:p>
        </w:tc>
        <w:tc>
          <w:tcPr>
            <w:tcW w:w="3036" w:type="dxa"/>
            <w:vMerge w:val="restart"/>
            <w:shd w:val="clear" w:color="auto" w:fill="auto"/>
            <w:vAlign w:val="center"/>
          </w:tcPr>
          <w:p w14:paraId="35AFD900"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标准来源</w:t>
            </w:r>
          </w:p>
        </w:tc>
      </w:tr>
      <w:tr w:rsidR="005A1A44" w14:paraId="2E9090CA" w14:textId="77777777">
        <w:trPr>
          <w:cantSplit/>
          <w:trHeight w:val="307"/>
          <w:jc w:val="center"/>
        </w:trPr>
        <w:tc>
          <w:tcPr>
            <w:tcW w:w="2108" w:type="dxa"/>
            <w:vMerge/>
            <w:shd w:val="clear" w:color="auto" w:fill="auto"/>
            <w:vAlign w:val="center"/>
          </w:tcPr>
          <w:p w14:paraId="35F5BB11" w14:textId="77777777" w:rsidR="005A1A44" w:rsidRDefault="005A1A44">
            <w:pPr>
              <w:adjustRightInd w:val="0"/>
              <w:snapToGrid w:val="0"/>
              <w:spacing w:line="240" w:lineRule="auto"/>
              <w:ind w:firstLineChars="0" w:firstLine="0"/>
              <w:jc w:val="center"/>
              <w:rPr>
                <w:color w:val="000000" w:themeColor="text1"/>
                <w:sz w:val="21"/>
                <w:szCs w:val="21"/>
              </w:rPr>
            </w:pPr>
          </w:p>
        </w:tc>
        <w:tc>
          <w:tcPr>
            <w:tcW w:w="1688" w:type="dxa"/>
            <w:shd w:val="clear" w:color="auto" w:fill="auto"/>
            <w:vAlign w:val="center"/>
          </w:tcPr>
          <w:p w14:paraId="2F1647C1"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昼</w:t>
            </w:r>
            <w:r>
              <w:rPr>
                <w:color w:val="000000" w:themeColor="text1"/>
                <w:sz w:val="21"/>
                <w:szCs w:val="21"/>
              </w:rPr>
              <w:t xml:space="preserve">  </w:t>
            </w:r>
            <w:r>
              <w:rPr>
                <w:color w:val="000000" w:themeColor="text1"/>
                <w:sz w:val="21"/>
                <w:szCs w:val="21"/>
              </w:rPr>
              <w:t>间</w:t>
            </w:r>
          </w:p>
        </w:tc>
        <w:tc>
          <w:tcPr>
            <w:tcW w:w="1690" w:type="dxa"/>
            <w:shd w:val="clear" w:color="auto" w:fill="auto"/>
            <w:vAlign w:val="center"/>
          </w:tcPr>
          <w:p w14:paraId="04CB8305"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夜</w:t>
            </w:r>
            <w:r>
              <w:rPr>
                <w:color w:val="000000" w:themeColor="text1"/>
                <w:sz w:val="21"/>
                <w:szCs w:val="21"/>
              </w:rPr>
              <w:t xml:space="preserve">  </w:t>
            </w:r>
            <w:r>
              <w:rPr>
                <w:color w:val="000000" w:themeColor="text1"/>
                <w:sz w:val="21"/>
                <w:szCs w:val="21"/>
              </w:rPr>
              <w:t>间</w:t>
            </w:r>
          </w:p>
        </w:tc>
        <w:tc>
          <w:tcPr>
            <w:tcW w:w="3036" w:type="dxa"/>
            <w:vMerge/>
            <w:shd w:val="clear" w:color="auto" w:fill="auto"/>
            <w:vAlign w:val="center"/>
          </w:tcPr>
          <w:p w14:paraId="0E6E0A5F" w14:textId="77777777" w:rsidR="005A1A44" w:rsidRDefault="005A1A44">
            <w:pPr>
              <w:adjustRightInd w:val="0"/>
              <w:snapToGrid w:val="0"/>
              <w:spacing w:line="240" w:lineRule="auto"/>
              <w:ind w:firstLineChars="0" w:firstLine="0"/>
              <w:jc w:val="center"/>
              <w:rPr>
                <w:color w:val="000000" w:themeColor="text1"/>
                <w:sz w:val="21"/>
                <w:szCs w:val="21"/>
              </w:rPr>
            </w:pPr>
          </w:p>
        </w:tc>
      </w:tr>
      <w:tr w:rsidR="005A1A44" w14:paraId="0341239E" w14:textId="77777777">
        <w:trPr>
          <w:cantSplit/>
          <w:trHeight w:val="384"/>
          <w:jc w:val="center"/>
        </w:trPr>
        <w:tc>
          <w:tcPr>
            <w:tcW w:w="2108" w:type="dxa"/>
            <w:shd w:val="clear" w:color="auto" w:fill="auto"/>
            <w:vAlign w:val="center"/>
          </w:tcPr>
          <w:p w14:paraId="7B0F6AA6"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2</w:t>
            </w:r>
            <w:r>
              <w:rPr>
                <w:color w:val="000000" w:themeColor="text1"/>
                <w:sz w:val="21"/>
                <w:szCs w:val="21"/>
              </w:rPr>
              <w:t>类</w:t>
            </w:r>
          </w:p>
        </w:tc>
        <w:tc>
          <w:tcPr>
            <w:tcW w:w="1688" w:type="dxa"/>
            <w:shd w:val="clear" w:color="auto" w:fill="auto"/>
            <w:vAlign w:val="center"/>
          </w:tcPr>
          <w:p w14:paraId="197B5745"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60</w:t>
            </w:r>
          </w:p>
        </w:tc>
        <w:tc>
          <w:tcPr>
            <w:tcW w:w="1690" w:type="dxa"/>
            <w:shd w:val="clear" w:color="auto" w:fill="auto"/>
            <w:vAlign w:val="center"/>
          </w:tcPr>
          <w:p w14:paraId="2BCFBA60"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50</w:t>
            </w:r>
          </w:p>
        </w:tc>
        <w:tc>
          <w:tcPr>
            <w:tcW w:w="3036" w:type="dxa"/>
            <w:vMerge w:val="restart"/>
            <w:shd w:val="clear" w:color="auto" w:fill="auto"/>
            <w:vAlign w:val="center"/>
          </w:tcPr>
          <w:p w14:paraId="5B2DB337"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GB12348-2008</w:t>
            </w:r>
          </w:p>
        </w:tc>
      </w:tr>
      <w:tr w:rsidR="005A1A44" w14:paraId="50056BDD" w14:textId="77777777">
        <w:trPr>
          <w:cantSplit/>
          <w:trHeight w:val="384"/>
          <w:jc w:val="center"/>
        </w:trPr>
        <w:tc>
          <w:tcPr>
            <w:tcW w:w="2108" w:type="dxa"/>
            <w:shd w:val="clear" w:color="auto" w:fill="auto"/>
            <w:vAlign w:val="center"/>
          </w:tcPr>
          <w:p w14:paraId="750027AE"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4a</w:t>
            </w:r>
            <w:r>
              <w:rPr>
                <w:rFonts w:hint="eastAsia"/>
                <w:color w:val="000000" w:themeColor="text1"/>
                <w:sz w:val="21"/>
                <w:szCs w:val="21"/>
              </w:rPr>
              <w:t>类</w:t>
            </w:r>
          </w:p>
        </w:tc>
        <w:tc>
          <w:tcPr>
            <w:tcW w:w="1688" w:type="dxa"/>
            <w:shd w:val="clear" w:color="auto" w:fill="auto"/>
            <w:vAlign w:val="center"/>
          </w:tcPr>
          <w:p w14:paraId="21FF42C3"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7</w:t>
            </w:r>
            <w:r>
              <w:rPr>
                <w:color w:val="000000" w:themeColor="text1"/>
                <w:sz w:val="21"/>
                <w:szCs w:val="21"/>
              </w:rPr>
              <w:t>0</w:t>
            </w:r>
          </w:p>
        </w:tc>
        <w:tc>
          <w:tcPr>
            <w:tcW w:w="1690" w:type="dxa"/>
            <w:shd w:val="clear" w:color="auto" w:fill="auto"/>
            <w:vAlign w:val="center"/>
          </w:tcPr>
          <w:p w14:paraId="58B109AE"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5</w:t>
            </w:r>
            <w:r>
              <w:rPr>
                <w:color w:val="000000" w:themeColor="text1"/>
                <w:sz w:val="21"/>
                <w:szCs w:val="21"/>
              </w:rPr>
              <w:t>5</w:t>
            </w:r>
          </w:p>
        </w:tc>
        <w:tc>
          <w:tcPr>
            <w:tcW w:w="3036" w:type="dxa"/>
            <w:vMerge/>
            <w:shd w:val="clear" w:color="auto" w:fill="auto"/>
            <w:vAlign w:val="center"/>
          </w:tcPr>
          <w:p w14:paraId="1ACD460F" w14:textId="77777777" w:rsidR="005A1A44" w:rsidRDefault="005A1A44">
            <w:pPr>
              <w:adjustRightInd w:val="0"/>
              <w:snapToGrid w:val="0"/>
              <w:spacing w:line="240" w:lineRule="auto"/>
              <w:ind w:firstLineChars="0" w:firstLine="0"/>
              <w:jc w:val="center"/>
              <w:rPr>
                <w:color w:val="000000" w:themeColor="text1"/>
                <w:sz w:val="21"/>
                <w:szCs w:val="21"/>
              </w:rPr>
            </w:pPr>
          </w:p>
        </w:tc>
      </w:tr>
    </w:tbl>
    <w:p w14:paraId="7B07E2E2" w14:textId="77777777" w:rsidR="005A1A44" w:rsidRDefault="0008059E">
      <w:pPr>
        <w:ind w:firstLine="480"/>
      </w:pPr>
      <w:r>
        <w:t>工程施工期执行《建筑施工场界环境噪声排放标准》（</w:t>
      </w:r>
      <w:r>
        <w:t>GB 12523</w:t>
      </w:r>
      <w:r>
        <w:t>－</w:t>
      </w:r>
      <w:r>
        <w:t>2011</w:t>
      </w:r>
      <w:r>
        <w:t>），见表</w:t>
      </w:r>
      <w:r>
        <w:rPr>
          <w:rFonts w:hint="eastAsia"/>
        </w:rPr>
        <w:t>2</w:t>
      </w:r>
      <w:r>
        <w:t>.</w:t>
      </w:r>
      <w:r>
        <w:rPr>
          <w:rFonts w:hint="eastAsia"/>
        </w:rPr>
        <w:t>3</w:t>
      </w:r>
      <w:r>
        <w:t>-</w:t>
      </w:r>
      <w:r>
        <w:rPr>
          <w:rFonts w:hint="eastAsia"/>
        </w:rPr>
        <w:t>9</w:t>
      </w:r>
      <w:r>
        <w:t>。</w:t>
      </w:r>
    </w:p>
    <w:p w14:paraId="789803FD" w14:textId="77777777" w:rsidR="005A1A44" w:rsidRDefault="0008059E">
      <w:pPr>
        <w:ind w:firstLineChars="0" w:firstLine="0"/>
        <w:jc w:val="center"/>
        <w:rPr>
          <w:color w:val="000000" w:themeColor="text1"/>
        </w:rPr>
      </w:pPr>
      <w:r>
        <w:rPr>
          <w:rFonts w:eastAsia="黑体"/>
          <w:color w:val="000000" w:themeColor="text1"/>
        </w:rPr>
        <w:t>表</w:t>
      </w:r>
      <w:r>
        <w:rPr>
          <w:rFonts w:eastAsia="黑体" w:hint="eastAsia"/>
          <w:color w:val="000000" w:themeColor="text1"/>
        </w:rPr>
        <w:t>2</w:t>
      </w:r>
      <w:r>
        <w:rPr>
          <w:rFonts w:eastAsia="黑体"/>
          <w:color w:val="000000" w:themeColor="text1"/>
        </w:rPr>
        <w:t>.</w:t>
      </w:r>
      <w:r>
        <w:rPr>
          <w:rFonts w:eastAsia="黑体" w:hint="eastAsia"/>
          <w:color w:val="000000" w:themeColor="text1"/>
        </w:rPr>
        <w:t>3</w:t>
      </w:r>
      <w:r>
        <w:rPr>
          <w:rFonts w:eastAsia="黑体"/>
          <w:color w:val="000000" w:themeColor="text1"/>
        </w:rPr>
        <w:t>-</w:t>
      </w:r>
      <w:r>
        <w:rPr>
          <w:rFonts w:eastAsia="黑体" w:hint="eastAsia"/>
          <w:color w:val="000000" w:themeColor="text1"/>
        </w:rPr>
        <w:t>9</w:t>
      </w:r>
      <w:r>
        <w:rPr>
          <w:rFonts w:eastAsia="黑体"/>
          <w:color w:val="000000" w:themeColor="text1"/>
        </w:rPr>
        <w:t xml:space="preserve">   </w:t>
      </w:r>
      <w:r>
        <w:rPr>
          <w:rFonts w:eastAsia="黑体"/>
          <w:color w:val="000000" w:themeColor="text1"/>
        </w:rPr>
        <w:t>建筑施工场界噪声排放限值</w:t>
      </w:r>
      <w:r>
        <w:rPr>
          <w:color w:val="000000" w:themeColor="text1"/>
        </w:rPr>
        <w:t xml:space="preserve">        </w:t>
      </w:r>
      <w:r>
        <w:rPr>
          <w:color w:val="000000" w:themeColor="text1"/>
        </w:rPr>
        <w:t>单位：</w:t>
      </w:r>
      <w:r>
        <w:rPr>
          <w:color w:val="000000" w:themeColor="text1"/>
        </w:rPr>
        <w:t>dB</w:t>
      </w:r>
      <w:r>
        <w:rPr>
          <w:color w:val="000000" w:themeColor="text1"/>
        </w:rPr>
        <w:t>（</w:t>
      </w:r>
      <w:r>
        <w:rPr>
          <w:color w:val="000000" w:themeColor="text1"/>
        </w:rPr>
        <w:t>A</w:t>
      </w:r>
      <w:r>
        <w:rPr>
          <w:color w:val="000000" w:themeColor="text1"/>
        </w:rPr>
        <w:t>）</w:t>
      </w:r>
    </w:p>
    <w:tbl>
      <w:tblPr>
        <w:tblW w:w="85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84"/>
        <w:gridCol w:w="4138"/>
      </w:tblGrid>
      <w:tr w:rsidR="005A1A44" w14:paraId="2C362E98" w14:textId="77777777">
        <w:trPr>
          <w:cantSplit/>
          <w:jc w:val="center"/>
        </w:trPr>
        <w:tc>
          <w:tcPr>
            <w:tcW w:w="4384" w:type="dxa"/>
            <w:shd w:val="clear" w:color="auto" w:fill="auto"/>
            <w:vAlign w:val="center"/>
          </w:tcPr>
          <w:p w14:paraId="7ADE05E8"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昼</w:t>
            </w:r>
            <w:r>
              <w:rPr>
                <w:rFonts w:hint="eastAsia"/>
                <w:color w:val="000000" w:themeColor="text1"/>
                <w:sz w:val="21"/>
                <w:szCs w:val="21"/>
              </w:rPr>
              <w:t xml:space="preserve">  </w:t>
            </w:r>
            <w:r>
              <w:rPr>
                <w:rFonts w:hint="eastAsia"/>
                <w:color w:val="000000" w:themeColor="text1"/>
                <w:sz w:val="21"/>
                <w:szCs w:val="21"/>
              </w:rPr>
              <w:t>间</w:t>
            </w:r>
          </w:p>
        </w:tc>
        <w:tc>
          <w:tcPr>
            <w:tcW w:w="4138" w:type="dxa"/>
            <w:shd w:val="clear" w:color="auto" w:fill="auto"/>
            <w:vAlign w:val="center"/>
          </w:tcPr>
          <w:p w14:paraId="32957F02"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夜</w:t>
            </w:r>
            <w:r>
              <w:rPr>
                <w:rFonts w:hint="eastAsia"/>
                <w:color w:val="000000" w:themeColor="text1"/>
                <w:sz w:val="21"/>
                <w:szCs w:val="21"/>
              </w:rPr>
              <w:t xml:space="preserve">  </w:t>
            </w:r>
            <w:r>
              <w:rPr>
                <w:rFonts w:hint="eastAsia"/>
                <w:color w:val="000000" w:themeColor="text1"/>
                <w:sz w:val="21"/>
                <w:szCs w:val="21"/>
              </w:rPr>
              <w:t>间</w:t>
            </w:r>
          </w:p>
        </w:tc>
      </w:tr>
      <w:tr w:rsidR="005A1A44" w14:paraId="67E82A6F" w14:textId="77777777">
        <w:trPr>
          <w:cantSplit/>
          <w:jc w:val="center"/>
        </w:trPr>
        <w:tc>
          <w:tcPr>
            <w:tcW w:w="4384" w:type="dxa"/>
            <w:shd w:val="clear" w:color="auto" w:fill="auto"/>
            <w:vAlign w:val="center"/>
          </w:tcPr>
          <w:p w14:paraId="35A63FE8"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70</w:t>
            </w:r>
          </w:p>
        </w:tc>
        <w:tc>
          <w:tcPr>
            <w:tcW w:w="4138" w:type="dxa"/>
            <w:shd w:val="clear" w:color="auto" w:fill="auto"/>
            <w:vAlign w:val="center"/>
          </w:tcPr>
          <w:p w14:paraId="45EE7415"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55</w:t>
            </w:r>
          </w:p>
        </w:tc>
      </w:tr>
    </w:tbl>
    <w:p w14:paraId="50B0D83D" w14:textId="77777777" w:rsidR="005A1A44" w:rsidRDefault="0008059E">
      <w:pPr>
        <w:ind w:firstLine="480"/>
      </w:pPr>
      <w:r>
        <w:t>（</w:t>
      </w:r>
      <w:r>
        <w:t>4</w:t>
      </w:r>
      <w:r>
        <w:t>）固体废物排放标准</w:t>
      </w:r>
    </w:p>
    <w:p w14:paraId="2B6475ED" w14:textId="77777777" w:rsidR="005A1A44" w:rsidRDefault="0008059E">
      <w:pPr>
        <w:ind w:firstLine="480"/>
      </w:pPr>
      <w:r>
        <w:t>一般工业固体废物贮存、处置执行《一般工业固体废物贮存、处置场污染控制标准》（</w:t>
      </w:r>
      <w:r>
        <w:t>GB18599-2001</w:t>
      </w:r>
      <w:r>
        <w:t>）。</w:t>
      </w:r>
      <w:r>
        <w:rPr>
          <w:rFonts w:hint="eastAsia"/>
        </w:rPr>
        <w:t>工人</w:t>
      </w:r>
      <w:r>
        <w:t>产生的生活垃圾</w:t>
      </w:r>
      <w:r>
        <w:rPr>
          <w:rFonts w:hint="eastAsia"/>
        </w:rPr>
        <w:t>，应</w:t>
      </w:r>
      <w:r>
        <w:t>执行《生活垃圾填埋污染控制标准》（</w:t>
      </w:r>
      <w:r>
        <w:t>GB16889-2008</w:t>
      </w:r>
      <w:r>
        <w:t>）。废机油执行《危险废物贮存污染控制标准》</w:t>
      </w:r>
      <w:r>
        <w:rPr>
          <w:rFonts w:hint="eastAsia"/>
        </w:rPr>
        <w:t>（</w:t>
      </w:r>
      <w:r>
        <w:t>GB18597-2001</w:t>
      </w:r>
      <w:r>
        <w:rPr>
          <w:rFonts w:hint="eastAsia"/>
        </w:rPr>
        <w:t>）</w:t>
      </w:r>
      <w:r>
        <w:t>及其修改单（环保部公告</w:t>
      </w:r>
      <w:r>
        <w:t>2013</w:t>
      </w:r>
      <w:r>
        <w:t>年第</w:t>
      </w:r>
      <w:r>
        <w:t>36</w:t>
      </w:r>
      <w:r>
        <w:t>号）</w:t>
      </w:r>
      <w:r>
        <w:rPr>
          <w:rFonts w:hint="eastAsia"/>
        </w:rPr>
        <w:t>中的</w:t>
      </w:r>
      <w:r>
        <w:t>标准</w:t>
      </w:r>
      <w:r>
        <w:rPr>
          <w:rFonts w:hint="eastAsia"/>
        </w:rPr>
        <w:t>。</w:t>
      </w:r>
    </w:p>
    <w:p w14:paraId="480CCFCD" w14:textId="77777777" w:rsidR="005A1A44" w:rsidRDefault="0008059E">
      <w:pPr>
        <w:pStyle w:val="2"/>
        <w:numPr>
          <w:ilvl w:val="1"/>
          <w:numId w:val="2"/>
        </w:numPr>
      </w:pPr>
      <w:r>
        <w:rPr>
          <w:rFonts w:hint="eastAsia"/>
        </w:rPr>
        <w:lastRenderedPageBreak/>
        <w:t xml:space="preserve"> </w:t>
      </w:r>
      <w:bookmarkStart w:id="113" w:name="_Toc30797_WPSOffice_Level2"/>
      <w:bookmarkStart w:id="114" w:name="_Toc17517_WPSOffice_Level2"/>
      <w:r>
        <w:rPr>
          <w:rFonts w:hint="eastAsia"/>
        </w:rPr>
        <w:t>环境影响识别与评价因子筛选</w:t>
      </w:r>
      <w:bookmarkEnd w:id="112"/>
      <w:bookmarkEnd w:id="113"/>
      <w:bookmarkEnd w:id="114"/>
    </w:p>
    <w:p w14:paraId="2E8CC8FC" w14:textId="77777777" w:rsidR="005A1A44" w:rsidRDefault="0008059E">
      <w:pPr>
        <w:pStyle w:val="3"/>
        <w:numPr>
          <w:ilvl w:val="2"/>
          <w:numId w:val="2"/>
        </w:numPr>
      </w:pPr>
      <w:r>
        <w:rPr>
          <w:rFonts w:hint="eastAsia"/>
        </w:rPr>
        <w:t xml:space="preserve"> </w:t>
      </w:r>
      <w:r>
        <w:rPr>
          <w:rFonts w:hint="eastAsia"/>
        </w:rPr>
        <w:t>环境对工程的制约因素分析</w:t>
      </w:r>
    </w:p>
    <w:p w14:paraId="6A073965" w14:textId="77777777" w:rsidR="005A1A44" w:rsidRDefault="0008059E">
      <w:pPr>
        <w:pStyle w:val="4"/>
        <w:numPr>
          <w:ilvl w:val="3"/>
          <w:numId w:val="2"/>
        </w:numPr>
      </w:pPr>
      <w:r>
        <w:rPr>
          <w:rFonts w:hint="eastAsia"/>
        </w:rPr>
        <w:t xml:space="preserve"> </w:t>
      </w:r>
      <w:r>
        <w:rPr>
          <w:rFonts w:hint="eastAsia"/>
        </w:rPr>
        <w:t>自然环境对工程的制约因素</w:t>
      </w:r>
    </w:p>
    <w:p w14:paraId="3231CD54" w14:textId="77777777" w:rsidR="005A1A44" w:rsidRDefault="0008059E">
      <w:pPr>
        <w:numPr>
          <w:ilvl w:val="0"/>
          <w:numId w:val="6"/>
        </w:numPr>
        <w:ind w:firstLine="480"/>
      </w:pPr>
      <w:r>
        <w:rPr>
          <w:rFonts w:hint="eastAsia"/>
        </w:rPr>
        <w:t>地形地貌</w:t>
      </w:r>
    </w:p>
    <w:p w14:paraId="3B9EF019" w14:textId="77777777" w:rsidR="005A1A44" w:rsidRDefault="0008059E">
      <w:pPr>
        <w:ind w:firstLine="480"/>
      </w:pPr>
      <w:r>
        <w:rPr>
          <w:rFonts w:hint="eastAsia"/>
        </w:rPr>
        <w:t>项目区位于玉龙喀什河河谷冲积平原中上游，主要由玉河现代河床、河漫滩、阶地等构成，形成宽窄不一，弯曲的条状冲积平原，平缓北倾，由全新统冲积漂石、卵砾石等组成，地表水系发育，项目所在地水流侧向侵蚀作用明显，常形成河床中部高，两侧为沟谷的微地貌形态，项目段河道为砂卵石河床，河床开阔，河道宽度达到</w:t>
      </w:r>
      <w:r>
        <w:rPr>
          <w:rFonts w:hint="eastAsia"/>
        </w:rPr>
        <w:t xml:space="preserve"> 300</w:t>
      </w:r>
      <w:r>
        <w:rPr>
          <w:rFonts w:hint="eastAsia"/>
        </w:rPr>
        <w:t>～</w:t>
      </w:r>
      <w:r>
        <w:rPr>
          <w:rFonts w:hint="eastAsia"/>
        </w:rPr>
        <w:t>700m</w:t>
      </w:r>
      <w:r>
        <w:rPr>
          <w:rFonts w:hint="eastAsia"/>
        </w:rPr>
        <w:t>，主流摆动大，洪水在河床内游荡，没有明显河岸，基本依靠防洪堤防护河岸。</w:t>
      </w:r>
    </w:p>
    <w:p w14:paraId="5B6DCE17" w14:textId="77777777" w:rsidR="005A1A44" w:rsidRDefault="0008059E">
      <w:pPr>
        <w:numPr>
          <w:ilvl w:val="0"/>
          <w:numId w:val="6"/>
        </w:numPr>
        <w:ind w:firstLine="480"/>
      </w:pPr>
      <w:r>
        <w:rPr>
          <w:rFonts w:hint="eastAsia"/>
        </w:rPr>
        <w:t>水文地质</w:t>
      </w:r>
    </w:p>
    <w:p w14:paraId="1E882E7C" w14:textId="77777777" w:rsidR="005A1A44" w:rsidRDefault="0008059E">
      <w:pPr>
        <w:ind w:firstLine="480"/>
      </w:pPr>
      <w:r>
        <w:rPr>
          <w:rFonts w:hint="eastAsia"/>
        </w:rPr>
        <w:t>项目区位于玉河河谷冲积平原中上游，河谷内堆积有巨厚的卵砾石层，孔隙性较好，透水性强，基底为弱透水的第三系砂质泥岩、砂岩和砾岩，此间赋存有河谷冲积层孔隙潜水。工程主要为防洪、河道疏浚、河岸环境整治等工程，水文地质对其施工影响较小。</w:t>
      </w:r>
    </w:p>
    <w:p w14:paraId="696C14A0" w14:textId="77777777" w:rsidR="005A1A44" w:rsidRDefault="0008059E">
      <w:pPr>
        <w:numPr>
          <w:ilvl w:val="0"/>
          <w:numId w:val="6"/>
        </w:numPr>
        <w:ind w:firstLine="480"/>
      </w:pPr>
      <w:r>
        <w:rPr>
          <w:rFonts w:hint="eastAsia"/>
        </w:rPr>
        <w:t>气候气象</w:t>
      </w:r>
    </w:p>
    <w:p w14:paraId="72602633" w14:textId="77777777" w:rsidR="005A1A44" w:rsidRDefault="0008059E">
      <w:pPr>
        <w:ind w:firstLine="480"/>
      </w:pPr>
      <w:r>
        <w:rPr>
          <w:rFonts w:hint="eastAsia"/>
        </w:rPr>
        <w:t>和田市多年平均气温</w:t>
      </w:r>
      <w:r>
        <w:rPr>
          <w:rFonts w:hint="eastAsia"/>
        </w:rPr>
        <w:t xml:space="preserve"> 12.2</w:t>
      </w:r>
      <w:r>
        <w:rPr>
          <w:rFonts w:hint="eastAsia"/>
        </w:rPr>
        <w:t>℃，</w:t>
      </w:r>
      <w:r>
        <w:rPr>
          <w:rFonts w:hint="eastAsia"/>
        </w:rPr>
        <w:t xml:space="preserve">7 </w:t>
      </w:r>
      <w:r>
        <w:rPr>
          <w:rFonts w:hint="eastAsia"/>
        </w:rPr>
        <w:t>月份最高平均</w:t>
      </w:r>
      <w:r>
        <w:rPr>
          <w:rFonts w:hint="eastAsia"/>
        </w:rPr>
        <w:t xml:space="preserve"> 25.5</w:t>
      </w:r>
      <w:r>
        <w:rPr>
          <w:rFonts w:hint="eastAsia"/>
        </w:rPr>
        <w:t>℃，</w:t>
      </w:r>
      <w:r>
        <w:rPr>
          <w:rFonts w:hint="eastAsia"/>
        </w:rPr>
        <w:t xml:space="preserve">1 </w:t>
      </w:r>
      <w:r>
        <w:rPr>
          <w:rFonts w:hint="eastAsia"/>
        </w:rPr>
        <w:t>月份最低平均</w:t>
      </w:r>
      <w:r>
        <w:rPr>
          <w:rFonts w:hint="eastAsia"/>
        </w:rPr>
        <w:t>-5.6</w:t>
      </w:r>
      <w:r>
        <w:rPr>
          <w:rFonts w:hint="eastAsia"/>
        </w:rPr>
        <w:t>℃，极端最高气温</w:t>
      </w:r>
      <w:r>
        <w:rPr>
          <w:rFonts w:hint="eastAsia"/>
        </w:rPr>
        <w:t xml:space="preserve"> 40.6</w:t>
      </w:r>
      <w:r>
        <w:rPr>
          <w:rFonts w:hint="eastAsia"/>
        </w:rPr>
        <w:t>℃，最低气温</w:t>
      </w:r>
      <w:r>
        <w:rPr>
          <w:rFonts w:hint="eastAsia"/>
        </w:rPr>
        <w:t>-21.6</w:t>
      </w:r>
      <w:r>
        <w:rPr>
          <w:rFonts w:hint="eastAsia"/>
        </w:rPr>
        <w:t>℃；多年平均风速</w:t>
      </w:r>
      <w:r>
        <w:rPr>
          <w:rFonts w:hint="eastAsia"/>
        </w:rPr>
        <w:t xml:space="preserve"> 2.1m/s</w:t>
      </w:r>
      <w:r>
        <w:rPr>
          <w:rFonts w:hint="eastAsia"/>
        </w:rPr>
        <w:t>；多年最大风速</w:t>
      </w:r>
      <w:r>
        <w:rPr>
          <w:rFonts w:hint="eastAsia"/>
        </w:rPr>
        <w:t xml:space="preserve"> 17.3m/s</w:t>
      </w:r>
      <w:r>
        <w:rPr>
          <w:rFonts w:hint="eastAsia"/>
        </w:rPr>
        <w:t>，主要风向西北风，出现在</w:t>
      </w:r>
      <w:r>
        <w:rPr>
          <w:rFonts w:hint="eastAsia"/>
        </w:rPr>
        <w:t xml:space="preserve"> 5</w:t>
      </w:r>
      <w:r>
        <w:rPr>
          <w:rFonts w:hint="eastAsia"/>
        </w:rPr>
        <w:t>～</w:t>
      </w:r>
      <w:r>
        <w:rPr>
          <w:rFonts w:hint="eastAsia"/>
        </w:rPr>
        <w:t xml:space="preserve">8 </w:t>
      </w:r>
      <w:r>
        <w:rPr>
          <w:rFonts w:hint="eastAsia"/>
        </w:rPr>
        <w:t>月份；东风风速相对小些，出现在</w:t>
      </w:r>
      <w:r>
        <w:rPr>
          <w:rFonts w:hint="eastAsia"/>
        </w:rPr>
        <w:t xml:space="preserve"> 3</w:t>
      </w:r>
      <w:r>
        <w:rPr>
          <w:rFonts w:hint="eastAsia"/>
        </w:rPr>
        <w:t>～</w:t>
      </w:r>
      <w:r>
        <w:rPr>
          <w:rFonts w:hint="eastAsia"/>
        </w:rPr>
        <w:t xml:space="preserve">11 </w:t>
      </w:r>
      <w:r>
        <w:rPr>
          <w:rFonts w:hint="eastAsia"/>
        </w:rPr>
        <w:t>月，年最大风速</w:t>
      </w:r>
      <w:r>
        <w:rPr>
          <w:rFonts w:hint="eastAsia"/>
        </w:rPr>
        <w:t xml:space="preserve"> 11m/s</w:t>
      </w:r>
      <w:r>
        <w:rPr>
          <w:rFonts w:hint="eastAsia"/>
        </w:rPr>
        <w:t>。无霜期多平均</w:t>
      </w:r>
      <w:r>
        <w:rPr>
          <w:rFonts w:hint="eastAsia"/>
        </w:rPr>
        <w:t xml:space="preserve"> 244d</w:t>
      </w:r>
      <w:r>
        <w:rPr>
          <w:rFonts w:hint="eastAsia"/>
        </w:rPr>
        <w:t>，平原区最大冻土深度</w:t>
      </w:r>
      <w:r>
        <w:rPr>
          <w:rFonts w:hint="eastAsia"/>
        </w:rPr>
        <w:t>67cm</w:t>
      </w:r>
      <w:r>
        <w:rPr>
          <w:rFonts w:hint="eastAsia"/>
        </w:rPr>
        <w:t>，封冻期一般为十二月初，翌年二月解冻。</w:t>
      </w:r>
    </w:p>
    <w:p w14:paraId="6DA657D4" w14:textId="77777777" w:rsidR="005A1A44" w:rsidRDefault="0008059E">
      <w:pPr>
        <w:numPr>
          <w:ilvl w:val="0"/>
          <w:numId w:val="6"/>
        </w:numPr>
        <w:ind w:firstLine="480"/>
      </w:pPr>
      <w:r>
        <w:rPr>
          <w:rFonts w:hint="eastAsia"/>
        </w:rPr>
        <w:t>生物资源</w:t>
      </w:r>
    </w:p>
    <w:p w14:paraId="21845009" w14:textId="77777777" w:rsidR="005A1A44" w:rsidRDefault="0008059E">
      <w:pPr>
        <w:ind w:firstLine="480"/>
      </w:pPr>
      <w:r>
        <w:rPr>
          <w:rFonts w:hint="eastAsia"/>
        </w:rPr>
        <w:t>项目区所在地周围均为城镇居民生产、生活区，人为活动影响频繁，无珍稀野生保护动植物等，对工程建设影响小。</w:t>
      </w:r>
    </w:p>
    <w:p w14:paraId="6BFF3206" w14:textId="77777777" w:rsidR="005A1A44" w:rsidRDefault="0008059E">
      <w:pPr>
        <w:ind w:firstLine="480"/>
      </w:pPr>
      <w:r>
        <w:rPr>
          <w:rFonts w:hint="eastAsia"/>
        </w:rPr>
        <w:t>（</w:t>
      </w:r>
      <w:r>
        <w:rPr>
          <w:rFonts w:hint="eastAsia"/>
        </w:rPr>
        <w:t>5</w:t>
      </w:r>
      <w:r>
        <w:rPr>
          <w:rFonts w:hint="eastAsia"/>
        </w:rPr>
        <w:t>）土地利用</w:t>
      </w:r>
    </w:p>
    <w:p w14:paraId="382EF855" w14:textId="77777777" w:rsidR="005A1A44" w:rsidRDefault="0008059E">
      <w:pPr>
        <w:ind w:firstLine="480"/>
      </w:pPr>
      <w:r>
        <w:rPr>
          <w:rFonts w:hint="eastAsia"/>
        </w:rPr>
        <w:lastRenderedPageBreak/>
        <w:t>项目区所在地范围内主要为河道及水域，无农田、居民区等，无珍稀野生保护动植物等，对工程建设影响小。</w:t>
      </w:r>
    </w:p>
    <w:p w14:paraId="7CF99AEF" w14:textId="77777777" w:rsidR="005A1A44" w:rsidRDefault="0008059E">
      <w:pPr>
        <w:pStyle w:val="4"/>
        <w:numPr>
          <w:ilvl w:val="3"/>
          <w:numId w:val="2"/>
        </w:numPr>
      </w:pPr>
      <w:r>
        <w:rPr>
          <w:rFonts w:hint="eastAsia"/>
        </w:rPr>
        <w:t xml:space="preserve"> </w:t>
      </w:r>
      <w:r>
        <w:rPr>
          <w:rFonts w:hint="eastAsia"/>
        </w:rPr>
        <w:t>社会环境对工程的制约因素</w:t>
      </w:r>
    </w:p>
    <w:p w14:paraId="0EB9BCA9" w14:textId="77777777" w:rsidR="005A1A44" w:rsidRDefault="0008059E">
      <w:pPr>
        <w:ind w:firstLine="480"/>
      </w:pPr>
      <w:r>
        <w:rPr>
          <w:rFonts w:hint="eastAsia"/>
        </w:rPr>
        <w:t>（</w:t>
      </w:r>
      <w:r>
        <w:rPr>
          <w:rFonts w:hint="eastAsia"/>
        </w:rPr>
        <w:t>1</w:t>
      </w:r>
      <w:r>
        <w:rPr>
          <w:rFonts w:hint="eastAsia"/>
        </w:rPr>
        <w:t>）交通条件</w:t>
      </w:r>
    </w:p>
    <w:p w14:paraId="0687605C" w14:textId="77777777" w:rsidR="005A1A44" w:rsidRDefault="0008059E">
      <w:pPr>
        <w:ind w:firstLine="480"/>
      </w:pPr>
      <w:r>
        <w:rPr>
          <w:rFonts w:hint="eastAsia"/>
        </w:rPr>
        <w:t>本项目位于和田市城市规划区，目前周边大量道路已建成，交通便利，有利于建筑材料的运输。</w:t>
      </w:r>
    </w:p>
    <w:p w14:paraId="12886F68" w14:textId="77777777" w:rsidR="005A1A44" w:rsidRDefault="0008059E">
      <w:pPr>
        <w:ind w:firstLine="480"/>
      </w:pPr>
      <w:r>
        <w:rPr>
          <w:rFonts w:hint="eastAsia"/>
        </w:rPr>
        <w:t>（</w:t>
      </w:r>
      <w:r>
        <w:rPr>
          <w:rFonts w:hint="eastAsia"/>
        </w:rPr>
        <w:t>2</w:t>
      </w:r>
      <w:r>
        <w:rPr>
          <w:rFonts w:hint="eastAsia"/>
        </w:rPr>
        <w:t>）城镇饮用水水源地</w:t>
      </w:r>
    </w:p>
    <w:p w14:paraId="1726B549" w14:textId="77777777" w:rsidR="005A1A44" w:rsidRDefault="0008059E">
      <w:pPr>
        <w:ind w:firstLine="480"/>
      </w:pPr>
      <w:r>
        <w:rPr>
          <w:rFonts w:hint="eastAsia"/>
        </w:rPr>
        <w:t>在项目区分布有和田市玉河东部一乡一镇水厂水源地（地下水）、和田市吐沙拉乡厂水源地（地下水）、和田市伊里其水厂水源地、洛浦县西片区三乡联合水厂地下水源地共计</w:t>
      </w:r>
      <w:r>
        <w:rPr>
          <w:rFonts w:hint="eastAsia"/>
        </w:rPr>
        <w:t>4</w:t>
      </w:r>
      <w:r>
        <w:rPr>
          <w:rFonts w:hint="eastAsia"/>
        </w:rPr>
        <w:t>个水源地。根据《饮用水水源地保护管理办法》，在一级水源地保护区内禁止建设与水源保护无关的建设项目，二级保护区禁止建设排放污染物的建设项目，鉴于此，本项目与上述</w:t>
      </w:r>
      <w:r>
        <w:rPr>
          <w:rFonts w:hint="eastAsia"/>
        </w:rPr>
        <w:t>4</w:t>
      </w:r>
      <w:r>
        <w:rPr>
          <w:rFonts w:hint="eastAsia"/>
        </w:rPr>
        <w:t>个水源地均在二级保护区有所重合，环评要求在水源地的二级保护区内禁止施工和建设排放污染物的项目。</w:t>
      </w:r>
    </w:p>
    <w:p w14:paraId="43057674" w14:textId="77777777" w:rsidR="005A1A44" w:rsidRDefault="0008059E">
      <w:pPr>
        <w:numPr>
          <w:ilvl w:val="0"/>
          <w:numId w:val="4"/>
        </w:numPr>
        <w:ind w:firstLine="480"/>
      </w:pPr>
      <w:r>
        <w:rPr>
          <w:rFonts w:hint="eastAsia"/>
        </w:rPr>
        <w:t>城市基建设施</w:t>
      </w:r>
    </w:p>
    <w:p w14:paraId="439E1E2D" w14:textId="77777777" w:rsidR="005A1A44" w:rsidRDefault="0008059E">
      <w:pPr>
        <w:ind w:firstLine="480"/>
      </w:pPr>
      <w:r>
        <w:rPr>
          <w:rFonts w:hint="eastAsia"/>
        </w:rPr>
        <w:t>玉龙喀什河河道项目位于和田市城市规划区，周边市政电力设施、供水设施、供气设施、电信设施、排水设施等均已规划建设，对本项目建设有利。</w:t>
      </w:r>
    </w:p>
    <w:p w14:paraId="23F87C9D" w14:textId="77777777" w:rsidR="005A1A44" w:rsidRDefault="0008059E">
      <w:pPr>
        <w:ind w:firstLine="480"/>
      </w:pPr>
      <w:r>
        <w:rPr>
          <w:rFonts w:hint="eastAsia"/>
        </w:rPr>
        <w:t>（</w:t>
      </w:r>
      <w:r>
        <w:rPr>
          <w:rFonts w:hint="eastAsia"/>
        </w:rPr>
        <w:t>4</w:t>
      </w:r>
      <w:r>
        <w:rPr>
          <w:rFonts w:hint="eastAsia"/>
        </w:rPr>
        <w:t>）材料来源及供应</w:t>
      </w:r>
    </w:p>
    <w:p w14:paraId="0ED16BD4" w14:textId="77777777" w:rsidR="005A1A44" w:rsidRDefault="0008059E">
      <w:pPr>
        <w:ind w:firstLine="480"/>
      </w:pPr>
      <w:r>
        <w:rPr>
          <w:rFonts w:hint="eastAsia"/>
        </w:rPr>
        <w:t>材料选购可参照本地的情况就近购买。</w:t>
      </w:r>
    </w:p>
    <w:p w14:paraId="132260DC" w14:textId="77777777" w:rsidR="005A1A44" w:rsidRDefault="0008059E">
      <w:pPr>
        <w:ind w:firstLine="480"/>
      </w:pPr>
      <w:r>
        <w:rPr>
          <w:rFonts w:hint="eastAsia"/>
        </w:rPr>
        <w:t>（</w:t>
      </w:r>
      <w:r>
        <w:rPr>
          <w:rFonts w:hint="eastAsia"/>
        </w:rPr>
        <w:t>5</w:t>
      </w:r>
      <w:r>
        <w:rPr>
          <w:rFonts w:hint="eastAsia"/>
        </w:rPr>
        <w:t>）通讯条件</w:t>
      </w:r>
    </w:p>
    <w:p w14:paraId="28EA9E48" w14:textId="77777777" w:rsidR="005A1A44" w:rsidRDefault="0008059E">
      <w:pPr>
        <w:ind w:firstLine="480"/>
      </w:pPr>
      <w:r>
        <w:rPr>
          <w:rFonts w:hint="eastAsia"/>
        </w:rPr>
        <w:t>项目所在地通信系统功能完善，可提供移动通信、数字传输、程控电话等多种通信服务，并建立了宽带网络，与全国及世界各地联系快捷通畅。</w:t>
      </w:r>
    </w:p>
    <w:p w14:paraId="4BC6F923" w14:textId="77777777" w:rsidR="005A1A44" w:rsidRDefault="0008059E">
      <w:pPr>
        <w:pStyle w:val="3"/>
        <w:numPr>
          <w:ilvl w:val="2"/>
          <w:numId w:val="2"/>
        </w:numPr>
      </w:pPr>
      <w:r>
        <w:t xml:space="preserve"> </w:t>
      </w:r>
      <w:r>
        <w:t>工程建设对环境的影响因素分析</w:t>
      </w:r>
    </w:p>
    <w:p w14:paraId="2B508A69" w14:textId="77777777" w:rsidR="005A1A44" w:rsidRDefault="0008059E">
      <w:pPr>
        <w:ind w:firstLine="480"/>
      </w:pPr>
      <w:r>
        <w:rPr>
          <w:rFonts w:hint="eastAsia"/>
        </w:rPr>
        <w:t>根据现场调查，项目所在地四周社会生活环境敏感点较多，施工期噪声、粉尘对环境敏感点产生一定的影响，对项目建设不利，必须采取措施减缓对居民点的影响。</w:t>
      </w:r>
    </w:p>
    <w:p w14:paraId="4BDA97B0" w14:textId="77777777" w:rsidR="005A1A44" w:rsidRDefault="0008059E">
      <w:pPr>
        <w:ind w:firstLine="480"/>
      </w:pPr>
      <w:r>
        <w:rPr>
          <w:rFonts w:hint="eastAsia"/>
        </w:rPr>
        <w:lastRenderedPageBreak/>
        <w:t>根据前述的工程排污分析，拟建项目开发建设对环境的影响要素见表</w:t>
      </w:r>
      <w:r>
        <w:rPr>
          <w:rFonts w:hint="eastAsia"/>
        </w:rPr>
        <w:t>2.4-1</w:t>
      </w:r>
      <w:r>
        <w:rPr>
          <w:rFonts w:hint="eastAsia"/>
        </w:rPr>
        <w:t>。</w:t>
      </w:r>
    </w:p>
    <w:p w14:paraId="1BFA27F6"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t>表2.4-1  工程环境影响要素识别及筛选矩阵</w:t>
      </w:r>
    </w:p>
    <w:tbl>
      <w:tblPr>
        <w:tblStyle w:val="af"/>
        <w:tblW w:w="8850" w:type="dxa"/>
        <w:tblLayout w:type="fixed"/>
        <w:tblLook w:val="04A0" w:firstRow="1" w:lastRow="0" w:firstColumn="1" w:lastColumn="0" w:noHBand="0" w:noVBand="1"/>
      </w:tblPr>
      <w:tblGrid>
        <w:gridCol w:w="1770"/>
        <w:gridCol w:w="1770"/>
        <w:gridCol w:w="1770"/>
        <w:gridCol w:w="2362"/>
        <w:gridCol w:w="1178"/>
      </w:tblGrid>
      <w:tr w:rsidR="005A1A44" w14:paraId="77A83D48" w14:textId="77777777">
        <w:trPr>
          <w:trHeight w:val="341"/>
        </w:trPr>
        <w:tc>
          <w:tcPr>
            <w:tcW w:w="1770" w:type="dxa"/>
            <w:vMerge w:val="restart"/>
            <w:vAlign w:val="center"/>
          </w:tcPr>
          <w:p w14:paraId="66DBC6DB" w14:textId="77777777" w:rsidR="005A1A44" w:rsidRDefault="0008059E">
            <w:pPr>
              <w:keepNext/>
              <w:keepLines/>
              <w:spacing w:line="240" w:lineRule="auto"/>
              <w:ind w:firstLineChars="0" w:firstLine="0"/>
              <w:jc w:val="center"/>
              <w:rPr>
                <w:rFonts w:ascii="宋体" w:eastAsia="宋体" w:hAnsi="宋体" w:cs="宋体" w:hint="eastAsia"/>
                <w:b/>
                <w:sz w:val="21"/>
                <w:szCs w:val="21"/>
              </w:rPr>
            </w:pPr>
            <w:r>
              <w:rPr>
                <w:rFonts w:ascii="宋体" w:eastAsia="宋体" w:hAnsi="宋体" w:cs="宋体" w:hint="eastAsia"/>
                <w:b/>
                <w:sz w:val="21"/>
                <w:szCs w:val="21"/>
              </w:rPr>
              <w:t>环境要素</w:t>
            </w:r>
          </w:p>
        </w:tc>
        <w:tc>
          <w:tcPr>
            <w:tcW w:w="1770" w:type="dxa"/>
            <w:vMerge w:val="restart"/>
            <w:vAlign w:val="center"/>
          </w:tcPr>
          <w:p w14:paraId="1868AC22" w14:textId="77777777" w:rsidR="005A1A44" w:rsidRDefault="0008059E">
            <w:pPr>
              <w:keepNext/>
              <w:keepLines/>
              <w:spacing w:line="240" w:lineRule="auto"/>
              <w:ind w:firstLineChars="0" w:firstLine="0"/>
              <w:jc w:val="center"/>
              <w:rPr>
                <w:rFonts w:ascii="宋体" w:eastAsia="宋体" w:hAnsi="宋体" w:cs="宋体" w:hint="eastAsia"/>
                <w:b/>
                <w:sz w:val="21"/>
                <w:szCs w:val="21"/>
              </w:rPr>
            </w:pPr>
            <w:r>
              <w:rPr>
                <w:rFonts w:ascii="宋体" w:eastAsia="宋体" w:hAnsi="宋体" w:cs="宋体" w:hint="eastAsia"/>
                <w:b/>
                <w:sz w:val="21"/>
                <w:szCs w:val="21"/>
              </w:rPr>
              <w:t>环境因子</w:t>
            </w:r>
          </w:p>
        </w:tc>
        <w:tc>
          <w:tcPr>
            <w:tcW w:w="4132" w:type="dxa"/>
            <w:gridSpan w:val="2"/>
            <w:vAlign w:val="center"/>
          </w:tcPr>
          <w:p w14:paraId="02A04F66" w14:textId="77777777" w:rsidR="005A1A44" w:rsidRDefault="0008059E">
            <w:pPr>
              <w:keepNext/>
              <w:keepLines/>
              <w:spacing w:line="240" w:lineRule="auto"/>
              <w:ind w:firstLineChars="0" w:firstLine="0"/>
              <w:jc w:val="center"/>
              <w:rPr>
                <w:rFonts w:ascii="宋体" w:eastAsia="宋体" w:hAnsi="宋体" w:cs="宋体" w:hint="eastAsia"/>
                <w:b/>
                <w:sz w:val="21"/>
                <w:szCs w:val="21"/>
              </w:rPr>
            </w:pPr>
            <w:r>
              <w:rPr>
                <w:rFonts w:ascii="宋体" w:eastAsia="宋体" w:hAnsi="宋体" w:cs="宋体" w:hint="eastAsia"/>
                <w:b/>
                <w:sz w:val="21"/>
                <w:szCs w:val="21"/>
              </w:rPr>
              <w:t>工程因素</w:t>
            </w:r>
          </w:p>
        </w:tc>
        <w:tc>
          <w:tcPr>
            <w:tcW w:w="1178" w:type="dxa"/>
            <w:vMerge w:val="restart"/>
            <w:vAlign w:val="center"/>
          </w:tcPr>
          <w:p w14:paraId="5B12B4A0"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
                <w:sz w:val="21"/>
                <w:szCs w:val="21"/>
              </w:rPr>
              <w:t>备注</w:t>
            </w:r>
          </w:p>
        </w:tc>
      </w:tr>
      <w:tr w:rsidR="005A1A44" w14:paraId="6572968E" w14:textId="77777777">
        <w:trPr>
          <w:trHeight w:val="362"/>
        </w:trPr>
        <w:tc>
          <w:tcPr>
            <w:tcW w:w="1770" w:type="dxa"/>
            <w:vMerge/>
            <w:vAlign w:val="center"/>
          </w:tcPr>
          <w:p w14:paraId="0C43FE3A" w14:textId="77777777" w:rsidR="005A1A44" w:rsidRDefault="005A1A44">
            <w:pPr>
              <w:keepNext/>
              <w:keepLines/>
              <w:spacing w:line="240" w:lineRule="auto"/>
              <w:ind w:firstLineChars="0" w:firstLine="0"/>
              <w:jc w:val="center"/>
              <w:rPr>
                <w:rFonts w:ascii="宋体" w:eastAsia="宋体" w:hAnsi="宋体" w:cs="宋体" w:hint="eastAsia"/>
                <w:b/>
                <w:sz w:val="21"/>
                <w:szCs w:val="21"/>
              </w:rPr>
            </w:pPr>
          </w:p>
        </w:tc>
        <w:tc>
          <w:tcPr>
            <w:tcW w:w="1770" w:type="dxa"/>
            <w:vMerge/>
            <w:vAlign w:val="center"/>
          </w:tcPr>
          <w:p w14:paraId="277CAF58" w14:textId="77777777" w:rsidR="005A1A44" w:rsidRDefault="005A1A44">
            <w:pPr>
              <w:keepNext/>
              <w:keepLines/>
              <w:spacing w:line="240" w:lineRule="auto"/>
              <w:ind w:firstLineChars="0" w:firstLine="0"/>
              <w:jc w:val="center"/>
              <w:rPr>
                <w:rFonts w:ascii="宋体" w:eastAsia="宋体" w:hAnsi="宋体" w:cs="宋体" w:hint="eastAsia"/>
                <w:b/>
                <w:sz w:val="21"/>
                <w:szCs w:val="21"/>
              </w:rPr>
            </w:pPr>
          </w:p>
        </w:tc>
        <w:tc>
          <w:tcPr>
            <w:tcW w:w="1770" w:type="dxa"/>
            <w:vAlign w:val="center"/>
          </w:tcPr>
          <w:p w14:paraId="755F8640" w14:textId="77777777" w:rsidR="005A1A44" w:rsidRDefault="0008059E">
            <w:pPr>
              <w:keepNext/>
              <w:keepLines/>
              <w:spacing w:line="240" w:lineRule="auto"/>
              <w:ind w:firstLineChars="0" w:firstLine="0"/>
              <w:jc w:val="center"/>
              <w:rPr>
                <w:rFonts w:ascii="宋体" w:eastAsia="宋体" w:hAnsi="宋体" w:cs="宋体" w:hint="eastAsia"/>
                <w:b/>
                <w:sz w:val="21"/>
                <w:szCs w:val="21"/>
              </w:rPr>
            </w:pPr>
            <w:r>
              <w:rPr>
                <w:rFonts w:ascii="宋体" w:eastAsia="宋体" w:hAnsi="宋体" w:cs="宋体" w:hint="eastAsia"/>
                <w:b/>
                <w:sz w:val="21"/>
                <w:szCs w:val="21"/>
              </w:rPr>
              <w:t>施工期</w:t>
            </w:r>
          </w:p>
        </w:tc>
        <w:tc>
          <w:tcPr>
            <w:tcW w:w="2362" w:type="dxa"/>
            <w:vAlign w:val="center"/>
          </w:tcPr>
          <w:p w14:paraId="6CAE49CC" w14:textId="77777777" w:rsidR="005A1A44" w:rsidRDefault="0008059E">
            <w:pPr>
              <w:keepNext/>
              <w:keepLines/>
              <w:spacing w:line="240" w:lineRule="auto"/>
              <w:ind w:firstLineChars="0" w:firstLine="0"/>
              <w:jc w:val="center"/>
              <w:rPr>
                <w:rFonts w:ascii="宋体" w:eastAsia="宋体" w:hAnsi="宋体" w:cs="宋体" w:hint="eastAsia"/>
                <w:b/>
                <w:sz w:val="21"/>
                <w:szCs w:val="21"/>
              </w:rPr>
            </w:pPr>
            <w:r>
              <w:rPr>
                <w:rFonts w:ascii="宋体" w:eastAsia="宋体" w:hAnsi="宋体" w:cs="宋体" w:hint="eastAsia"/>
                <w:b/>
                <w:sz w:val="21"/>
                <w:szCs w:val="21"/>
              </w:rPr>
              <w:t>运行期</w:t>
            </w:r>
          </w:p>
        </w:tc>
        <w:tc>
          <w:tcPr>
            <w:tcW w:w="1178" w:type="dxa"/>
            <w:vMerge/>
            <w:vAlign w:val="center"/>
          </w:tcPr>
          <w:p w14:paraId="7551FD62"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172ED261" w14:textId="77777777">
        <w:trPr>
          <w:trHeight w:val="250"/>
        </w:trPr>
        <w:tc>
          <w:tcPr>
            <w:tcW w:w="1770" w:type="dxa"/>
            <w:vMerge w:val="restart"/>
            <w:vAlign w:val="center"/>
          </w:tcPr>
          <w:p w14:paraId="7806AC76"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地貌</w:t>
            </w:r>
          </w:p>
        </w:tc>
        <w:tc>
          <w:tcPr>
            <w:tcW w:w="1770" w:type="dxa"/>
            <w:vAlign w:val="center"/>
          </w:tcPr>
          <w:p w14:paraId="331313C5"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地貌</w:t>
            </w:r>
          </w:p>
        </w:tc>
        <w:tc>
          <w:tcPr>
            <w:tcW w:w="1770" w:type="dxa"/>
            <w:vAlign w:val="center"/>
          </w:tcPr>
          <w:p w14:paraId="7DEA2B6E"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-1L</w:t>
            </w:r>
          </w:p>
        </w:tc>
        <w:tc>
          <w:tcPr>
            <w:tcW w:w="2362" w:type="dxa"/>
            <w:vAlign w:val="center"/>
          </w:tcPr>
          <w:p w14:paraId="1B910403"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-1L</w:t>
            </w:r>
          </w:p>
        </w:tc>
        <w:tc>
          <w:tcPr>
            <w:tcW w:w="1178" w:type="dxa"/>
            <w:vAlign w:val="center"/>
          </w:tcPr>
          <w:p w14:paraId="2553B40B"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5716AE0C" w14:textId="77777777">
        <w:tc>
          <w:tcPr>
            <w:tcW w:w="1770" w:type="dxa"/>
            <w:vMerge/>
            <w:vAlign w:val="center"/>
          </w:tcPr>
          <w:p w14:paraId="7A49988B"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770" w:type="dxa"/>
            <w:vAlign w:val="center"/>
          </w:tcPr>
          <w:p w14:paraId="746E0D5F"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景观</w:t>
            </w:r>
          </w:p>
        </w:tc>
        <w:tc>
          <w:tcPr>
            <w:tcW w:w="1770" w:type="dxa"/>
            <w:vAlign w:val="center"/>
          </w:tcPr>
          <w:p w14:paraId="3D03DF89"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-2L</w:t>
            </w:r>
          </w:p>
        </w:tc>
        <w:tc>
          <w:tcPr>
            <w:tcW w:w="2362" w:type="dxa"/>
            <w:vAlign w:val="center"/>
          </w:tcPr>
          <w:p w14:paraId="58A36582"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+2L</w:t>
            </w:r>
          </w:p>
        </w:tc>
        <w:tc>
          <w:tcPr>
            <w:tcW w:w="1178" w:type="dxa"/>
            <w:vAlign w:val="center"/>
          </w:tcPr>
          <w:p w14:paraId="0F7A04CC"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0C47701C" w14:textId="77777777">
        <w:tc>
          <w:tcPr>
            <w:tcW w:w="1770" w:type="dxa"/>
            <w:vMerge w:val="restart"/>
            <w:vAlign w:val="center"/>
          </w:tcPr>
          <w:p w14:paraId="1C1FD515"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土地资源</w:t>
            </w:r>
          </w:p>
        </w:tc>
        <w:tc>
          <w:tcPr>
            <w:tcW w:w="1770" w:type="dxa"/>
            <w:vAlign w:val="center"/>
          </w:tcPr>
          <w:p w14:paraId="0C3E4E7D"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土壤侵蚀</w:t>
            </w:r>
          </w:p>
        </w:tc>
        <w:tc>
          <w:tcPr>
            <w:tcW w:w="1770" w:type="dxa"/>
            <w:vAlign w:val="center"/>
          </w:tcPr>
          <w:p w14:paraId="4D55CC4E"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-2R</w:t>
            </w:r>
          </w:p>
        </w:tc>
        <w:tc>
          <w:tcPr>
            <w:tcW w:w="2362" w:type="dxa"/>
            <w:vAlign w:val="center"/>
          </w:tcPr>
          <w:p w14:paraId="6F8B9D55"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+2L</w:t>
            </w:r>
          </w:p>
        </w:tc>
        <w:tc>
          <w:tcPr>
            <w:tcW w:w="1178" w:type="dxa"/>
            <w:vAlign w:val="center"/>
          </w:tcPr>
          <w:p w14:paraId="5A1FAD47"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66E752BB" w14:textId="77777777">
        <w:tc>
          <w:tcPr>
            <w:tcW w:w="1770" w:type="dxa"/>
            <w:vMerge/>
            <w:vAlign w:val="center"/>
          </w:tcPr>
          <w:p w14:paraId="2BA4AA8E"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770" w:type="dxa"/>
            <w:vAlign w:val="center"/>
          </w:tcPr>
          <w:p w14:paraId="672FCEE4"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土地利用</w:t>
            </w:r>
          </w:p>
        </w:tc>
        <w:tc>
          <w:tcPr>
            <w:tcW w:w="1770" w:type="dxa"/>
            <w:vAlign w:val="center"/>
          </w:tcPr>
          <w:p w14:paraId="302101B5"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-2R</w:t>
            </w:r>
          </w:p>
        </w:tc>
        <w:tc>
          <w:tcPr>
            <w:tcW w:w="2362" w:type="dxa"/>
            <w:vAlign w:val="center"/>
          </w:tcPr>
          <w:p w14:paraId="7D4B4069"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+3L</w:t>
            </w:r>
          </w:p>
        </w:tc>
        <w:tc>
          <w:tcPr>
            <w:tcW w:w="1178" w:type="dxa"/>
            <w:vAlign w:val="center"/>
          </w:tcPr>
          <w:p w14:paraId="4AF2FD2C"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1917261E" w14:textId="77777777">
        <w:tc>
          <w:tcPr>
            <w:tcW w:w="1770" w:type="dxa"/>
            <w:vMerge w:val="restart"/>
            <w:vAlign w:val="center"/>
          </w:tcPr>
          <w:p w14:paraId="535DB04A"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泥沙</w:t>
            </w:r>
          </w:p>
        </w:tc>
        <w:tc>
          <w:tcPr>
            <w:tcW w:w="1770" w:type="dxa"/>
            <w:vAlign w:val="center"/>
          </w:tcPr>
          <w:p w14:paraId="4C40F75A"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淤积</w:t>
            </w:r>
          </w:p>
        </w:tc>
        <w:tc>
          <w:tcPr>
            <w:tcW w:w="1770" w:type="dxa"/>
            <w:vAlign w:val="center"/>
          </w:tcPr>
          <w:p w14:paraId="735E03D2"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-1R</w:t>
            </w:r>
          </w:p>
        </w:tc>
        <w:tc>
          <w:tcPr>
            <w:tcW w:w="2362" w:type="dxa"/>
            <w:vAlign w:val="center"/>
          </w:tcPr>
          <w:p w14:paraId="78C57E1B"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+2L</w:t>
            </w:r>
          </w:p>
        </w:tc>
        <w:tc>
          <w:tcPr>
            <w:tcW w:w="1178" w:type="dxa"/>
            <w:vAlign w:val="center"/>
          </w:tcPr>
          <w:p w14:paraId="4B83C486"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6A1E7EA5" w14:textId="77777777">
        <w:tc>
          <w:tcPr>
            <w:tcW w:w="1770" w:type="dxa"/>
            <w:vMerge/>
            <w:vAlign w:val="center"/>
          </w:tcPr>
          <w:p w14:paraId="281E13C8"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770" w:type="dxa"/>
            <w:vAlign w:val="center"/>
          </w:tcPr>
          <w:p w14:paraId="24E9B30E"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冲刷</w:t>
            </w:r>
          </w:p>
        </w:tc>
        <w:tc>
          <w:tcPr>
            <w:tcW w:w="1770" w:type="dxa"/>
            <w:vAlign w:val="center"/>
          </w:tcPr>
          <w:p w14:paraId="3486D9EE"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2362" w:type="dxa"/>
            <w:vAlign w:val="center"/>
          </w:tcPr>
          <w:p w14:paraId="346361FE"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+1L</w:t>
            </w:r>
          </w:p>
        </w:tc>
        <w:tc>
          <w:tcPr>
            <w:tcW w:w="1178" w:type="dxa"/>
            <w:vAlign w:val="center"/>
          </w:tcPr>
          <w:p w14:paraId="63B321A4"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1CBC0667" w14:textId="77777777">
        <w:tc>
          <w:tcPr>
            <w:tcW w:w="1770" w:type="dxa"/>
            <w:vMerge w:val="restart"/>
            <w:vAlign w:val="center"/>
          </w:tcPr>
          <w:p w14:paraId="2EED79A0"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水质</w:t>
            </w:r>
          </w:p>
        </w:tc>
        <w:tc>
          <w:tcPr>
            <w:tcW w:w="1770" w:type="dxa"/>
            <w:vAlign w:val="center"/>
          </w:tcPr>
          <w:p w14:paraId="675FC85D"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COD/BOD5</w:t>
            </w:r>
          </w:p>
        </w:tc>
        <w:tc>
          <w:tcPr>
            <w:tcW w:w="1770" w:type="dxa"/>
            <w:vAlign w:val="center"/>
          </w:tcPr>
          <w:p w14:paraId="60967E6F"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-2R</w:t>
            </w:r>
          </w:p>
        </w:tc>
        <w:tc>
          <w:tcPr>
            <w:tcW w:w="2362" w:type="dxa"/>
            <w:vAlign w:val="center"/>
          </w:tcPr>
          <w:p w14:paraId="087D62B0"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+2L</w:t>
            </w:r>
          </w:p>
        </w:tc>
        <w:tc>
          <w:tcPr>
            <w:tcW w:w="1178" w:type="dxa"/>
            <w:vAlign w:val="center"/>
          </w:tcPr>
          <w:p w14:paraId="4D3F9ECD"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4A4F1F30" w14:textId="77777777">
        <w:tc>
          <w:tcPr>
            <w:tcW w:w="1770" w:type="dxa"/>
            <w:vMerge/>
            <w:vAlign w:val="center"/>
          </w:tcPr>
          <w:p w14:paraId="744E4E6B"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770" w:type="dxa"/>
            <w:vAlign w:val="center"/>
          </w:tcPr>
          <w:p w14:paraId="7B235721"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pH</w:t>
            </w:r>
          </w:p>
        </w:tc>
        <w:tc>
          <w:tcPr>
            <w:tcW w:w="1770" w:type="dxa"/>
            <w:vAlign w:val="center"/>
          </w:tcPr>
          <w:p w14:paraId="15D27B5C"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-1R</w:t>
            </w:r>
          </w:p>
        </w:tc>
        <w:tc>
          <w:tcPr>
            <w:tcW w:w="2362" w:type="dxa"/>
            <w:vAlign w:val="center"/>
          </w:tcPr>
          <w:p w14:paraId="46D34154"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+1L</w:t>
            </w:r>
          </w:p>
        </w:tc>
        <w:tc>
          <w:tcPr>
            <w:tcW w:w="1178" w:type="dxa"/>
            <w:vAlign w:val="center"/>
          </w:tcPr>
          <w:p w14:paraId="317E033E"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7AA22A40" w14:textId="77777777">
        <w:trPr>
          <w:trHeight w:val="302"/>
        </w:trPr>
        <w:tc>
          <w:tcPr>
            <w:tcW w:w="1770" w:type="dxa"/>
            <w:vMerge/>
            <w:vAlign w:val="center"/>
          </w:tcPr>
          <w:p w14:paraId="586C6115"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770" w:type="dxa"/>
            <w:vAlign w:val="center"/>
          </w:tcPr>
          <w:p w14:paraId="50D54B01"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SS</w:t>
            </w:r>
          </w:p>
        </w:tc>
        <w:tc>
          <w:tcPr>
            <w:tcW w:w="1770" w:type="dxa"/>
            <w:vAlign w:val="center"/>
          </w:tcPr>
          <w:p w14:paraId="21AB402E"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-3R</w:t>
            </w:r>
          </w:p>
        </w:tc>
        <w:tc>
          <w:tcPr>
            <w:tcW w:w="2362" w:type="dxa"/>
            <w:vAlign w:val="center"/>
          </w:tcPr>
          <w:p w14:paraId="41C9DDE2"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+2L</w:t>
            </w:r>
          </w:p>
        </w:tc>
        <w:tc>
          <w:tcPr>
            <w:tcW w:w="1178" w:type="dxa"/>
            <w:vAlign w:val="center"/>
          </w:tcPr>
          <w:p w14:paraId="7851F147"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1FAF8D86" w14:textId="77777777">
        <w:tc>
          <w:tcPr>
            <w:tcW w:w="1770" w:type="dxa"/>
            <w:vMerge/>
            <w:vAlign w:val="center"/>
          </w:tcPr>
          <w:p w14:paraId="3A3BC406"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770" w:type="dxa"/>
            <w:vAlign w:val="center"/>
          </w:tcPr>
          <w:p w14:paraId="21DBEDE0"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TN/TP</w:t>
            </w:r>
          </w:p>
        </w:tc>
        <w:tc>
          <w:tcPr>
            <w:tcW w:w="1770" w:type="dxa"/>
            <w:vAlign w:val="center"/>
          </w:tcPr>
          <w:p w14:paraId="0D418019"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-1R</w:t>
            </w:r>
          </w:p>
        </w:tc>
        <w:tc>
          <w:tcPr>
            <w:tcW w:w="2362" w:type="dxa"/>
            <w:vAlign w:val="center"/>
          </w:tcPr>
          <w:p w14:paraId="24DBEAC4"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+3L</w:t>
            </w:r>
          </w:p>
        </w:tc>
        <w:tc>
          <w:tcPr>
            <w:tcW w:w="1178" w:type="dxa"/>
            <w:vAlign w:val="center"/>
          </w:tcPr>
          <w:p w14:paraId="23CA3713"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70009D62" w14:textId="77777777">
        <w:tc>
          <w:tcPr>
            <w:tcW w:w="1770" w:type="dxa"/>
            <w:vMerge/>
            <w:vAlign w:val="center"/>
          </w:tcPr>
          <w:p w14:paraId="2CD51B4F"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770" w:type="dxa"/>
            <w:vAlign w:val="center"/>
          </w:tcPr>
          <w:p w14:paraId="06856012"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石油类</w:t>
            </w:r>
          </w:p>
        </w:tc>
        <w:tc>
          <w:tcPr>
            <w:tcW w:w="1770" w:type="dxa"/>
            <w:vAlign w:val="center"/>
          </w:tcPr>
          <w:p w14:paraId="45C3591F"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-1R</w:t>
            </w:r>
          </w:p>
        </w:tc>
        <w:tc>
          <w:tcPr>
            <w:tcW w:w="2362" w:type="dxa"/>
            <w:vAlign w:val="center"/>
          </w:tcPr>
          <w:p w14:paraId="723ED825"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+2L</w:t>
            </w:r>
          </w:p>
        </w:tc>
        <w:tc>
          <w:tcPr>
            <w:tcW w:w="1178" w:type="dxa"/>
            <w:vAlign w:val="center"/>
          </w:tcPr>
          <w:p w14:paraId="6FF6F422"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202DAC23" w14:textId="77777777">
        <w:tc>
          <w:tcPr>
            <w:tcW w:w="1770" w:type="dxa"/>
            <w:vMerge w:val="restart"/>
            <w:vAlign w:val="center"/>
          </w:tcPr>
          <w:p w14:paraId="62A29B21"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大气</w:t>
            </w:r>
          </w:p>
        </w:tc>
        <w:tc>
          <w:tcPr>
            <w:tcW w:w="1770" w:type="dxa"/>
            <w:vAlign w:val="center"/>
          </w:tcPr>
          <w:p w14:paraId="13263BCC"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粉尘</w:t>
            </w:r>
          </w:p>
        </w:tc>
        <w:tc>
          <w:tcPr>
            <w:tcW w:w="1770" w:type="dxa"/>
            <w:vAlign w:val="center"/>
          </w:tcPr>
          <w:p w14:paraId="3CD0CFC9"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-2R</w:t>
            </w:r>
          </w:p>
        </w:tc>
        <w:tc>
          <w:tcPr>
            <w:tcW w:w="2362" w:type="dxa"/>
            <w:vAlign w:val="center"/>
          </w:tcPr>
          <w:p w14:paraId="31C02138"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178" w:type="dxa"/>
            <w:vAlign w:val="center"/>
          </w:tcPr>
          <w:p w14:paraId="32C73AF6"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3CDC82A4" w14:textId="77777777">
        <w:tc>
          <w:tcPr>
            <w:tcW w:w="1770" w:type="dxa"/>
            <w:vMerge/>
            <w:vAlign w:val="center"/>
          </w:tcPr>
          <w:p w14:paraId="13317A1B"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770" w:type="dxa"/>
            <w:vAlign w:val="center"/>
          </w:tcPr>
          <w:p w14:paraId="6C262AE8"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其他有害气体</w:t>
            </w:r>
          </w:p>
        </w:tc>
        <w:tc>
          <w:tcPr>
            <w:tcW w:w="1770" w:type="dxa"/>
            <w:vAlign w:val="center"/>
          </w:tcPr>
          <w:p w14:paraId="0F4902F7"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-1R</w:t>
            </w:r>
          </w:p>
        </w:tc>
        <w:tc>
          <w:tcPr>
            <w:tcW w:w="2362" w:type="dxa"/>
            <w:vAlign w:val="center"/>
          </w:tcPr>
          <w:p w14:paraId="7F037ACB"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178" w:type="dxa"/>
            <w:vAlign w:val="center"/>
          </w:tcPr>
          <w:p w14:paraId="438ABF5F"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250F6565" w14:textId="77777777">
        <w:tc>
          <w:tcPr>
            <w:tcW w:w="1770" w:type="dxa"/>
            <w:vAlign w:val="center"/>
          </w:tcPr>
          <w:p w14:paraId="728CB354"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噪声</w:t>
            </w:r>
          </w:p>
        </w:tc>
        <w:tc>
          <w:tcPr>
            <w:tcW w:w="1770" w:type="dxa"/>
            <w:vAlign w:val="center"/>
          </w:tcPr>
          <w:p w14:paraId="1AC890FC"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噪声</w:t>
            </w:r>
          </w:p>
        </w:tc>
        <w:tc>
          <w:tcPr>
            <w:tcW w:w="1770" w:type="dxa"/>
            <w:vAlign w:val="center"/>
          </w:tcPr>
          <w:p w14:paraId="1B6EC394"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-2R</w:t>
            </w:r>
          </w:p>
        </w:tc>
        <w:tc>
          <w:tcPr>
            <w:tcW w:w="2362" w:type="dxa"/>
            <w:vAlign w:val="center"/>
          </w:tcPr>
          <w:p w14:paraId="0351C8CE"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178" w:type="dxa"/>
            <w:vAlign w:val="center"/>
          </w:tcPr>
          <w:p w14:paraId="7391379D"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2AACD3EC" w14:textId="77777777">
        <w:tc>
          <w:tcPr>
            <w:tcW w:w="1770" w:type="dxa"/>
            <w:vMerge w:val="restart"/>
            <w:vAlign w:val="center"/>
          </w:tcPr>
          <w:p w14:paraId="5AB198B3"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固体废物</w:t>
            </w:r>
          </w:p>
        </w:tc>
        <w:tc>
          <w:tcPr>
            <w:tcW w:w="1770" w:type="dxa"/>
            <w:vAlign w:val="center"/>
          </w:tcPr>
          <w:p w14:paraId="6A3BF007"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废土弃渣</w:t>
            </w:r>
          </w:p>
        </w:tc>
        <w:tc>
          <w:tcPr>
            <w:tcW w:w="1770" w:type="dxa"/>
            <w:vAlign w:val="center"/>
          </w:tcPr>
          <w:p w14:paraId="1874370E"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-2R</w:t>
            </w:r>
          </w:p>
        </w:tc>
        <w:tc>
          <w:tcPr>
            <w:tcW w:w="2362" w:type="dxa"/>
            <w:vAlign w:val="center"/>
          </w:tcPr>
          <w:p w14:paraId="3D70C6E3"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178" w:type="dxa"/>
            <w:vAlign w:val="center"/>
          </w:tcPr>
          <w:p w14:paraId="2A8AD226"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3025B1CF" w14:textId="77777777">
        <w:tc>
          <w:tcPr>
            <w:tcW w:w="1770" w:type="dxa"/>
            <w:vMerge/>
            <w:vAlign w:val="center"/>
          </w:tcPr>
          <w:p w14:paraId="434ACF96"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770" w:type="dxa"/>
            <w:vAlign w:val="center"/>
          </w:tcPr>
          <w:p w14:paraId="280A98F1"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生活垃圾</w:t>
            </w:r>
          </w:p>
        </w:tc>
        <w:tc>
          <w:tcPr>
            <w:tcW w:w="1770" w:type="dxa"/>
            <w:vAlign w:val="center"/>
          </w:tcPr>
          <w:p w14:paraId="399A1B29"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-3R</w:t>
            </w:r>
          </w:p>
        </w:tc>
        <w:tc>
          <w:tcPr>
            <w:tcW w:w="2362" w:type="dxa"/>
            <w:vAlign w:val="center"/>
          </w:tcPr>
          <w:p w14:paraId="6810C3EA"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178" w:type="dxa"/>
            <w:vAlign w:val="center"/>
          </w:tcPr>
          <w:p w14:paraId="6638E7E9"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61053024" w14:textId="77777777">
        <w:tc>
          <w:tcPr>
            <w:tcW w:w="1770" w:type="dxa"/>
            <w:vMerge w:val="restart"/>
            <w:vAlign w:val="center"/>
          </w:tcPr>
          <w:p w14:paraId="312315B6"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陆生植物</w:t>
            </w:r>
          </w:p>
        </w:tc>
        <w:tc>
          <w:tcPr>
            <w:tcW w:w="1770" w:type="dxa"/>
            <w:vAlign w:val="center"/>
          </w:tcPr>
          <w:p w14:paraId="2A04B3D8"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多样性</w:t>
            </w:r>
          </w:p>
        </w:tc>
        <w:tc>
          <w:tcPr>
            <w:tcW w:w="1770" w:type="dxa"/>
            <w:vAlign w:val="center"/>
          </w:tcPr>
          <w:p w14:paraId="11743F50"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-1R</w:t>
            </w:r>
          </w:p>
        </w:tc>
        <w:tc>
          <w:tcPr>
            <w:tcW w:w="2362" w:type="dxa"/>
            <w:vAlign w:val="center"/>
          </w:tcPr>
          <w:p w14:paraId="33AD8B5F"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+1R</w:t>
            </w:r>
          </w:p>
        </w:tc>
        <w:tc>
          <w:tcPr>
            <w:tcW w:w="1178" w:type="dxa"/>
            <w:vAlign w:val="center"/>
          </w:tcPr>
          <w:p w14:paraId="23C894E7"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72639023" w14:textId="77777777">
        <w:tc>
          <w:tcPr>
            <w:tcW w:w="1770" w:type="dxa"/>
            <w:vMerge/>
            <w:vAlign w:val="center"/>
          </w:tcPr>
          <w:p w14:paraId="1F14C732"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770" w:type="dxa"/>
            <w:vAlign w:val="center"/>
          </w:tcPr>
          <w:p w14:paraId="7B2A9523"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覆盖度</w:t>
            </w:r>
          </w:p>
        </w:tc>
        <w:tc>
          <w:tcPr>
            <w:tcW w:w="1770" w:type="dxa"/>
            <w:vAlign w:val="center"/>
          </w:tcPr>
          <w:p w14:paraId="2BA866F6"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-1R</w:t>
            </w:r>
          </w:p>
        </w:tc>
        <w:tc>
          <w:tcPr>
            <w:tcW w:w="2362" w:type="dxa"/>
            <w:vAlign w:val="center"/>
          </w:tcPr>
          <w:p w14:paraId="7682BFF5"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+2R</w:t>
            </w:r>
          </w:p>
        </w:tc>
        <w:tc>
          <w:tcPr>
            <w:tcW w:w="1178" w:type="dxa"/>
            <w:vAlign w:val="center"/>
          </w:tcPr>
          <w:p w14:paraId="110B1CFB"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2E41ABDA" w14:textId="77777777">
        <w:trPr>
          <w:trHeight w:val="250"/>
        </w:trPr>
        <w:tc>
          <w:tcPr>
            <w:tcW w:w="1770" w:type="dxa"/>
            <w:vAlign w:val="center"/>
          </w:tcPr>
          <w:p w14:paraId="709D8F70"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水生生物</w:t>
            </w:r>
          </w:p>
        </w:tc>
        <w:tc>
          <w:tcPr>
            <w:tcW w:w="1770" w:type="dxa"/>
            <w:vAlign w:val="center"/>
          </w:tcPr>
          <w:p w14:paraId="6794BE49"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水生生物栖息地</w:t>
            </w:r>
          </w:p>
        </w:tc>
        <w:tc>
          <w:tcPr>
            <w:tcW w:w="1770" w:type="dxa"/>
            <w:vAlign w:val="center"/>
          </w:tcPr>
          <w:p w14:paraId="5054E770"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-1R</w:t>
            </w:r>
          </w:p>
        </w:tc>
        <w:tc>
          <w:tcPr>
            <w:tcW w:w="2362" w:type="dxa"/>
            <w:vAlign w:val="center"/>
          </w:tcPr>
          <w:p w14:paraId="643F8342"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+1R</w:t>
            </w:r>
          </w:p>
        </w:tc>
        <w:tc>
          <w:tcPr>
            <w:tcW w:w="1178" w:type="dxa"/>
            <w:vAlign w:val="center"/>
          </w:tcPr>
          <w:p w14:paraId="739B776E"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1CA4B407" w14:textId="77777777">
        <w:tc>
          <w:tcPr>
            <w:tcW w:w="1770" w:type="dxa"/>
            <w:vMerge w:val="restart"/>
            <w:vAlign w:val="center"/>
          </w:tcPr>
          <w:p w14:paraId="286A8B76"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人群健康</w:t>
            </w:r>
          </w:p>
        </w:tc>
        <w:tc>
          <w:tcPr>
            <w:tcW w:w="1770" w:type="dxa"/>
            <w:vAlign w:val="center"/>
          </w:tcPr>
          <w:p w14:paraId="1A74E95D"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地方病</w:t>
            </w:r>
          </w:p>
        </w:tc>
        <w:tc>
          <w:tcPr>
            <w:tcW w:w="1770" w:type="dxa"/>
            <w:vAlign w:val="center"/>
          </w:tcPr>
          <w:p w14:paraId="122950CE"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-1R</w:t>
            </w:r>
          </w:p>
        </w:tc>
        <w:tc>
          <w:tcPr>
            <w:tcW w:w="2362" w:type="dxa"/>
            <w:vAlign w:val="center"/>
          </w:tcPr>
          <w:p w14:paraId="560DB544"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178" w:type="dxa"/>
            <w:vAlign w:val="center"/>
          </w:tcPr>
          <w:p w14:paraId="66EFE803"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r w:rsidR="005A1A44" w14:paraId="3F307396" w14:textId="77777777">
        <w:tc>
          <w:tcPr>
            <w:tcW w:w="1770" w:type="dxa"/>
            <w:vMerge/>
            <w:vAlign w:val="center"/>
          </w:tcPr>
          <w:p w14:paraId="759B2A76"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770" w:type="dxa"/>
            <w:vAlign w:val="center"/>
          </w:tcPr>
          <w:p w14:paraId="5CB8DA5D"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传染病</w:t>
            </w:r>
          </w:p>
        </w:tc>
        <w:tc>
          <w:tcPr>
            <w:tcW w:w="1770" w:type="dxa"/>
            <w:vAlign w:val="center"/>
          </w:tcPr>
          <w:p w14:paraId="3A9E1866" w14:textId="77777777" w:rsidR="005A1A44" w:rsidRDefault="0008059E">
            <w:pPr>
              <w:keepNext/>
              <w:keepLines/>
              <w:spacing w:line="240"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-1R</w:t>
            </w:r>
          </w:p>
        </w:tc>
        <w:tc>
          <w:tcPr>
            <w:tcW w:w="2362" w:type="dxa"/>
            <w:vAlign w:val="center"/>
          </w:tcPr>
          <w:p w14:paraId="5E1AC922"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c>
          <w:tcPr>
            <w:tcW w:w="1178" w:type="dxa"/>
            <w:vAlign w:val="center"/>
          </w:tcPr>
          <w:p w14:paraId="44A31383" w14:textId="77777777" w:rsidR="005A1A44" w:rsidRDefault="005A1A44">
            <w:pPr>
              <w:keepNext/>
              <w:keepLines/>
              <w:spacing w:line="240" w:lineRule="auto"/>
              <w:ind w:firstLineChars="0" w:firstLine="0"/>
              <w:jc w:val="center"/>
              <w:rPr>
                <w:rFonts w:ascii="宋体" w:eastAsia="宋体" w:hAnsi="宋体" w:cs="宋体" w:hint="eastAsia"/>
                <w:bCs/>
                <w:sz w:val="21"/>
                <w:szCs w:val="21"/>
              </w:rPr>
            </w:pPr>
          </w:p>
        </w:tc>
      </w:tr>
    </w:tbl>
    <w:p w14:paraId="40CF2A04" w14:textId="77777777" w:rsidR="005A1A44" w:rsidRDefault="0008059E">
      <w:pPr>
        <w:ind w:firstLineChars="0" w:firstLine="0"/>
        <w:rPr>
          <w:rFonts w:ascii="宋体" w:eastAsia="宋体" w:hAnsi="宋体" w:cs="宋体" w:hint="eastAsia"/>
          <w:bCs/>
          <w:sz w:val="21"/>
          <w:szCs w:val="21"/>
        </w:rPr>
      </w:pPr>
      <w:r>
        <w:rPr>
          <w:rFonts w:ascii="宋体" w:eastAsia="宋体" w:hAnsi="宋体" w:cs="宋体" w:hint="eastAsia"/>
          <w:bCs/>
          <w:sz w:val="21"/>
          <w:szCs w:val="21"/>
        </w:rPr>
        <w:t>注：表中“+、-”分别表示影响性质为有利影响和不利影响；没有符号表示有利与不利影响均存在；1、2、3 分别表示影响程度为小、中、大；R、L 分别表示影响类型为可逆和不可逆影响。</w:t>
      </w:r>
    </w:p>
    <w:p w14:paraId="668BC433" w14:textId="77777777" w:rsidR="005A1A44" w:rsidRDefault="0008059E">
      <w:pPr>
        <w:pStyle w:val="3"/>
        <w:numPr>
          <w:ilvl w:val="2"/>
          <w:numId w:val="2"/>
        </w:numPr>
      </w:pPr>
      <w:r>
        <w:rPr>
          <w:rFonts w:hint="eastAsia"/>
        </w:rPr>
        <w:t xml:space="preserve"> </w:t>
      </w:r>
      <w:r>
        <w:rPr>
          <w:rFonts w:hint="eastAsia"/>
        </w:rPr>
        <w:t>评价因子筛选</w:t>
      </w:r>
    </w:p>
    <w:p w14:paraId="1AF2D62F" w14:textId="77777777" w:rsidR="005A1A44" w:rsidRDefault="0008059E">
      <w:pPr>
        <w:ind w:firstLine="480"/>
      </w:pPr>
      <w:r>
        <w:rPr>
          <w:rFonts w:hint="eastAsia"/>
        </w:rPr>
        <w:t>根据工程分析，确定的评价因子见表</w:t>
      </w:r>
      <w:r>
        <w:rPr>
          <w:rFonts w:hint="eastAsia"/>
        </w:rPr>
        <w:t>2.4-2</w:t>
      </w:r>
      <w:r>
        <w:rPr>
          <w:rFonts w:hint="eastAsia"/>
        </w:rPr>
        <w:t>。</w:t>
      </w:r>
    </w:p>
    <w:p w14:paraId="710F9400" w14:textId="77777777" w:rsidR="005A1A44" w:rsidRDefault="005A1A44">
      <w:pPr>
        <w:ind w:firstLineChars="0" w:firstLine="0"/>
        <w:jc w:val="center"/>
        <w:rPr>
          <w:rFonts w:ascii="黑体" w:eastAsia="黑体" w:hAnsi="黑体" w:cs="黑体" w:hint="eastAsia"/>
        </w:rPr>
      </w:pPr>
    </w:p>
    <w:p w14:paraId="7DADB669" w14:textId="77777777" w:rsidR="005A1A44" w:rsidRDefault="005A1A44">
      <w:pPr>
        <w:ind w:firstLineChars="0" w:firstLine="0"/>
        <w:jc w:val="center"/>
        <w:rPr>
          <w:rFonts w:ascii="黑体" w:eastAsia="黑体" w:hAnsi="黑体" w:cs="黑体" w:hint="eastAsia"/>
        </w:rPr>
      </w:pPr>
    </w:p>
    <w:p w14:paraId="0C3BE870" w14:textId="77777777" w:rsidR="005A1A44" w:rsidRDefault="005A1A44">
      <w:pPr>
        <w:ind w:firstLineChars="0" w:firstLine="0"/>
        <w:jc w:val="center"/>
        <w:rPr>
          <w:rFonts w:ascii="黑体" w:eastAsia="黑体" w:hAnsi="黑体" w:cs="黑体" w:hint="eastAsia"/>
        </w:rPr>
      </w:pPr>
    </w:p>
    <w:p w14:paraId="7150C1C3" w14:textId="77777777" w:rsidR="005A1A44" w:rsidRDefault="005A1A44">
      <w:pPr>
        <w:ind w:firstLineChars="0" w:firstLine="0"/>
        <w:jc w:val="center"/>
        <w:rPr>
          <w:rFonts w:ascii="黑体" w:eastAsia="黑体" w:hAnsi="黑体" w:cs="黑体" w:hint="eastAsia"/>
        </w:rPr>
      </w:pPr>
    </w:p>
    <w:p w14:paraId="42265511" w14:textId="77777777" w:rsidR="005A1A44" w:rsidRDefault="005A1A44">
      <w:pPr>
        <w:ind w:firstLineChars="0" w:firstLine="0"/>
        <w:jc w:val="center"/>
        <w:rPr>
          <w:rFonts w:ascii="黑体" w:eastAsia="黑体" w:hAnsi="黑体" w:cs="黑体" w:hint="eastAsia"/>
        </w:rPr>
      </w:pPr>
    </w:p>
    <w:p w14:paraId="539A5780" w14:textId="77777777" w:rsidR="005A1A44" w:rsidRDefault="005A1A44">
      <w:pPr>
        <w:ind w:firstLineChars="0" w:firstLine="0"/>
        <w:jc w:val="center"/>
        <w:rPr>
          <w:rFonts w:ascii="黑体" w:eastAsia="黑体" w:hAnsi="黑体" w:cs="黑体" w:hint="eastAsia"/>
        </w:rPr>
      </w:pPr>
    </w:p>
    <w:p w14:paraId="631B99AC" w14:textId="77777777" w:rsidR="005A1A44" w:rsidRDefault="005A1A44">
      <w:pPr>
        <w:ind w:firstLineChars="0" w:firstLine="0"/>
        <w:jc w:val="center"/>
        <w:rPr>
          <w:rFonts w:ascii="黑体" w:eastAsia="黑体" w:hAnsi="黑体" w:cs="黑体" w:hint="eastAsia"/>
        </w:rPr>
      </w:pPr>
    </w:p>
    <w:p w14:paraId="34E342F6" w14:textId="77777777" w:rsidR="005A1A44" w:rsidRDefault="0008059E">
      <w:pPr>
        <w:ind w:firstLineChars="0" w:firstLine="0"/>
        <w:jc w:val="center"/>
      </w:pPr>
      <w:r>
        <w:rPr>
          <w:rFonts w:ascii="黑体" w:eastAsia="黑体" w:hAnsi="黑体" w:cs="黑体" w:hint="eastAsia"/>
        </w:rPr>
        <w:t>表2.4-2 评价因子确定</w:t>
      </w:r>
      <w:r>
        <w:rPr>
          <w:rFonts w:ascii="黑体" w:eastAsia="黑体" w:hAnsi="黑体" w:cs="黑体" w:hint="eastAsia"/>
          <w:color w:val="000000"/>
        </w:rPr>
        <w:t>表</w:t>
      </w:r>
    </w:p>
    <w:tbl>
      <w:tblPr>
        <w:tblStyle w:val="af"/>
        <w:tblW w:w="8850" w:type="dxa"/>
        <w:tblLayout w:type="fixed"/>
        <w:tblLook w:val="04A0" w:firstRow="1" w:lastRow="0" w:firstColumn="1" w:lastColumn="0" w:noHBand="0" w:noVBand="1"/>
      </w:tblPr>
      <w:tblGrid>
        <w:gridCol w:w="1734"/>
        <w:gridCol w:w="3825"/>
        <w:gridCol w:w="3291"/>
      </w:tblGrid>
      <w:tr w:rsidR="005A1A44" w14:paraId="0A80599F" w14:textId="77777777">
        <w:trPr>
          <w:trHeight w:val="427"/>
        </w:trPr>
        <w:tc>
          <w:tcPr>
            <w:tcW w:w="1734" w:type="dxa"/>
            <w:vAlign w:val="center"/>
          </w:tcPr>
          <w:p w14:paraId="0D8CAB4A" w14:textId="77777777" w:rsidR="005A1A44" w:rsidRDefault="0008059E">
            <w:pPr>
              <w:keepNext/>
              <w:keepLines/>
              <w:spacing w:line="288" w:lineRule="auto"/>
              <w:ind w:firstLineChars="0" w:firstLine="0"/>
              <w:jc w:val="center"/>
              <w:rPr>
                <w:rFonts w:ascii="宋体" w:eastAsia="宋体" w:hAnsi="宋体" w:cs="宋体" w:hint="eastAsia"/>
                <w:b/>
                <w:sz w:val="21"/>
                <w:szCs w:val="21"/>
              </w:rPr>
            </w:pPr>
            <w:r>
              <w:rPr>
                <w:rFonts w:ascii="宋体" w:eastAsia="宋体" w:hAnsi="宋体" w:cs="宋体" w:hint="eastAsia"/>
                <w:b/>
                <w:sz w:val="21"/>
                <w:szCs w:val="21"/>
              </w:rPr>
              <w:t>环境因子</w:t>
            </w:r>
          </w:p>
        </w:tc>
        <w:tc>
          <w:tcPr>
            <w:tcW w:w="3825" w:type="dxa"/>
            <w:vAlign w:val="center"/>
          </w:tcPr>
          <w:p w14:paraId="6893FA24" w14:textId="77777777" w:rsidR="005A1A44" w:rsidRDefault="0008059E">
            <w:pPr>
              <w:keepNext/>
              <w:keepLines/>
              <w:spacing w:line="288" w:lineRule="auto"/>
              <w:ind w:firstLineChars="0" w:firstLine="0"/>
              <w:jc w:val="center"/>
              <w:rPr>
                <w:rFonts w:ascii="宋体" w:eastAsia="宋体" w:hAnsi="宋体" w:cs="宋体" w:hint="eastAsia"/>
                <w:b/>
                <w:sz w:val="21"/>
                <w:szCs w:val="21"/>
              </w:rPr>
            </w:pPr>
            <w:r>
              <w:rPr>
                <w:rFonts w:ascii="宋体" w:eastAsia="宋体" w:hAnsi="宋体" w:cs="宋体" w:hint="eastAsia"/>
                <w:b/>
                <w:sz w:val="21"/>
                <w:szCs w:val="21"/>
              </w:rPr>
              <w:t>现状评价因子</w:t>
            </w:r>
          </w:p>
        </w:tc>
        <w:tc>
          <w:tcPr>
            <w:tcW w:w="3291" w:type="dxa"/>
            <w:vAlign w:val="center"/>
          </w:tcPr>
          <w:p w14:paraId="0FF02321" w14:textId="77777777" w:rsidR="005A1A44" w:rsidRDefault="0008059E">
            <w:pPr>
              <w:keepNext/>
              <w:keepLines/>
              <w:spacing w:line="288" w:lineRule="auto"/>
              <w:ind w:firstLineChars="0" w:firstLine="0"/>
              <w:jc w:val="center"/>
              <w:rPr>
                <w:rFonts w:ascii="宋体" w:eastAsia="宋体" w:hAnsi="宋体" w:cs="宋体" w:hint="eastAsia"/>
                <w:b/>
                <w:sz w:val="21"/>
                <w:szCs w:val="21"/>
              </w:rPr>
            </w:pPr>
            <w:r>
              <w:rPr>
                <w:rFonts w:ascii="宋体" w:eastAsia="宋体" w:hAnsi="宋体" w:cs="宋体" w:hint="eastAsia"/>
                <w:b/>
                <w:sz w:val="21"/>
                <w:szCs w:val="21"/>
              </w:rPr>
              <w:t>影响评价因子</w:t>
            </w:r>
          </w:p>
        </w:tc>
      </w:tr>
      <w:tr w:rsidR="005A1A44" w14:paraId="4ED694B3" w14:textId="77777777">
        <w:tc>
          <w:tcPr>
            <w:tcW w:w="1734" w:type="dxa"/>
            <w:vAlign w:val="center"/>
          </w:tcPr>
          <w:p w14:paraId="78FAD7D0"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生态环境</w:t>
            </w:r>
          </w:p>
        </w:tc>
        <w:tc>
          <w:tcPr>
            <w:tcW w:w="3825" w:type="dxa"/>
            <w:vAlign w:val="center"/>
          </w:tcPr>
          <w:p w14:paraId="4A364976"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土地利用、土壤、植被、动物（陆生、水生）、水土流失量、景观格局及多样性、生态系统</w:t>
            </w:r>
          </w:p>
        </w:tc>
        <w:tc>
          <w:tcPr>
            <w:tcW w:w="3291" w:type="dxa"/>
            <w:vAlign w:val="center"/>
          </w:tcPr>
          <w:p w14:paraId="1FAD1A4C"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景观、绿化、土地利用、野生动物、水生生物、地表植被、水土流失</w:t>
            </w:r>
          </w:p>
        </w:tc>
      </w:tr>
      <w:tr w:rsidR="005A1A44" w14:paraId="0FC479DB" w14:textId="77777777">
        <w:trPr>
          <w:trHeight w:val="248"/>
        </w:trPr>
        <w:tc>
          <w:tcPr>
            <w:tcW w:w="1734" w:type="dxa"/>
            <w:vAlign w:val="center"/>
          </w:tcPr>
          <w:p w14:paraId="19136E9F"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大气环境</w:t>
            </w:r>
          </w:p>
        </w:tc>
        <w:tc>
          <w:tcPr>
            <w:tcW w:w="3825" w:type="dxa"/>
            <w:vAlign w:val="center"/>
          </w:tcPr>
          <w:p w14:paraId="19878A34"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SO</w:t>
            </w:r>
            <w:r>
              <w:rPr>
                <w:rFonts w:ascii="宋体" w:eastAsia="宋体" w:hAnsi="宋体" w:cs="宋体" w:hint="eastAsia"/>
                <w:bCs/>
                <w:sz w:val="21"/>
                <w:szCs w:val="21"/>
                <w:vertAlign w:val="subscript"/>
              </w:rPr>
              <w:t>2</w:t>
            </w:r>
            <w:r>
              <w:rPr>
                <w:rFonts w:ascii="宋体" w:eastAsia="宋体" w:hAnsi="宋体" w:cs="宋体" w:hint="eastAsia"/>
                <w:bCs/>
                <w:sz w:val="21"/>
                <w:szCs w:val="21"/>
              </w:rPr>
              <w:t>、NO</w:t>
            </w:r>
            <w:r>
              <w:rPr>
                <w:rFonts w:ascii="宋体" w:eastAsia="宋体" w:hAnsi="宋体" w:cs="宋体" w:hint="eastAsia"/>
                <w:bCs/>
                <w:sz w:val="21"/>
                <w:szCs w:val="21"/>
                <w:vertAlign w:val="subscript"/>
              </w:rPr>
              <w:t>2</w:t>
            </w:r>
            <w:r>
              <w:rPr>
                <w:rFonts w:ascii="宋体" w:eastAsia="宋体" w:hAnsi="宋体" w:cs="宋体" w:hint="eastAsia"/>
                <w:bCs/>
                <w:sz w:val="21"/>
                <w:szCs w:val="21"/>
              </w:rPr>
              <w:t>、PM</w:t>
            </w:r>
            <w:r>
              <w:rPr>
                <w:rFonts w:ascii="宋体" w:eastAsia="宋体" w:hAnsi="宋体" w:cs="宋体" w:hint="eastAsia"/>
                <w:bCs/>
                <w:sz w:val="21"/>
                <w:szCs w:val="21"/>
                <w:vertAlign w:val="subscript"/>
              </w:rPr>
              <w:t>10</w:t>
            </w:r>
            <w:r>
              <w:rPr>
                <w:rFonts w:ascii="宋体" w:eastAsia="宋体" w:hAnsi="宋体" w:cs="宋体" w:hint="eastAsia"/>
                <w:bCs/>
                <w:sz w:val="21"/>
                <w:szCs w:val="21"/>
              </w:rPr>
              <w:t>、PM</w:t>
            </w:r>
            <w:r>
              <w:rPr>
                <w:rFonts w:ascii="宋体" w:eastAsia="宋体" w:hAnsi="宋体" w:cs="宋体" w:hint="eastAsia"/>
                <w:bCs/>
                <w:sz w:val="21"/>
                <w:szCs w:val="21"/>
                <w:vertAlign w:val="subscript"/>
              </w:rPr>
              <w:t>2.5</w:t>
            </w:r>
            <w:r>
              <w:rPr>
                <w:rFonts w:ascii="宋体" w:eastAsia="宋体" w:hAnsi="宋体" w:cs="宋体" w:hint="eastAsia"/>
                <w:bCs/>
                <w:sz w:val="21"/>
                <w:szCs w:val="21"/>
              </w:rPr>
              <w:t>、TSP、CO、O</w:t>
            </w:r>
            <w:r>
              <w:rPr>
                <w:rFonts w:ascii="宋体" w:eastAsia="宋体" w:hAnsi="宋体" w:cs="宋体" w:hint="eastAsia"/>
                <w:bCs/>
                <w:sz w:val="21"/>
                <w:szCs w:val="21"/>
                <w:vertAlign w:val="subscript"/>
              </w:rPr>
              <w:t>3</w:t>
            </w:r>
          </w:p>
        </w:tc>
        <w:tc>
          <w:tcPr>
            <w:tcW w:w="3291" w:type="dxa"/>
            <w:vAlign w:val="center"/>
          </w:tcPr>
          <w:p w14:paraId="7FCDA874"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SO</w:t>
            </w:r>
            <w:r>
              <w:rPr>
                <w:rFonts w:ascii="宋体" w:eastAsia="宋体" w:hAnsi="宋体" w:cs="宋体" w:hint="eastAsia"/>
                <w:bCs/>
                <w:sz w:val="21"/>
                <w:szCs w:val="21"/>
                <w:vertAlign w:val="subscript"/>
              </w:rPr>
              <w:t>2</w:t>
            </w:r>
            <w:r>
              <w:rPr>
                <w:rFonts w:ascii="宋体" w:eastAsia="宋体" w:hAnsi="宋体" w:cs="宋体" w:hint="eastAsia"/>
                <w:bCs/>
                <w:sz w:val="21"/>
                <w:szCs w:val="21"/>
              </w:rPr>
              <w:t>、NOx、PM</w:t>
            </w:r>
            <w:r>
              <w:rPr>
                <w:rFonts w:ascii="宋体" w:eastAsia="宋体" w:hAnsi="宋体" w:cs="宋体" w:hint="eastAsia"/>
                <w:bCs/>
                <w:sz w:val="21"/>
                <w:szCs w:val="21"/>
                <w:vertAlign w:val="subscript"/>
              </w:rPr>
              <w:t>10</w:t>
            </w:r>
            <w:r>
              <w:rPr>
                <w:rFonts w:ascii="宋体" w:eastAsia="宋体" w:hAnsi="宋体" w:cs="宋体" w:hint="eastAsia"/>
                <w:bCs/>
                <w:sz w:val="21"/>
                <w:szCs w:val="21"/>
              </w:rPr>
              <w:t>、TSP、CH、CO</w:t>
            </w:r>
          </w:p>
        </w:tc>
      </w:tr>
      <w:tr w:rsidR="005A1A44" w14:paraId="20250E26" w14:textId="77777777">
        <w:tc>
          <w:tcPr>
            <w:tcW w:w="1734" w:type="dxa"/>
            <w:vAlign w:val="center"/>
          </w:tcPr>
          <w:p w14:paraId="7F838904"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地表水环境</w:t>
            </w:r>
          </w:p>
        </w:tc>
        <w:tc>
          <w:tcPr>
            <w:tcW w:w="3825" w:type="dxa"/>
            <w:vAlign w:val="center"/>
          </w:tcPr>
          <w:p w14:paraId="742C6313"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pH、溶解氧、CODmn、BOD</w:t>
            </w:r>
            <w:r>
              <w:rPr>
                <w:rFonts w:ascii="宋体" w:eastAsia="宋体" w:hAnsi="宋体" w:cs="宋体" w:hint="eastAsia"/>
                <w:bCs/>
                <w:sz w:val="21"/>
                <w:szCs w:val="21"/>
                <w:vertAlign w:val="subscript"/>
              </w:rPr>
              <w:t>5</w:t>
            </w:r>
            <w:r>
              <w:rPr>
                <w:rFonts w:ascii="宋体" w:eastAsia="宋体" w:hAnsi="宋体" w:cs="宋体" w:hint="eastAsia"/>
                <w:bCs/>
                <w:sz w:val="21"/>
                <w:szCs w:val="21"/>
              </w:rPr>
              <w:t>、氨氮、石油类等共计23项</w:t>
            </w:r>
          </w:p>
        </w:tc>
        <w:tc>
          <w:tcPr>
            <w:tcW w:w="3291" w:type="dxa"/>
            <w:vAlign w:val="center"/>
          </w:tcPr>
          <w:p w14:paraId="65E1BD39"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CODcr、氨氮、SS、BOD</w:t>
            </w:r>
            <w:r>
              <w:rPr>
                <w:rFonts w:ascii="宋体" w:eastAsia="宋体" w:hAnsi="宋体" w:cs="宋体" w:hint="eastAsia"/>
                <w:bCs/>
                <w:sz w:val="21"/>
                <w:szCs w:val="21"/>
                <w:vertAlign w:val="subscript"/>
              </w:rPr>
              <w:t>5</w:t>
            </w:r>
          </w:p>
        </w:tc>
      </w:tr>
      <w:tr w:rsidR="005A1A44" w14:paraId="138E6CF3" w14:textId="77777777">
        <w:tc>
          <w:tcPr>
            <w:tcW w:w="1734" w:type="dxa"/>
            <w:vAlign w:val="center"/>
          </w:tcPr>
          <w:p w14:paraId="489C847F"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地下水环境</w:t>
            </w:r>
          </w:p>
        </w:tc>
        <w:tc>
          <w:tcPr>
            <w:tcW w:w="3825" w:type="dxa"/>
            <w:vAlign w:val="center"/>
          </w:tcPr>
          <w:p w14:paraId="3793DAEC"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pH、氨氮、硝酸盐、总硬度、CODmn等19项</w:t>
            </w:r>
          </w:p>
        </w:tc>
        <w:tc>
          <w:tcPr>
            <w:tcW w:w="3291" w:type="dxa"/>
            <w:vAlign w:val="center"/>
          </w:tcPr>
          <w:p w14:paraId="3E4260F5"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CODcr、氨氮、SS、BOD</w:t>
            </w:r>
            <w:r>
              <w:rPr>
                <w:rFonts w:ascii="宋体" w:eastAsia="宋体" w:hAnsi="宋体" w:cs="宋体" w:hint="eastAsia"/>
                <w:bCs/>
                <w:sz w:val="21"/>
                <w:szCs w:val="21"/>
                <w:vertAlign w:val="subscript"/>
              </w:rPr>
              <w:t>5</w:t>
            </w:r>
          </w:p>
        </w:tc>
      </w:tr>
      <w:tr w:rsidR="005A1A44" w14:paraId="555997DA" w14:textId="77777777">
        <w:trPr>
          <w:trHeight w:val="225"/>
        </w:trPr>
        <w:tc>
          <w:tcPr>
            <w:tcW w:w="1734" w:type="dxa"/>
            <w:vAlign w:val="center"/>
          </w:tcPr>
          <w:p w14:paraId="59F666DD"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声环境</w:t>
            </w:r>
          </w:p>
        </w:tc>
        <w:tc>
          <w:tcPr>
            <w:tcW w:w="3825" w:type="dxa"/>
            <w:vAlign w:val="center"/>
          </w:tcPr>
          <w:p w14:paraId="5CD51C27"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连续等效A声级（Leq(A)）</w:t>
            </w:r>
          </w:p>
        </w:tc>
        <w:tc>
          <w:tcPr>
            <w:tcW w:w="3291" w:type="dxa"/>
            <w:vAlign w:val="center"/>
          </w:tcPr>
          <w:p w14:paraId="76A5E546"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连续等效A声级（Leq(A)）</w:t>
            </w:r>
          </w:p>
        </w:tc>
      </w:tr>
      <w:tr w:rsidR="005A1A44" w14:paraId="5D5B9EFB" w14:textId="77777777">
        <w:tc>
          <w:tcPr>
            <w:tcW w:w="1734" w:type="dxa"/>
            <w:vAlign w:val="center"/>
          </w:tcPr>
          <w:p w14:paraId="692375E9"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固体废物</w:t>
            </w:r>
          </w:p>
        </w:tc>
        <w:tc>
          <w:tcPr>
            <w:tcW w:w="3825" w:type="dxa"/>
            <w:vAlign w:val="center"/>
          </w:tcPr>
          <w:p w14:paraId="106F652E" w14:textId="77777777" w:rsidR="005A1A44" w:rsidRDefault="005A1A44">
            <w:pPr>
              <w:keepNext/>
              <w:keepLines/>
              <w:spacing w:line="288" w:lineRule="auto"/>
              <w:ind w:firstLineChars="0" w:firstLine="0"/>
              <w:jc w:val="center"/>
              <w:rPr>
                <w:rFonts w:ascii="宋体" w:eastAsia="宋体" w:hAnsi="宋体" w:cs="宋体" w:hint="eastAsia"/>
                <w:bCs/>
                <w:sz w:val="21"/>
                <w:szCs w:val="21"/>
              </w:rPr>
            </w:pPr>
          </w:p>
        </w:tc>
        <w:tc>
          <w:tcPr>
            <w:tcW w:w="3291" w:type="dxa"/>
            <w:vAlign w:val="center"/>
          </w:tcPr>
          <w:p w14:paraId="1C896104"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废土弃渣、建筑垃圾、生活垃圾</w:t>
            </w:r>
          </w:p>
        </w:tc>
      </w:tr>
      <w:tr w:rsidR="005A1A44" w14:paraId="77DB12B0" w14:textId="77777777">
        <w:trPr>
          <w:trHeight w:val="97"/>
        </w:trPr>
        <w:tc>
          <w:tcPr>
            <w:tcW w:w="1734" w:type="dxa"/>
            <w:vAlign w:val="center"/>
          </w:tcPr>
          <w:p w14:paraId="1EEEFCCB"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社会环境</w:t>
            </w:r>
          </w:p>
        </w:tc>
        <w:tc>
          <w:tcPr>
            <w:tcW w:w="3825" w:type="dxa"/>
            <w:vAlign w:val="center"/>
          </w:tcPr>
          <w:p w14:paraId="5164CA04" w14:textId="77777777" w:rsidR="005A1A44" w:rsidRDefault="005A1A44">
            <w:pPr>
              <w:keepNext/>
              <w:keepLines/>
              <w:spacing w:line="288" w:lineRule="auto"/>
              <w:ind w:firstLineChars="0" w:firstLine="0"/>
              <w:jc w:val="center"/>
              <w:rPr>
                <w:rFonts w:ascii="宋体" w:eastAsia="宋体" w:hAnsi="宋体" w:cs="宋体" w:hint="eastAsia"/>
                <w:bCs/>
                <w:sz w:val="21"/>
                <w:szCs w:val="21"/>
              </w:rPr>
            </w:pPr>
          </w:p>
        </w:tc>
        <w:tc>
          <w:tcPr>
            <w:tcW w:w="3291" w:type="dxa"/>
            <w:vAlign w:val="center"/>
          </w:tcPr>
          <w:p w14:paraId="22A6E63A" w14:textId="77777777" w:rsidR="005A1A44" w:rsidRDefault="0008059E">
            <w:pPr>
              <w:keepNext/>
              <w:keepLines/>
              <w:spacing w:line="288" w:lineRule="auto"/>
              <w:ind w:firstLineChars="0" w:firstLine="0"/>
              <w:jc w:val="center"/>
              <w:rPr>
                <w:rFonts w:ascii="宋体" w:eastAsia="宋体" w:hAnsi="宋体" w:cs="宋体" w:hint="eastAsia"/>
                <w:bCs/>
                <w:sz w:val="21"/>
                <w:szCs w:val="21"/>
              </w:rPr>
            </w:pPr>
            <w:r>
              <w:rPr>
                <w:rFonts w:ascii="宋体" w:eastAsia="宋体" w:hAnsi="宋体" w:cs="宋体" w:hint="eastAsia"/>
                <w:bCs/>
                <w:sz w:val="21"/>
                <w:szCs w:val="21"/>
              </w:rPr>
              <w:t>人群健康、景观、交通、社会经济</w:t>
            </w:r>
          </w:p>
        </w:tc>
      </w:tr>
    </w:tbl>
    <w:p w14:paraId="2A68DF0D" w14:textId="77777777" w:rsidR="005A1A44" w:rsidRDefault="0008059E">
      <w:pPr>
        <w:pStyle w:val="2"/>
        <w:numPr>
          <w:ilvl w:val="1"/>
          <w:numId w:val="2"/>
        </w:numPr>
      </w:pPr>
      <w:bookmarkStart w:id="115" w:name="_Toc6964_WPSOffice_Level2"/>
      <w:r>
        <w:rPr>
          <w:rFonts w:hint="eastAsia"/>
        </w:rPr>
        <w:t xml:space="preserve"> </w:t>
      </w:r>
      <w:bookmarkStart w:id="116" w:name="_Toc3663_WPSOffice_Level2"/>
      <w:bookmarkStart w:id="117" w:name="_Toc7084_WPSOffice_Level2"/>
      <w:r>
        <w:rPr>
          <w:rFonts w:hint="eastAsia"/>
        </w:rPr>
        <w:t>评价等级及评价范围</w:t>
      </w:r>
      <w:bookmarkEnd w:id="115"/>
      <w:bookmarkEnd w:id="116"/>
      <w:bookmarkEnd w:id="117"/>
    </w:p>
    <w:p w14:paraId="1441CBF8" w14:textId="77777777" w:rsidR="005A1A44" w:rsidRDefault="0008059E">
      <w:pPr>
        <w:pStyle w:val="3"/>
        <w:numPr>
          <w:ilvl w:val="2"/>
          <w:numId w:val="2"/>
        </w:numPr>
      </w:pPr>
      <w:r>
        <w:rPr>
          <w:rFonts w:hint="eastAsia"/>
        </w:rPr>
        <w:t xml:space="preserve"> </w:t>
      </w:r>
      <w:r>
        <w:rPr>
          <w:rFonts w:hint="eastAsia"/>
        </w:rPr>
        <w:t>评价工作等级</w:t>
      </w:r>
    </w:p>
    <w:p w14:paraId="3B3A9F31" w14:textId="77777777" w:rsidR="005A1A44" w:rsidRDefault="0008059E">
      <w:pPr>
        <w:ind w:firstLine="480"/>
      </w:pPr>
      <w:r>
        <w:rPr>
          <w:rFonts w:hint="eastAsia"/>
        </w:rPr>
        <w:t>按照环境影响评价技术导则进行评价等级划分，本项目属非污染生态类项目，确定水、噪声、大气、生态环境和地下水评价等级具体如下</w:t>
      </w:r>
      <w:r>
        <w:rPr>
          <w:rFonts w:hint="eastAsia"/>
        </w:rPr>
        <w:t>.</w:t>
      </w:r>
    </w:p>
    <w:p w14:paraId="52F9FA2F" w14:textId="77777777" w:rsidR="005A1A44" w:rsidRDefault="0008059E">
      <w:pPr>
        <w:ind w:firstLine="480"/>
      </w:pPr>
      <w:r>
        <w:rPr>
          <w:rFonts w:hint="eastAsia"/>
        </w:rPr>
        <w:t>（</w:t>
      </w:r>
      <w:r>
        <w:rPr>
          <w:rFonts w:hint="eastAsia"/>
        </w:rPr>
        <w:t>1</w:t>
      </w:r>
      <w:r>
        <w:rPr>
          <w:rFonts w:hint="eastAsia"/>
        </w:rPr>
        <w:t>）生态环境</w:t>
      </w:r>
    </w:p>
    <w:p w14:paraId="5AFFBFAE" w14:textId="77777777" w:rsidR="005A1A44" w:rsidRDefault="0008059E">
      <w:pPr>
        <w:ind w:firstLine="480"/>
      </w:pPr>
      <w:r>
        <w:rPr>
          <w:rFonts w:hint="eastAsia"/>
        </w:rPr>
        <w:t>根据《环境影响评价技术导则</w:t>
      </w:r>
      <w:r>
        <w:t xml:space="preserve"> </w:t>
      </w:r>
      <w:r>
        <w:rPr>
          <w:rFonts w:hint="eastAsia"/>
        </w:rPr>
        <w:t>生态影响》（</w:t>
      </w:r>
      <w:r>
        <w:rPr>
          <w:rFonts w:hint="eastAsia"/>
        </w:rPr>
        <w:t>HJ19-2011</w:t>
      </w:r>
      <w:r>
        <w:rPr>
          <w:rFonts w:hint="eastAsia"/>
        </w:rPr>
        <w:t>）规定，拟建项目位于和田市境内，工程为线性工程，整治河道总长</w:t>
      </w:r>
      <w:r>
        <w:rPr>
          <w:rFonts w:hint="eastAsia"/>
        </w:rPr>
        <w:t>27.125km</w:t>
      </w:r>
      <w:r>
        <w:rPr>
          <w:rFonts w:hint="eastAsia"/>
        </w:rPr>
        <w:t>，小于</w:t>
      </w:r>
      <w:r>
        <w:rPr>
          <w:rFonts w:hint="eastAsia"/>
        </w:rPr>
        <w:t>50km</w:t>
      </w:r>
      <w:r>
        <w:rPr>
          <w:rFonts w:hint="eastAsia"/>
        </w:rPr>
        <w:t>。所在地附近无自然保护区、世界文化和自然遗产地等特殊生态敏感区，无风景名胜区、森林公园、地质公园、重要湿地、原始森林、珍稀濒危野生植物天然集中分布区、重要水生生物的自然产卵场及索饵场、越冬场和回游通道、天然渔场等重要生态敏感区，为一般区域，因此生态环境评价等级为三级。</w:t>
      </w:r>
    </w:p>
    <w:p w14:paraId="2069518D" w14:textId="77777777" w:rsidR="005A1A44" w:rsidRDefault="005A1A44">
      <w:pPr>
        <w:ind w:firstLineChars="0" w:firstLine="0"/>
        <w:jc w:val="center"/>
        <w:rPr>
          <w:rFonts w:ascii="黑体" w:eastAsia="黑体" w:hAnsi="黑体" w:cs="黑体" w:hint="eastAsia"/>
        </w:rPr>
      </w:pPr>
    </w:p>
    <w:p w14:paraId="036A51D0" w14:textId="77777777" w:rsidR="005A1A44" w:rsidRDefault="005A1A44">
      <w:pPr>
        <w:ind w:firstLineChars="0" w:firstLine="0"/>
        <w:jc w:val="center"/>
        <w:rPr>
          <w:rFonts w:ascii="黑体" w:eastAsia="黑体" w:hAnsi="黑体" w:cs="黑体" w:hint="eastAsia"/>
        </w:rPr>
      </w:pPr>
    </w:p>
    <w:p w14:paraId="20D145E5" w14:textId="77777777" w:rsidR="005A1A44" w:rsidRDefault="005A1A44">
      <w:pPr>
        <w:ind w:firstLineChars="0" w:firstLine="0"/>
        <w:jc w:val="center"/>
        <w:rPr>
          <w:rFonts w:ascii="黑体" w:eastAsia="黑体" w:hAnsi="黑体" w:cs="黑体" w:hint="eastAsia"/>
        </w:rPr>
      </w:pPr>
    </w:p>
    <w:p w14:paraId="177337EA"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lastRenderedPageBreak/>
        <w:t>表2.5-1  生态环境影响评价等级划分表</w:t>
      </w: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4"/>
        <w:gridCol w:w="2173"/>
        <w:gridCol w:w="2174"/>
        <w:gridCol w:w="2175"/>
      </w:tblGrid>
      <w:tr w:rsidR="005A1A44" w14:paraId="7B0143EE" w14:textId="77777777">
        <w:trPr>
          <w:trHeight w:val="285"/>
          <w:jc w:val="center"/>
        </w:trPr>
        <w:tc>
          <w:tcPr>
            <w:tcW w:w="2204" w:type="dxa"/>
            <w:vMerge w:val="restart"/>
            <w:vAlign w:val="center"/>
          </w:tcPr>
          <w:p w14:paraId="3A34B7B1"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影响区域</w:t>
            </w:r>
          </w:p>
          <w:p w14:paraId="1377D72C"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生态敏感性</w:t>
            </w:r>
          </w:p>
        </w:tc>
        <w:tc>
          <w:tcPr>
            <w:tcW w:w="6522" w:type="dxa"/>
            <w:gridSpan w:val="3"/>
            <w:vAlign w:val="center"/>
          </w:tcPr>
          <w:p w14:paraId="77866C9A"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工程占地（水域）范围</w:t>
            </w:r>
          </w:p>
        </w:tc>
      </w:tr>
      <w:tr w:rsidR="005A1A44" w14:paraId="61AB0B63" w14:textId="77777777">
        <w:trPr>
          <w:trHeight w:val="586"/>
          <w:jc w:val="center"/>
        </w:trPr>
        <w:tc>
          <w:tcPr>
            <w:tcW w:w="2204" w:type="dxa"/>
            <w:vMerge/>
            <w:vAlign w:val="center"/>
          </w:tcPr>
          <w:p w14:paraId="7A98088E" w14:textId="77777777" w:rsidR="005A1A44" w:rsidRDefault="005A1A44">
            <w:pPr>
              <w:pStyle w:val="22"/>
              <w:adjustRightInd w:val="0"/>
              <w:snapToGrid w:val="0"/>
              <w:spacing w:line="240" w:lineRule="auto"/>
              <w:ind w:firstLineChars="0" w:firstLine="0"/>
              <w:jc w:val="center"/>
              <w:rPr>
                <w:rFonts w:cs="Times New Roman"/>
                <w:color w:val="000000"/>
                <w:sz w:val="21"/>
                <w:szCs w:val="21"/>
              </w:rPr>
            </w:pPr>
          </w:p>
        </w:tc>
        <w:tc>
          <w:tcPr>
            <w:tcW w:w="2173" w:type="dxa"/>
            <w:vAlign w:val="center"/>
          </w:tcPr>
          <w:p w14:paraId="358D1C9C"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面积</w:t>
            </w:r>
            <w:r>
              <w:rPr>
                <w:rFonts w:cs="Times New Roman"/>
                <w:color w:val="000000"/>
                <w:sz w:val="21"/>
                <w:szCs w:val="21"/>
              </w:rPr>
              <w:t>≥20km</w:t>
            </w:r>
            <w:r>
              <w:rPr>
                <w:rFonts w:cs="Times New Roman"/>
                <w:color w:val="000000"/>
                <w:sz w:val="21"/>
                <w:szCs w:val="21"/>
                <w:vertAlign w:val="superscript"/>
              </w:rPr>
              <w:t>2</w:t>
            </w:r>
          </w:p>
          <w:p w14:paraId="018F4B3E"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或长度</w:t>
            </w:r>
            <w:r>
              <w:rPr>
                <w:rFonts w:cs="Times New Roman"/>
                <w:color w:val="000000"/>
                <w:sz w:val="21"/>
                <w:szCs w:val="21"/>
              </w:rPr>
              <w:t>≥100km</w:t>
            </w:r>
          </w:p>
        </w:tc>
        <w:tc>
          <w:tcPr>
            <w:tcW w:w="2174" w:type="dxa"/>
            <w:vAlign w:val="center"/>
          </w:tcPr>
          <w:p w14:paraId="71463055"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面积</w:t>
            </w:r>
            <w:r>
              <w:rPr>
                <w:rFonts w:cs="Times New Roman"/>
                <w:color w:val="000000"/>
                <w:sz w:val="21"/>
                <w:szCs w:val="21"/>
              </w:rPr>
              <w:t>2km</w:t>
            </w:r>
            <w:r>
              <w:rPr>
                <w:rFonts w:cs="Times New Roman"/>
                <w:color w:val="000000"/>
                <w:sz w:val="21"/>
                <w:szCs w:val="21"/>
                <w:vertAlign w:val="superscript"/>
              </w:rPr>
              <w:t>2</w:t>
            </w:r>
            <w:r>
              <w:rPr>
                <w:rFonts w:cs="Times New Roman"/>
                <w:color w:val="000000"/>
                <w:sz w:val="21"/>
                <w:szCs w:val="21"/>
              </w:rPr>
              <w:t>～</w:t>
            </w:r>
            <w:r>
              <w:rPr>
                <w:rFonts w:cs="Times New Roman"/>
                <w:color w:val="000000"/>
                <w:sz w:val="21"/>
                <w:szCs w:val="21"/>
              </w:rPr>
              <w:t>20km</w:t>
            </w:r>
            <w:r>
              <w:rPr>
                <w:rFonts w:cs="Times New Roman"/>
                <w:color w:val="000000"/>
                <w:sz w:val="21"/>
                <w:szCs w:val="21"/>
                <w:vertAlign w:val="superscript"/>
              </w:rPr>
              <w:t>2</w:t>
            </w:r>
          </w:p>
          <w:p w14:paraId="2CB93088"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或长度</w:t>
            </w:r>
            <w:r>
              <w:rPr>
                <w:rFonts w:cs="Times New Roman"/>
                <w:color w:val="000000"/>
                <w:sz w:val="21"/>
                <w:szCs w:val="21"/>
              </w:rPr>
              <w:t>50km</w:t>
            </w:r>
            <w:r>
              <w:rPr>
                <w:rFonts w:cs="Times New Roman"/>
                <w:color w:val="000000"/>
                <w:sz w:val="21"/>
                <w:szCs w:val="21"/>
              </w:rPr>
              <w:t>～</w:t>
            </w:r>
            <w:r>
              <w:rPr>
                <w:rFonts w:cs="Times New Roman"/>
                <w:color w:val="000000"/>
                <w:sz w:val="21"/>
                <w:szCs w:val="21"/>
              </w:rPr>
              <w:t>100km</w:t>
            </w:r>
          </w:p>
        </w:tc>
        <w:tc>
          <w:tcPr>
            <w:tcW w:w="2175" w:type="dxa"/>
            <w:vAlign w:val="center"/>
          </w:tcPr>
          <w:p w14:paraId="578795F7"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面积</w:t>
            </w:r>
            <w:r>
              <w:rPr>
                <w:rFonts w:cs="Times New Roman"/>
                <w:color w:val="000000"/>
                <w:sz w:val="21"/>
                <w:szCs w:val="21"/>
              </w:rPr>
              <w:t>≤2km</w:t>
            </w:r>
            <w:r>
              <w:rPr>
                <w:rFonts w:cs="Times New Roman"/>
                <w:color w:val="000000"/>
                <w:sz w:val="21"/>
                <w:szCs w:val="21"/>
                <w:vertAlign w:val="superscript"/>
              </w:rPr>
              <w:t>2</w:t>
            </w:r>
          </w:p>
          <w:p w14:paraId="0791064A"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或长度</w:t>
            </w:r>
            <w:r>
              <w:rPr>
                <w:rFonts w:cs="Times New Roman"/>
                <w:color w:val="000000"/>
                <w:sz w:val="21"/>
                <w:szCs w:val="21"/>
              </w:rPr>
              <w:t>≤50km</w:t>
            </w:r>
          </w:p>
        </w:tc>
      </w:tr>
      <w:tr w:rsidR="005A1A44" w14:paraId="454C3E4E" w14:textId="77777777">
        <w:trPr>
          <w:trHeight w:val="285"/>
          <w:jc w:val="center"/>
        </w:trPr>
        <w:tc>
          <w:tcPr>
            <w:tcW w:w="2204" w:type="dxa"/>
            <w:vAlign w:val="center"/>
          </w:tcPr>
          <w:p w14:paraId="79E0D23E"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特殊生态敏感区</w:t>
            </w:r>
          </w:p>
        </w:tc>
        <w:tc>
          <w:tcPr>
            <w:tcW w:w="2173" w:type="dxa"/>
            <w:vAlign w:val="center"/>
          </w:tcPr>
          <w:p w14:paraId="40EE8956"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一级</w:t>
            </w:r>
          </w:p>
        </w:tc>
        <w:tc>
          <w:tcPr>
            <w:tcW w:w="2174" w:type="dxa"/>
            <w:vAlign w:val="center"/>
          </w:tcPr>
          <w:p w14:paraId="1A1788FA"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一级</w:t>
            </w:r>
          </w:p>
        </w:tc>
        <w:tc>
          <w:tcPr>
            <w:tcW w:w="2175" w:type="dxa"/>
            <w:vAlign w:val="center"/>
          </w:tcPr>
          <w:p w14:paraId="13EEA568"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一级</w:t>
            </w:r>
          </w:p>
        </w:tc>
      </w:tr>
      <w:tr w:rsidR="005A1A44" w14:paraId="2024790E" w14:textId="77777777">
        <w:trPr>
          <w:trHeight w:val="285"/>
          <w:jc w:val="center"/>
        </w:trPr>
        <w:tc>
          <w:tcPr>
            <w:tcW w:w="2204" w:type="dxa"/>
            <w:vAlign w:val="center"/>
          </w:tcPr>
          <w:p w14:paraId="18FF00AB"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重要生态敏感区</w:t>
            </w:r>
          </w:p>
        </w:tc>
        <w:tc>
          <w:tcPr>
            <w:tcW w:w="2173" w:type="dxa"/>
            <w:vAlign w:val="center"/>
          </w:tcPr>
          <w:p w14:paraId="09C95ACB"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一级</w:t>
            </w:r>
          </w:p>
        </w:tc>
        <w:tc>
          <w:tcPr>
            <w:tcW w:w="2174" w:type="dxa"/>
            <w:vAlign w:val="center"/>
          </w:tcPr>
          <w:p w14:paraId="0CACD9D8"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二级</w:t>
            </w:r>
          </w:p>
        </w:tc>
        <w:tc>
          <w:tcPr>
            <w:tcW w:w="2175" w:type="dxa"/>
            <w:vAlign w:val="center"/>
          </w:tcPr>
          <w:p w14:paraId="5E2DDA81"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三级</w:t>
            </w:r>
          </w:p>
        </w:tc>
      </w:tr>
      <w:tr w:rsidR="005A1A44" w14:paraId="2E389C3D" w14:textId="77777777">
        <w:trPr>
          <w:trHeight w:val="285"/>
          <w:jc w:val="center"/>
        </w:trPr>
        <w:tc>
          <w:tcPr>
            <w:tcW w:w="2204" w:type="dxa"/>
            <w:vAlign w:val="center"/>
          </w:tcPr>
          <w:p w14:paraId="3244E108"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一般区域</w:t>
            </w:r>
          </w:p>
        </w:tc>
        <w:tc>
          <w:tcPr>
            <w:tcW w:w="2173" w:type="dxa"/>
            <w:vAlign w:val="center"/>
          </w:tcPr>
          <w:p w14:paraId="1779CCAC"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二级</w:t>
            </w:r>
          </w:p>
        </w:tc>
        <w:tc>
          <w:tcPr>
            <w:tcW w:w="2174" w:type="dxa"/>
            <w:vAlign w:val="center"/>
          </w:tcPr>
          <w:p w14:paraId="36AD9104"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三级</w:t>
            </w:r>
          </w:p>
        </w:tc>
        <w:tc>
          <w:tcPr>
            <w:tcW w:w="2175" w:type="dxa"/>
            <w:shd w:val="clear" w:color="auto" w:fill="A5A5A5" w:themeFill="accent3"/>
            <w:vAlign w:val="center"/>
          </w:tcPr>
          <w:p w14:paraId="3BA11893" w14:textId="77777777" w:rsidR="005A1A44" w:rsidRDefault="0008059E">
            <w:pPr>
              <w:pStyle w:val="22"/>
              <w:adjustRightInd w:val="0"/>
              <w:snapToGrid w:val="0"/>
              <w:spacing w:line="240" w:lineRule="auto"/>
              <w:ind w:firstLineChars="0" w:firstLine="0"/>
              <w:jc w:val="center"/>
              <w:rPr>
                <w:rFonts w:cs="Times New Roman"/>
                <w:color w:val="000000"/>
                <w:sz w:val="21"/>
                <w:szCs w:val="21"/>
              </w:rPr>
            </w:pPr>
            <w:r>
              <w:rPr>
                <w:rFonts w:cs="Times New Roman"/>
                <w:color w:val="000000"/>
                <w:sz w:val="21"/>
                <w:szCs w:val="21"/>
              </w:rPr>
              <w:t>三级</w:t>
            </w:r>
          </w:p>
        </w:tc>
      </w:tr>
    </w:tbl>
    <w:p w14:paraId="4CCEAC06" w14:textId="77777777" w:rsidR="005A1A44" w:rsidRDefault="005A1A44">
      <w:pPr>
        <w:ind w:firstLine="480"/>
      </w:pPr>
    </w:p>
    <w:p w14:paraId="2FAA302E" w14:textId="77777777" w:rsidR="005A1A44" w:rsidRDefault="0008059E">
      <w:pPr>
        <w:ind w:firstLine="480"/>
      </w:pPr>
      <w:r>
        <w:rPr>
          <w:rFonts w:hint="eastAsia"/>
        </w:rPr>
        <w:t>（</w:t>
      </w:r>
      <w:r>
        <w:rPr>
          <w:rFonts w:hint="eastAsia"/>
        </w:rPr>
        <w:t>2</w:t>
      </w:r>
      <w:r>
        <w:rPr>
          <w:rFonts w:hint="eastAsia"/>
        </w:rPr>
        <w:t>）声环境</w:t>
      </w:r>
    </w:p>
    <w:p w14:paraId="2F0731EC" w14:textId="77777777" w:rsidR="005A1A44" w:rsidRDefault="0008059E">
      <w:pPr>
        <w:ind w:firstLine="480"/>
      </w:pPr>
      <w:r>
        <w:rPr>
          <w:rFonts w:hint="eastAsia"/>
        </w:rPr>
        <w:t>根据《声环境质量标准》（</w:t>
      </w:r>
      <w:r>
        <w:rPr>
          <w:rFonts w:hint="eastAsia"/>
        </w:rPr>
        <w:t>GB3096-2008</w:t>
      </w:r>
      <w:r>
        <w:rPr>
          <w:rFonts w:hint="eastAsia"/>
        </w:rPr>
        <w:t>），项目区位于和田市境内，项目区属于</w:t>
      </w:r>
      <w:r>
        <w:rPr>
          <w:rFonts w:hint="eastAsia"/>
        </w:rPr>
        <w:t>2</w:t>
      </w:r>
      <w:r>
        <w:rPr>
          <w:rFonts w:hint="eastAsia"/>
        </w:rPr>
        <w:t>类、</w:t>
      </w:r>
      <w:r>
        <w:rPr>
          <w:rFonts w:hint="eastAsia"/>
        </w:rPr>
        <w:t>4a</w:t>
      </w:r>
      <w:r>
        <w:rPr>
          <w:rFonts w:hint="eastAsia"/>
        </w:rPr>
        <w:t>声环境功能区，执行《声环境质量标准》（</w:t>
      </w:r>
      <w:r>
        <w:rPr>
          <w:rFonts w:hint="eastAsia"/>
        </w:rPr>
        <w:t>GB3096-2008</w:t>
      </w:r>
      <w:r>
        <w:rPr>
          <w:rFonts w:hint="eastAsia"/>
        </w:rPr>
        <w:t>）表</w:t>
      </w:r>
      <w:r>
        <w:rPr>
          <w:rFonts w:hint="eastAsia"/>
        </w:rPr>
        <w:t>1</w:t>
      </w:r>
      <w:r>
        <w:rPr>
          <w:rFonts w:hint="eastAsia"/>
        </w:rPr>
        <w:t>中</w:t>
      </w:r>
      <w:r>
        <w:rPr>
          <w:rFonts w:hint="eastAsia"/>
        </w:rPr>
        <w:t>2</w:t>
      </w:r>
      <w:r>
        <w:rPr>
          <w:rFonts w:hint="eastAsia"/>
        </w:rPr>
        <w:t>类、</w:t>
      </w:r>
      <w:r>
        <w:rPr>
          <w:rFonts w:hint="eastAsia"/>
        </w:rPr>
        <w:t>4a</w:t>
      </w:r>
      <w:r>
        <w:rPr>
          <w:rFonts w:hint="eastAsia"/>
        </w:rPr>
        <w:t>声环境功能区的环境噪声限值。按照《环境影响评价技术导则</w:t>
      </w:r>
      <w:r>
        <w:rPr>
          <w:rFonts w:hint="eastAsia"/>
        </w:rPr>
        <w:t>-</w:t>
      </w:r>
      <w:r>
        <w:rPr>
          <w:rFonts w:hint="eastAsia"/>
        </w:rPr>
        <w:t>声环境》（</w:t>
      </w:r>
      <w:r>
        <w:rPr>
          <w:rFonts w:hint="eastAsia"/>
        </w:rPr>
        <w:t>HJ/T2.4-2009</w:t>
      </w:r>
      <w:r>
        <w:rPr>
          <w:rFonts w:hint="eastAsia"/>
        </w:rPr>
        <w:t>）的规定，声环境评价等级确定为二级。</w:t>
      </w:r>
    </w:p>
    <w:p w14:paraId="42130313"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t>表2.5-2   声环境评价工作等级判定</w:t>
      </w:r>
    </w:p>
    <w:tbl>
      <w:tblPr>
        <w:tblW w:w="84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29"/>
        <w:gridCol w:w="1105"/>
        <w:gridCol w:w="1700"/>
        <w:gridCol w:w="2832"/>
        <w:gridCol w:w="1183"/>
      </w:tblGrid>
      <w:tr w:rsidR="005A1A44" w14:paraId="53BCD357" w14:textId="77777777">
        <w:trPr>
          <w:trHeight w:val="90"/>
          <w:jc w:val="center"/>
        </w:trPr>
        <w:tc>
          <w:tcPr>
            <w:tcW w:w="2734" w:type="dxa"/>
            <w:gridSpan w:val="2"/>
            <w:tcBorders>
              <w:tl2br w:val="single" w:sz="6" w:space="0" w:color="auto"/>
            </w:tcBorders>
            <w:shd w:val="clear" w:color="auto" w:fill="auto"/>
            <w:vAlign w:val="center"/>
          </w:tcPr>
          <w:p w14:paraId="6E69CFA8" w14:textId="77777777" w:rsidR="005A1A44" w:rsidRDefault="0008059E">
            <w:pPr>
              <w:adjustRightInd w:val="0"/>
              <w:snapToGrid w:val="0"/>
              <w:spacing w:line="240" w:lineRule="auto"/>
              <w:ind w:firstLineChars="0" w:firstLine="0"/>
              <w:jc w:val="center"/>
              <w:rPr>
                <w:bCs/>
                <w:color w:val="000000" w:themeColor="text1"/>
                <w:sz w:val="21"/>
                <w:szCs w:val="21"/>
              </w:rPr>
            </w:pPr>
            <w:r>
              <w:rPr>
                <w:rFonts w:hint="eastAsia"/>
                <w:bCs/>
                <w:color w:val="000000" w:themeColor="text1"/>
                <w:sz w:val="21"/>
                <w:szCs w:val="21"/>
              </w:rPr>
              <w:t xml:space="preserve">      </w:t>
            </w:r>
            <w:r>
              <w:rPr>
                <w:rFonts w:hint="eastAsia"/>
                <w:bCs/>
                <w:color w:val="000000" w:themeColor="text1"/>
                <w:sz w:val="21"/>
                <w:szCs w:val="21"/>
              </w:rPr>
              <w:t>影响因素</w:t>
            </w:r>
          </w:p>
          <w:p w14:paraId="6C50657A" w14:textId="77777777" w:rsidR="005A1A44" w:rsidRDefault="0008059E">
            <w:pPr>
              <w:adjustRightInd w:val="0"/>
              <w:snapToGrid w:val="0"/>
              <w:spacing w:line="240" w:lineRule="auto"/>
              <w:ind w:firstLineChars="0" w:firstLine="0"/>
              <w:rPr>
                <w:color w:val="000000" w:themeColor="text1"/>
                <w:sz w:val="21"/>
                <w:szCs w:val="21"/>
              </w:rPr>
            </w:pPr>
            <w:r>
              <w:rPr>
                <w:rFonts w:hint="eastAsia"/>
                <w:bCs/>
                <w:color w:val="000000" w:themeColor="text1"/>
                <w:sz w:val="21"/>
                <w:szCs w:val="21"/>
              </w:rPr>
              <w:t>评价等级</w:t>
            </w:r>
          </w:p>
        </w:tc>
        <w:tc>
          <w:tcPr>
            <w:tcW w:w="1700" w:type="dxa"/>
            <w:shd w:val="clear" w:color="auto" w:fill="auto"/>
            <w:vAlign w:val="center"/>
          </w:tcPr>
          <w:p w14:paraId="6351E67D" w14:textId="77777777" w:rsidR="005A1A44" w:rsidRDefault="0008059E">
            <w:pPr>
              <w:adjustRightInd w:val="0"/>
              <w:snapToGrid w:val="0"/>
              <w:spacing w:line="240" w:lineRule="auto"/>
              <w:ind w:firstLineChars="0" w:firstLine="0"/>
              <w:jc w:val="center"/>
              <w:rPr>
                <w:bCs/>
                <w:color w:val="000000" w:themeColor="text1"/>
                <w:sz w:val="21"/>
                <w:szCs w:val="21"/>
              </w:rPr>
            </w:pPr>
            <w:r>
              <w:rPr>
                <w:rFonts w:hint="eastAsia"/>
                <w:bCs/>
                <w:color w:val="000000" w:themeColor="text1"/>
                <w:sz w:val="21"/>
                <w:szCs w:val="21"/>
              </w:rPr>
              <w:t>声环境功能区</w:t>
            </w:r>
          </w:p>
        </w:tc>
        <w:tc>
          <w:tcPr>
            <w:tcW w:w="2832" w:type="dxa"/>
            <w:shd w:val="clear" w:color="auto" w:fill="auto"/>
            <w:vAlign w:val="center"/>
          </w:tcPr>
          <w:p w14:paraId="58043C46" w14:textId="77777777" w:rsidR="005A1A44" w:rsidRDefault="0008059E">
            <w:pPr>
              <w:adjustRightInd w:val="0"/>
              <w:snapToGrid w:val="0"/>
              <w:spacing w:line="240" w:lineRule="auto"/>
              <w:ind w:firstLineChars="0" w:firstLine="0"/>
              <w:jc w:val="center"/>
              <w:rPr>
                <w:bCs/>
                <w:color w:val="000000" w:themeColor="text1"/>
                <w:sz w:val="21"/>
                <w:szCs w:val="21"/>
              </w:rPr>
            </w:pPr>
            <w:r>
              <w:rPr>
                <w:rFonts w:hint="eastAsia"/>
                <w:bCs/>
                <w:color w:val="000000" w:themeColor="text1"/>
                <w:sz w:val="21"/>
                <w:szCs w:val="21"/>
              </w:rPr>
              <w:t>环境敏感目标</w:t>
            </w:r>
          </w:p>
          <w:p w14:paraId="358934BA" w14:textId="77777777" w:rsidR="005A1A44" w:rsidRDefault="0008059E">
            <w:pPr>
              <w:adjustRightInd w:val="0"/>
              <w:snapToGrid w:val="0"/>
              <w:spacing w:line="240" w:lineRule="auto"/>
              <w:ind w:firstLineChars="0" w:firstLine="0"/>
              <w:jc w:val="center"/>
              <w:rPr>
                <w:bCs/>
                <w:color w:val="000000" w:themeColor="text1"/>
                <w:sz w:val="21"/>
                <w:szCs w:val="21"/>
              </w:rPr>
            </w:pPr>
            <w:r>
              <w:rPr>
                <w:rFonts w:hint="eastAsia"/>
                <w:bCs/>
                <w:color w:val="000000" w:themeColor="text1"/>
                <w:sz w:val="21"/>
                <w:szCs w:val="21"/>
              </w:rPr>
              <w:t>噪声级增量</w:t>
            </w:r>
          </w:p>
        </w:tc>
        <w:tc>
          <w:tcPr>
            <w:tcW w:w="1183" w:type="dxa"/>
            <w:shd w:val="clear" w:color="auto" w:fill="auto"/>
            <w:vAlign w:val="center"/>
          </w:tcPr>
          <w:p w14:paraId="6BB8A19A" w14:textId="77777777" w:rsidR="005A1A44" w:rsidRDefault="0008059E">
            <w:pPr>
              <w:adjustRightInd w:val="0"/>
              <w:snapToGrid w:val="0"/>
              <w:spacing w:line="240" w:lineRule="auto"/>
              <w:ind w:firstLineChars="0" w:firstLine="0"/>
              <w:jc w:val="center"/>
              <w:rPr>
                <w:bCs/>
                <w:color w:val="000000" w:themeColor="text1"/>
                <w:sz w:val="21"/>
                <w:szCs w:val="21"/>
              </w:rPr>
            </w:pPr>
            <w:r>
              <w:rPr>
                <w:rFonts w:hint="eastAsia"/>
                <w:bCs/>
                <w:color w:val="000000" w:themeColor="text1"/>
                <w:sz w:val="21"/>
                <w:szCs w:val="21"/>
              </w:rPr>
              <w:t>影响人口</w:t>
            </w:r>
          </w:p>
          <w:p w14:paraId="251C8F93" w14:textId="77777777" w:rsidR="005A1A44" w:rsidRDefault="0008059E">
            <w:pPr>
              <w:adjustRightInd w:val="0"/>
              <w:snapToGrid w:val="0"/>
              <w:spacing w:line="240" w:lineRule="auto"/>
              <w:ind w:firstLineChars="0" w:firstLine="0"/>
              <w:jc w:val="center"/>
              <w:rPr>
                <w:bCs/>
                <w:color w:val="000000" w:themeColor="text1"/>
                <w:sz w:val="21"/>
                <w:szCs w:val="21"/>
              </w:rPr>
            </w:pPr>
            <w:r>
              <w:rPr>
                <w:rFonts w:hint="eastAsia"/>
                <w:bCs/>
                <w:color w:val="000000" w:themeColor="text1"/>
                <w:sz w:val="21"/>
                <w:szCs w:val="21"/>
              </w:rPr>
              <w:t>数量变化</w:t>
            </w:r>
          </w:p>
        </w:tc>
      </w:tr>
      <w:tr w:rsidR="005A1A44" w14:paraId="2CF32073" w14:textId="77777777">
        <w:trPr>
          <w:jc w:val="center"/>
        </w:trPr>
        <w:tc>
          <w:tcPr>
            <w:tcW w:w="1629" w:type="dxa"/>
            <w:vMerge w:val="restart"/>
            <w:shd w:val="clear" w:color="auto" w:fill="auto"/>
            <w:vAlign w:val="center"/>
          </w:tcPr>
          <w:p w14:paraId="0E04A1C0" w14:textId="77777777" w:rsidR="005A1A44" w:rsidRDefault="0008059E">
            <w:pPr>
              <w:adjustRightInd w:val="0"/>
              <w:snapToGrid w:val="0"/>
              <w:spacing w:line="240" w:lineRule="auto"/>
              <w:ind w:firstLineChars="0" w:firstLine="0"/>
              <w:rPr>
                <w:color w:val="000000" w:themeColor="text1"/>
                <w:sz w:val="21"/>
                <w:szCs w:val="21"/>
              </w:rPr>
            </w:pPr>
            <w:r>
              <w:rPr>
                <w:rFonts w:hint="eastAsia"/>
                <w:color w:val="000000" w:themeColor="text1"/>
                <w:sz w:val="21"/>
                <w:szCs w:val="21"/>
              </w:rPr>
              <w:t>评价等级判据</w:t>
            </w:r>
          </w:p>
        </w:tc>
        <w:tc>
          <w:tcPr>
            <w:tcW w:w="1105" w:type="dxa"/>
            <w:shd w:val="clear" w:color="auto" w:fill="auto"/>
            <w:vAlign w:val="center"/>
          </w:tcPr>
          <w:p w14:paraId="62BE00DD"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bCs/>
                <w:color w:val="000000" w:themeColor="text1"/>
                <w:sz w:val="21"/>
                <w:szCs w:val="21"/>
              </w:rPr>
              <w:t>一级</w:t>
            </w:r>
          </w:p>
        </w:tc>
        <w:tc>
          <w:tcPr>
            <w:tcW w:w="1700" w:type="dxa"/>
            <w:shd w:val="clear" w:color="auto" w:fill="auto"/>
            <w:vAlign w:val="center"/>
          </w:tcPr>
          <w:p w14:paraId="2E340E61"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bCs/>
                <w:color w:val="000000" w:themeColor="text1"/>
                <w:sz w:val="21"/>
                <w:szCs w:val="21"/>
              </w:rPr>
              <w:t>0</w:t>
            </w:r>
            <w:r>
              <w:rPr>
                <w:rFonts w:hint="eastAsia"/>
                <w:bCs/>
                <w:color w:val="000000" w:themeColor="text1"/>
                <w:sz w:val="21"/>
                <w:szCs w:val="21"/>
              </w:rPr>
              <w:t>类</w:t>
            </w:r>
          </w:p>
        </w:tc>
        <w:tc>
          <w:tcPr>
            <w:tcW w:w="2832" w:type="dxa"/>
            <w:shd w:val="clear" w:color="auto" w:fill="auto"/>
            <w:vAlign w:val="center"/>
          </w:tcPr>
          <w:p w14:paraId="1E186EE4"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bCs/>
                <w:color w:val="000000" w:themeColor="text1"/>
                <w:sz w:val="21"/>
                <w:szCs w:val="21"/>
              </w:rPr>
              <w:t>＞</w:t>
            </w:r>
            <w:r>
              <w:rPr>
                <w:rFonts w:hint="eastAsia"/>
                <w:bCs/>
                <w:color w:val="000000" w:themeColor="text1"/>
                <w:sz w:val="21"/>
                <w:szCs w:val="21"/>
              </w:rPr>
              <w:t>5dB</w:t>
            </w:r>
            <w:r>
              <w:rPr>
                <w:rFonts w:hint="eastAsia"/>
                <w:bCs/>
                <w:color w:val="000000" w:themeColor="text1"/>
                <w:sz w:val="21"/>
                <w:szCs w:val="21"/>
              </w:rPr>
              <w:t>（</w:t>
            </w:r>
            <w:r>
              <w:rPr>
                <w:rFonts w:hint="eastAsia"/>
                <w:bCs/>
                <w:color w:val="000000" w:themeColor="text1"/>
                <w:sz w:val="21"/>
                <w:szCs w:val="21"/>
              </w:rPr>
              <w:t>A</w:t>
            </w:r>
            <w:r>
              <w:rPr>
                <w:rFonts w:hint="eastAsia"/>
                <w:bCs/>
                <w:color w:val="000000" w:themeColor="text1"/>
                <w:sz w:val="21"/>
                <w:szCs w:val="21"/>
              </w:rPr>
              <w:t>）</w:t>
            </w:r>
          </w:p>
        </w:tc>
        <w:tc>
          <w:tcPr>
            <w:tcW w:w="1183" w:type="dxa"/>
            <w:shd w:val="clear" w:color="auto" w:fill="auto"/>
            <w:vAlign w:val="center"/>
          </w:tcPr>
          <w:p w14:paraId="2A62D787"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bCs/>
                <w:color w:val="000000" w:themeColor="text1"/>
                <w:sz w:val="21"/>
                <w:szCs w:val="21"/>
              </w:rPr>
              <w:t>显著增多</w:t>
            </w:r>
          </w:p>
        </w:tc>
      </w:tr>
      <w:tr w:rsidR="005A1A44" w14:paraId="1431B580" w14:textId="77777777">
        <w:trPr>
          <w:jc w:val="center"/>
        </w:trPr>
        <w:tc>
          <w:tcPr>
            <w:tcW w:w="1629" w:type="dxa"/>
            <w:vMerge/>
            <w:shd w:val="clear" w:color="auto" w:fill="auto"/>
            <w:vAlign w:val="center"/>
          </w:tcPr>
          <w:p w14:paraId="06309D6B" w14:textId="77777777" w:rsidR="005A1A44" w:rsidRDefault="005A1A44">
            <w:pPr>
              <w:adjustRightInd w:val="0"/>
              <w:snapToGrid w:val="0"/>
              <w:spacing w:line="240" w:lineRule="auto"/>
              <w:ind w:firstLineChars="0" w:firstLine="0"/>
              <w:jc w:val="center"/>
              <w:rPr>
                <w:color w:val="000000" w:themeColor="text1"/>
                <w:sz w:val="21"/>
                <w:szCs w:val="21"/>
              </w:rPr>
            </w:pPr>
          </w:p>
        </w:tc>
        <w:tc>
          <w:tcPr>
            <w:tcW w:w="1105" w:type="dxa"/>
            <w:shd w:val="clear" w:color="auto" w:fill="auto"/>
            <w:vAlign w:val="center"/>
          </w:tcPr>
          <w:p w14:paraId="1213C9D8"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bCs/>
                <w:color w:val="000000" w:themeColor="text1"/>
                <w:sz w:val="21"/>
                <w:szCs w:val="21"/>
              </w:rPr>
              <w:t>二级</w:t>
            </w:r>
          </w:p>
        </w:tc>
        <w:tc>
          <w:tcPr>
            <w:tcW w:w="1700" w:type="dxa"/>
            <w:shd w:val="clear" w:color="auto" w:fill="auto"/>
            <w:vAlign w:val="center"/>
          </w:tcPr>
          <w:p w14:paraId="1C33313F"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bCs/>
                <w:color w:val="000000" w:themeColor="text1"/>
                <w:sz w:val="21"/>
                <w:szCs w:val="21"/>
              </w:rPr>
              <w:t>1</w:t>
            </w:r>
            <w:r>
              <w:rPr>
                <w:rFonts w:hint="eastAsia"/>
                <w:bCs/>
                <w:color w:val="000000" w:themeColor="text1"/>
                <w:sz w:val="21"/>
                <w:szCs w:val="21"/>
              </w:rPr>
              <w:t>类，</w:t>
            </w:r>
            <w:r>
              <w:rPr>
                <w:rFonts w:hint="eastAsia"/>
                <w:bCs/>
                <w:color w:val="000000" w:themeColor="text1"/>
                <w:sz w:val="21"/>
                <w:szCs w:val="21"/>
              </w:rPr>
              <w:t>2</w:t>
            </w:r>
            <w:r>
              <w:rPr>
                <w:rFonts w:hint="eastAsia"/>
                <w:bCs/>
                <w:color w:val="000000" w:themeColor="text1"/>
                <w:sz w:val="21"/>
                <w:szCs w:val="21"/>
              </w:rPr>
              <w:t>类</w:t>
            </w:r>
          </w:p>
        </w:tc>
        <w:tc>
          <w:tcPr>
            <w:tcW w:w="2832" w:type="dxa"/>
            <w:shd w:val="clear" w:color="auto" w:fill="auto"/>
            <w:vAlign w:val="center"/>
          </w:tcPr>
          <w:p w14:paraId="72F50631"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bCs/>
                <w:color w:val="000000" w:themeColor="text1"/>
                <w:sz w:val="21"/>
                <w:szCs w:val="21"/>
              </w:rPr>
              <w:t>≥</w:t>
            </w:r>
            <w:r>
              <w:rPr>
                <w:rFonts w:hint="eastAsia"/>
                <w:bCs/>
                <w:color w:val="000000" w:themeColor="text1"/>
                <w:sz w:val="21"/>
                <w:szCs w:val="21"/>
              </w:rPr>
              <w:t>3dB</w:t>
            </w:r>
            <w:r>
              <w:rPr>
                <w:rFonts w:hint="eastAsia"/>
                <w:bCs/>
                <w:color w:val="000000" w:themeColor="text1"/>
                <w:sz w:val="21"/>
                <w:szCs w:val="21"/>
              </w:rPr>
              <w:t>（</w:t>
            </w:r>
            <w:r>
              <w:rPr>
                <w:rFonts w:hint="eastAsia"/>
                <w:bCs/>
                <w:color w:val="000000" w:themeColor="text1"/>
                <w:sz w:val="21"/>
                <w:szCs w:val="21"/>
              </w:rPr>
              <w:t>A</w:t>
            </w:r>
            <w:r>
              <w:rPr>
                <w:rFonts w:hint="eastAsia"/>
                <w:bCs/>
                <w:color w:val="000000" w:themeColor="text1"/>
                <w:sz w:val="21"/>
                <w:szCs w:val="21"/>
              </w:rPr>
              <w:t>），≤</w:t>
            </w:r>
            <w:r>
              <w:rPr>
                <w:rFonts w:hint="eastAsia"/>
                <w:bCs/>
                <w:color w:val="000000" w:themeColor="text1"/>
                <w:sz w:val="21"/>
                <w:szCs w:val="21"/>
              </w:rPr>
              <w:t>5dB</w:t>
            </w:r>
            <w:r>
              <w:rPr>
                <w:rFonts w:hint="eastAsia"/>
                <w:bCs/>
                <w:color w:val="000000" w:themeColor="text1"/>
                <w:sz w:val="21"/>
                <w:szCs w:val="21"/>
              </w:rPr>
              <w:t>（</w:t>
            </w:r>
            <w:r>
              <w:rPr>
                <w:rFonts w:hint="eastAsia"/>
                <w:bCs/>
                <w:color w:val="000000" w:themeColor="text1"/>
                <w:sz w:val="21"/>
                <w:szCs w:val="21"/>
              </w:rPr>
              <w:t>A</w:t>
            </w:r>
            <w:r>
              <w:rPr>
                <w:rFonts w:hint="eastAsia"/>
                <w:bCs/>
                <w:color w:val="000000" w:themeColor="text1"/>
                <w:sz w:val="21"/>
                <w:szCs w:val="21"/>
              </w:rPr>
              <w:t>）</w:t>
            </w:r>
          </w:p>
        </w:tc>
        <w:tc>
          <w:tcPr>
            <w:tcW w:w="1183" w:type="dxa"/>
            <w:shd w:val="clear" w:color="auto" w:fill="auto"/>
            <w:vAlign w:val="center"/>
          </w:tcPr>
          <w:p w14:paraId="3CFB6A81"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bCs/>
                <w:color w:val="000000" w:themeColor="text1"/>
                <w:sz w:val="21"/>
                <w:szCs w:val="21"/>
              </w:rPr>
              <w:t>较多</w:t>
            </w:r>
          </w:p>
        </w:tc>
      </w:tr>
      <w:tr w:rsidR="005A1A44" w14:paraId="06F67395" w14:textId="77777777">
        <w:trPr>
          <w:trHeight w:val="90"/>
          <w:jc w:val="center"/>
        </w:trPr>
        <w:tc>
          <w:tcPr>
            <w:tcW w:w="1629" w:type="dxa"/>
            <w:vMerge/>
            <w:shd w:val="clear" w:color="auto" w:fill="auto"/>
            <w:vAlign w:val="center"/>
          </w:tcPr>
          <w:p w14:paraId="520CB2C9" w14:textId="77777777" w:rsidR="005A1A44" w:rsidRDefault="005A1A44">
            <w:pPr>
              <w:adjustRightInd w:val="0"/>
              <w:snapToGrid w:val="0"/>
              <w:spacing w:line="240" w:lineRule="auto"/>
              <w:ind w:firstLineChars="0" w:firstLine="0"/>
              <w:jc w:val="center"/>
              <w:rPr>
                <w:color w:val="000000" w:themeColor="text1"/>
                <w:sz w:val="21"/>
                <w:szCs w:val="21"/>
              </w:rPr>
            </w:pPr>
          </w:p>
        </w:tc>
        <w:tc>
          <w:tcPr>
            <w:tcW w:w="1105" w:type="dxa"/>
            <w:shd w:val="clear" w:color="auto" w:fill="auto"/>
            <w:vAlign w:val="center"/>
          </w:tcPr>
          <w:p w14:paraId="4C33A734"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bCs/>
                <w:color w:val="000000" w:themeColor="text1"/>
                <w:sz w:val="21"/>
                <w:szCs w:val="21"/>
              </w:rPr>
              <w:t>三级</w:t>
            </w:r>
          </w:p>
        </w:tc>
        <w:tc>
          <w:tcPr>
            <w:tcW w:w="1700" w:type="dxa"/>
            <w:shd w:val="clear" w:color="auto" w:fill="auto"/>
            <w:vAlign w:val="center"/>
          </w:tcPr>
          <w:p w14:paraId="74A25C17"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bCs/>
                <w:color w:val="000000" w:themeColor="text1"/>
                <w:sz w:val="21"/>
                <w:szCs w:val="21"/>
              </w:rPr>
              <w:t>3</w:t>
            </w:r>
            <w:r>
              <w:rPr>
                <w:rFonts w:hint="eastAsia"/>
                <w:bCs/>
                <w:color w:val="000000" w:themeColor="text1"/>
                <w:sz w:val="21"/>
                <w:szCs w:val="21"/>
              </w:rPr>
              <w:t>类，</w:t>
            </w:r>
            <w:r>
              <w:rPr>
                <w:rFonts w:hint="eastAsia"/>
                <w:bCs/>
                <w:color w:val="000000" w:themeColor="text1"/>
                <w:sz w:val="21"/>
                <w:szCs w:val="21"/>
              </w:rPr>
              <w:t>4</w:t>
            </w:r>
            <w:r>
              <w:rPr>
                <w:rFonts w:hint="eastAsia"/>
                <w:bCs/>
                <w:color w:val="000000" w:themeColor="text1"/>
                <w:sz w:val="21"/>
                <w:szCs w:val="21"/>
              </w:rPr>
              <w:t>类</w:t>
            </w:r>
          </w:p>
        </w:tc>
        <w:tc>
          <w:tcPr>
            <w:tcW w:w="2832" w:type="dxa"/>
            <w:shd w:val="clear" w:color="auto" w:fill="auto"/>
            <w:vAlign w:val="center"/>
          </w:tcPr>
          <w:p w14:paraId="13B3D545"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bCs/>
                <w:color w:val="000000" w:themeColor="text1"/>
                <w:sz w:val="21"/>
                <w:szCs w:val="21"/>
              </w:rPr>
              <w:t>＜</w:t>
            </w:r>
            <w:r>
              <w:rPr>
                <w:rFonts w:hint="eastAsia"/>
                <w:bCs/>
                <w:color w:val="000000" w:themeColor="text1"/>
                <w:sz w:val="21"/>
                <w:szCs w:val="21"/>
              </w:rPr>
              <w:t>3dB</w:t>
            </w:r>
            <w:r>
              <w:rPr>
                <w:rFonts w:hint="eastAsia"/>
                <w:bCs/>
                <w:color w:val="000000" w:themeColor="text1"/>
                <w:sz w:val="21"/>
                <w:szCs w:val="21"/>
              </w:rPr>
              <w:t>（</w:t>
            </w:r>
            <w:r>
              <w:rPr>
                <w:rFonts w:hint="eastAsia"/>
                <w:bCs/>
                <w:color w:val="000000" w:themeColor="text1"/>
                <w:sz w:val="21"/>
                <w:szCs w:val="21"/>
              </w:rPr>
              <w:t>A</w:t>
            </w:r>
            <w:r>
              <w:rPr>
                <w:rFonts w:hint="eastAsia"/>
                <w:bCs/>
                <w:color w:val="000000" w:themeColor="text1"/>
                <w:sz w:val="21"/>
                <w:szCs w:val="21"/>
              </w:rPr>
              <w:t>）</w:t>
            </w:r>
          </w:p>
        </w:tc>
        <w:tc>
          <w:tcPr>
            <w:tcW w:w="1183" w:type="dxa"/>
            <w:shd w:val="clear" w:color="auto" w:fill="auto"/>
            <w:vAlign w:val="center"/>
          </w:tcPr>
          <w:p w14:paraId="750975BB"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bCs/>
                <w:color w:val="000000" w:themeColor="text1"/>
                <w:sz w:val="21"/>
                <w:szCs w:val="21"/>
              </w:rPr>
              <w:t>不大</w:t>
            </w:r>
          </w:p>
        </w:tc>
      </w:tr>
      <w:tr w:rsidR="005A1A44" w14:paraId="549E3C90" w14:textId="77777777">
        <w:trPr>
          <w:jc w:val="center"/>
        </w:trPr>
        <w:tc>
          <w:tcPr>
            <w:tcW w:w="2734" w:type="dxa"/>
            <w:gridSpan w:val="2"/>
            <w:shd w:val="clear" w:color="auto" w:fill="A5A5A5" w:themeFill="accent3"/>
            <w:vAlign w:val="center"/>
          </w:tcPr>
          <w:p w14:paraId="37BCDD4B" w14:textId="77777777" w:rsidR="005A1A44" w:rsidRDefault="0008059E">
            <w:pPr>
              <w:adjustRightInd w:val="0"/>
              <w:snapToGrid w:val="0"/>
              <w:spacing w:line="240" w:lineRule="auto"/>
              <w:ind w:firstLineChars="0" w:firstLine="0"/>
              <w:jc w:val="center"/>
              <w:rPr>
                <w:bCs/>
                <w:sz w:val="21"/>
                <w:szCs w:val="21"/>
              </w:rPr>
            </w:pPr>
            <w:r>
              <w:rPr>
                <w:rFonts w:hint="eastAsia"/>
                <w:bCs/>
                <w:sz w:val="21"/>
                <w:szCs w:val="21"/>
              </w:rPr>
              <w:t>本工程</w:t>
            </w:r>
          </w:p>
        </w:tc>
        <w:tc>
          <w:tcPr>
            <w:tcW w:w="1700" w:type="dxa"/>
            <w:shd w:val="clear" w:color="auto" w:fill="A5A5A5" w:themeFill="accent3"/>
            <w:vAlign w:val="center"/>
          </w:tcPr>
          <w:p w14:paraId="638248A1" w14:textId="77777777" w:rsidR="005A1A44" w:rsidRDefault="0008059E">
            <w:pPr>
              <w:adjustRightInd w:val="0"/>
              <w:snapToGrid w:val="0"/>
              <w:spacing w:line="240" w:lineRule="auto"/>
              <w:ind w:firstLineChars="0" w:firstLine="0"/>
              <w:jc w:val="center"/>
              <w:rPr>
                <w:bCs/>
                <w:sz w:val="21"/>
                <w:szCs w:val="21"/>
              </w:rPr>
            </w:pPr>
            <w:r>
              <w:rPr>
                <w:rFonts w:hint="eastAsia"/>
                <w:bCs/>
                <w:sz w:val="21"/>
                <w:szCs w:val="21"/>
              </w:rPr>
              <w:t>2</w:t>
            </w:r>
            <w:r>
              <w:rPr>
                <w:rFonts w:hint="eastAsia"/>
                <w:bCs/>
                <w:sz w:val="21"/>
                <w:szCs w:val="21"/>
              </w:rPr>
              <w:t>类</w:t>
            </w:r>
          </w:p>
        </w:tc>
        <w:tc>
          <w:tcPr>
            <w:tcW w:w="2832" w:type="dxa"/>
            <w:shd w:val="clear" w:color="auto" w:fill="A5A5A5" w:themeFill="accent3"/>
            <w:vAlign w:val="center"/>
          </w:tcPr>
          <w:p w14:paraId="18294625" w14:textId="77777777" w:rsidR="005A1A44" w:rsidRDefault="0008059E">
            <w:pPr>
              <w:adjustRightInd w:val="0"/>
              <w:snapToGrid w:val="0"/>
              <w:spacing w:line="240" w:lineRule="auto"/>
              <w:ind w:firstLineChars="0" w:firstLine="0"/>
              <w:jc w:val="center"/>
              <w:rPr>
                <w:bCs/>
                <w:sz w:val="21"/>
                <w:szCs w:val="21"/>
              </w:rPr>
            </w:pPr>
            <w:r>
              <w:rPr>
                <w:rFonts w:hint="eastAsia"/>
                <w:bCs/>
                <w:sz w:val="21"/>
                <w:szCs w:val="21"/>
              </w:rPr>
              <w:t>＜</w:t>
            </w:r>
            <w:r>
              <w:rPr>
                <w:rFonts w:hint="eastAsia"/>
                <w:bCs/>
                <w:sz w:val="21"/>
                <w:szCs w:val="21"/>
              </w:rPr>
              <w:t>3.0 dB</w:t>
            </w:r>
          </w:p>
        </w:tc>
        <w:tc>
          <w:tcPr>
            <w:tcW w:w="1183" w:type="dxa"/>
            <w:shd w:val="clear" w:color="auto" w:fill="A5A5A5" w:themeFill="accent3"/>
            <w:vAlign w:val="center"/>
          </w:tcPr>
          <w:p w14:paraId="0274C460" w14:textId="77777777" w:rsidR="005A1A44" w:rsidRDefault="0008059E">
            <w:pPr>
              <w:adjustRightInd w:val="0"/>
              <w:snapToGrid w:val="0"/>
              <w:spacing w:line="240" w:lineRule="auto"/>
              <w:ind w:firstLineChars="0" w:firstLine="0"/>
              <w:jc w:val="center"/>
              <w:rPr>
                <w:bCs/>
                <w:sz w:val="21"/>
                <w:szCs w:val="21"/>
              </w:rPr>
            </w:pPr>
            <w:r>
              <w:rPr>
                <w:rFonts w:hint="eastAsia"/>
                <w:bCs/>
                <w:sz w:val="21"/>
                <w:szCs w:val="21"/>
              </w:rPr>
              <w:t>较多</w:t>
            </w:r>
          </w:p>
        </w:tc>
      </w:tr>
      <w:tr w:rsidR="005A1A44" w14:paraId="40B0F9CA" w14:textId="77777777">
        <w:trPr>
          <w:jc w:val="center"/>
        </w:trPr>
        <w:tc>
          <w:tcPr>
            <w:tcW w:w="2734" w:type="dxa"/>
            <w:gridSpan w:val="2"/>
            <w:shd w:val="clear" w:color="auto" w:fill="auto"/>
            <w:vAlign w:val="center"/>
          </w:tcPr>
          <w:p w14:paraId="5586482A" w14:textId="77777777" w:rsidR="005A1A44" w:rsidRDefault="0008059E">
            <w:pPr>
              <w:adjustRightInd w:val="0"/>
              <w:snapToGrid w:val="0"/>
              <w:spacing w:line="240" w:lineRule="auto"/>
              <w:ind w:firstLineChars="0" w:firstLine="0"/>
              <w:jc w:val="center"/>
              <w:rPr>
                <w:bCs/>
                <w:color w:val="000000" w:themeColor="text1"/>
                <w:sz w:val="21"/>
                <w:szCs w:val="21"/>
              </w:rPr>
            </w:pPr>
            <w:r>
              <w:rPr>
                <w:rFonts w:hint="eastAsia"/>
                <w:bCs/>
                <w:color w:val="000000" w:themeColor="text1"/>
                <w:sz w:val="21"/>
                <w:szCs w:val="21"/>
              </w:rPr>
              <w:t>单独评价等级</w:t>
            </w:r>
          </w:p>
        </w:tc>
        <w:tc>
          <w:tcPr>
            <w:tcW w:w="1700" w:type="dxa"/>
            <w:shd w:val="clear" w:color="auto" w:fill="auto"/>
            <w:vAlign w:val="center"/>
          </w:tcPr>
          <w:p w14:paraId="1B8B5AA9" w14:textId="77777777" w:rsidR="005A1A44" w:rsidRDefault="0008059E">
            <w:pPr>
              <w:adjustRightInd w:val="0"/>
              <w:snapToGrid w:val="0"/>
              <w:spacing w:line="240" w:lineRule="auto"/>
              <w:ind w:firstLineChars="0" w:firstLine="0"/>
              <w:jc w:val="center"/>
              <w:rPr>
                <w:bCs/>
                <w:color w:val="000000" w:themeColor="text1"/>
                <w:sz w:val="21"/>
                <w:szCs w:val="21"/>
              </w:rPr>
            </w:pPr>
            <w:r>
              <w:rPr>
                <w:rFonts w:hint="eastAsia"/>
                <w:bCs/>
                <w:color w:val="000000" w:themeColor="text1"/>
                <w:sz w:val="21"/>
                <w:szCs w:val="21"/>
              </w:rPr>
              <w:t>二级</w:t>
            </w:r>
          </w:p>
        </w:tc>
        <w:tc>
          <w:tcPr>
            <w:tcW w:w="2832" w:type="dxa"/>
            <w:shd w:val="clear" w:color="auto" w:fill="auto"/>
            <w:vAlign w:val="center"/>
          </w:tcPr>
          <w:p w14:paraId="4C21D258" w14:textId="77777777" w:rsidR="005A1A44" w:rsidRDefault="0008059E">
            <w:pPr>
              <w:adjustRightInd w:val="0"/>
              <w:snapToGrid w:val="0"/>
              <w:spacing w:line="240" w:lineRule="auto"/>
              <w:ind w:firstLineChars="0" w:firstLine="0"/>
              <w:jc w:val="center"/>
              <w:rPr>
                <w:bCs/>
                <w:color w:val="000000" w:themeColor="text1"/>
                <w:sz w:val="21"/>
                <w:szCs w:val="21"/>
              </w:rPr>
            </w:pPr>
            <w:r>
              <w:rPr>
                <w:rFonts w:hint="eastAsia"/>
                <w:bCs/>
                <w:color w:val="000000" w:themeColor="text1"/>
                <w:sz w:val="21"/>
                <w:szCs w:val="21"/>
              </w:rPr>
              <w:t>三级</w:t>
            </w:r>
          </w:p>
        </w:tc>
        <w:tc>
          <w:tcPr>
            <w:tcW w:w="1183" w:type="dxa"/>
            <w:shd w:val="clear" w:color="auto" w:fill="auto"/>
            <w:vAlign w:val="center"/>
          </w:tcPr>
          <w:p w14:paraId="488F68B6" w14:textId="77777777" w:rsidR="005A1A44" w:rsidRDefault="0008059E">
            <w:pPr>
              <w:adjustRightInd w:val="0"/>
              <w:snapToGrid w:val="0"/>
              <w:spacing w:line="240" w:lineRule="auto"/>
              <w:ind w:firstLineChars="0" w:firstLine="0"/>
              <w:jc w:val="center"/>
              <w:rPr>
                <w:bCs/>
                <w:color w:val="000000" w:themeColor="text1"/>
                <w:sz w:val="21"/>
                <w:szCs w:val="21"/>
              </w:rPr>
            </w:pPr>
            <w:r>
              <w:rPr>
                <w:rFonts w:hint="eastAsia"/>
                <w:bCs/>
                <w:color w:val="000000" w:themeColor="text1"/>
                <w:sz w:val="21"/>
                <w:szCs w:val="21"/>
              </w:rPr>
              <w:t xml:space="preserve"> </w:t>
            </w:r>
            <w:r>
              <w:rPr>
                <w:rFonts w:hint="eastAsia"/>
                <w:bCs/>
                <w:color w:val="000000" w:themeColor="text1"/>
                <w:sz w:val="21"/>
                <w:szCs w:val="21"/>
              </w:rPr>
              <w:t>三级</w:t>
            </w:r>
          </w:p>
        </w:tc>
      </w:tr>
      <w:tr w:rsidR="005A1A44" w14:paraId="0ABABBA6" w14:textId="77777777">
        <w:trPr>
          <w:jc w:val="center"/>
        </w:trPr>
        <w:tc>
          <w:tcPr>
            <w:tcW w:w="2734" w:type="dxa"/>
            <w:gridSpan w:val="2"/>
            <w:shd w:val="clear" w:color="auto" w:fill="auto"/>
            <w:vAlign w:val="center"/>
          </w:tcPr>
          <w:p w14:paraId="606B94E5" w14:textId="77777777" w:rsidR="005A1A44" w:rsidRDefault="0008059E">
            <w:pPr>
              <w:adjustRightInd w:val="0"/>
              <w:snapToGrid w:val="0"/>
              <w:spacing w:line="240" w:lineRule="auto"/>
              <w:ind w:firstLineChars="0" w:firstLine="0"/>
              <w:jc w:val="center"/>
              <w:rPr>
                <w:bCs/>
                <w:color w:val="000000" w:themeColor="text1"/>
                <w:sz w:val="21"/>
                <w:szCs w:val="21"/>
              </w:rPr>
            </w:pPr>
            <w:r>
              <w:rPr>
                <w:rFonts w:hint="eastAsia"/>
                <w:bCs/>
                <w:color w:val="000000" w:themeColor="text1"/>
                <w:sz w:val="21"/>
                <w:szCs w:val="21"/>
              </w:rPr>
              <w:t>工程评价工作等级确定</w:t>
            </w:r>
          </w:p>
        </w:tc>
        <w:tc>
          <w:tcPr>
            <w:tcW w:w="5715" w:type="dxa"/>
            <w:gridSpan w:val="3"/>
            <w:shd w:val="clear" w:color="auto" w:fill="auto"/>
            <w:vAlign w:val="center"/>
          </w:tcPr>
          <w:p w14:paraId="1A3BFF38" w14:textId="77777777" w:rsidR="005A1A44" w:rsidRDefault="0008059E">
            <w:pPr>
              <w:adjustRightInd w:val="0"/>
              <w:snapToGrid w:val="0"/>
              <w:spacing w:line="240" w:lineRule="auto"/>
              <w:ind w:firstLineChars="0" w:firstLine="0"/>
              <w:jc w:val="center"/>
              <w:rPr>
                <w:bCs/>
                <w:color w:val="000000" w:themeColor="text1"/>
                <w:sz w:val="21"/>
                <w:szCs w:val="21"/>
              </w:rPr>
            </w:pPr>
            <w:r>
              <w:rPr>
                <w:rFonts w:hint="eastAsia"/>
                <w:bCs/>
                <w:color w:val="000000" w:themeColor="text1"/>
                <w:sz w:val="21"/>
                <w:szCs w:val="21"/>
              </w:rPr>
              <w:t>二级</w:t>
            </w:r>
          </w:p>
        </w:tc>
      </w:tr>
    </w:tbl>
    <w:p w14:paraId="38BD7A8A" w14:textId="77777777" w:rsidR="005A1A44" w:rsidRDefault="005A1A44">
      <w:pPr>
        <w:ind w:firstLine="480"/>
      </w:pPr>
    </w:p>
    <w:p w14:paraId="5812D28E" w14:textId="77777777" w:rsidR="005A1A44" w:rsidRDefault="0008059E">
      <w:pPr>
        <w:ind w:firstLine="480"/>
        <w:rPr>
          <w:color w:val="FF0000"/>
        </w:rPr>
      </w:pPr>
      <w:r>
        <w:rPr>
          <w:rFonts w:hint="eastAsia"/>
        </w:rPr>
        <w:t>（</w:t>
      </w:r>
      <w:r>
        <w:rPr>
          <w:rFonts w:hint="eastAsia"/>
        </w:rPr>
        <w:t>3</w:t>
      </w:r>
      <w:r>
        <w:rPr>
          <w:rFonts w:hint="eastAsia"/>
        </w:rPr>
        <w:t>）地表水环境</w:t>
      </w:r>
    </w:p>
    <w:p w14:paraId="652463EE" w14:textId="77777777" w:rsidR="005A1A44" w:rsidRDefault="0008059E">
      <w:pPr>
        <w:ind w:firstLine="480"/>
      </w:pPr>
      <w:r>
        <w:rPr>
          <w:rFonts w:hint="eastAsia"/>
        </w:rPr>
        <w:t>根据《环境影响评价技术导则</w:t>
      </w:r>
      <w:r>
        <w:rPr>
          <w:rFonts w:hint="eastAsia"/>
        </w:rPr>
        <w:t xml:space="preserve"> </w:t>
      </w:r>
      <w:r>
        <w:rPr>
          <w:rFonts w:hint="eastAsia"/>
        </w:rPr>
        <w:t>地表水环境》（</w:t>
      </w:r>
      <w:r>
        <w:rPr>
          <w:rFonts w:hint="eastAsia"/>
        </w:rPr>
        <w:t>HJ 2.3-2018</w:t>
      </w:r>
      <w:r>
        <w:rPr>
          <w:rFonts w:hint="eastAsia"/>
        </w:rPr>
        <w:t>），</w:t>
      </w:r>
      <w:r>
        <w:t>本项目</w:t>
      </w:r>
      <w:r>
        <w:rPr>
          <w:rFonts w:hint="eastAsia"/>
        </w:rPr>
        <w:t>产生的</w:t>
      </w:r>
      <w:r>
        <w:t>污水</w:t>
      </w:r>
      <w:r>
        <w:rPr>
          <w:rFonts w:hint="eastAsia"/>
        </w:rPr>
        <w:t>主要为生活污水和施工期生产废水</w:t>
      </w:r>
      <w:r>
        <w:t>，污水水质</w:t>
      </w:r>
      <w:r>
        <w:rPr>
          <w:rFonts w:hint="eastAsia"/>
        </w:rPr>
        <w:t>类型</w:t>
      </w:r>
      <w:r>
        <w:t>为</w:t>
      </w:r>
      <w:r>
        <w:rPr>
          <w:rFonts w:hint="eastAsia"/>
        </w:rPr>
        <w:t>简单</w:t>
      </w:r>
      <w:r>
        <w:t>，污染物类型较单一，主要污染物为</w:t>
      </w:r>
      <w:r>
        <w:t>SS</w:t>
      </w:r>
      <w:r>
        <w:rPr>
          <w:rFonts w:hint="eastAsia"/>
        </w:rPr>
        <w:t>、</w:t>
      </w:r>
      <w:r>
        <w:t>COD</w:t>
      </w:r>
      <w:r>
        <w:rPr>
          <w:rFonts w:hint="eastAsia"/>
        </w:rPr>
        <w:t>和石油类等，无第一类污染物，经核算，废水产生量为</w:t>
      </w:r>
      <w:r>
        <w:rPr>
          <w:rFonts w:hint="eastAsia"/>
        </w:rPr>
        <w:t>100m</w:t>
      </w:r>
      <w:r>
        <w:rPr>
          <w:rFonts w:hint="eastAsia"/>
          <w:vertAlign w:val="superscript"/>
        </w:rPr>
        <w:t>3</w:t>
      </w:r>
      <w:r>
        <w:rPr>
          <w:rFonts w:hint="eastAsia"/>
        </w:rPr>
        <w:t>/d</w:t>
      </w:r>
      <w:r>
        <w:rPr>
          <w:rFonts w:hint="eastAsia"/>
        </w:rPr>
        <w:t>，且生产废水处理达《污水综合排放标准》（</w:t>
      </w:r>
      <w:r>
        <w:rPr>
          <w:rFonts w:hint="eastAsia"/>
        </w:rPr>
        <w:t>GB8978-1996</w:t>
      </w:r>
      <w:r>
        <w:rPr>
          <w:rFonts w:hint="eastAsia"/>
        </w:rPr>
        <w:t>）中的二级标准要求后回用于工程施工期生产及绿化，不外排。</w:t>
      </w:r>
    </w:p>
    <w:p w14:paraId="401A9334" w14:textId="77777777" w:rsidR="005A1A44" w:rsidRDefault="0008059E">
      <w:pPr>
        <w:ind w:firstLine="480"/>
      </w:pPr>
      <w:r>
        <w:rPr>
          <w:rFonts w:hint="eastAsia"/>
        </w:rPr>
        <w:t>环评要求施工生活区岩两岸附近的城市区域布设，施工生活污水可直接接入城市排水管网进行集中处理，不会产生影响。</w:t>
      </w:r>
      <w:r>
        <w:t>根据水</w:t>
      </w:r>
      <w:r>
        <w:rPr>
          <w:rFonts w:hint="eastAsia"/>
        </w:rPr>
        <w:t>环境</w:t>
      </w:r>
      <w:r>
        <w:t>评价等级的分级判据，本项目水环境评价等级确定为三级</w:t>
      </w:r>
      <w:r>
        <w:rPr>
          <w:rFonts w:hint="eastAsia"/>
        </w:rPr>
        <w:t>B</w:t>
      </w:r>
      <w:r>
        <w:t>。</w:t>
      </w:r>
    </w:p>
    <w:p w14:paraId="568E0163" w14:textId="77777777" w:rsidR="005A1A44" w:rsidRDefault="0008059E">
      <w:pPr>
        <w:ind w:firstLine="480"/>
      </w:pPr>
      <w:r>
        <w:rPr>
          <w:rFonts w:hint="eastAsia"/>
        </w:rPr>
        <w:t>（</w:t>
      </w:r>
      <w:r>
        <w:rPr>
          <w:rFonts w:hint="eastAsia"/>
        </w:rPr>
        <w:t>4</w:t>
      </w:r>
      <w:r>
        <w:rPr>
          <w:rFonts w:hint="eastAsia"/>
        </w:rPr>
        <w:t>）地下水环境</w:t>
      </w:r>
    </w:p>
    <w:p w14:paraId="20D82874" w14:textId="77777777" w:rsidR="005A1A44" w:rsidRDefault="0008059E">
      <w:pPr>
        <w:ind w:firstLine="480"/>
      </w:pPr>
      <w:r>
        <w:rPr>
          <w:rFonts w:hint="eastAsia"/>
        </w:rPr>
        <w:lastRenderedPageBreak/>
        <w:t>项目区内涉及城镇集中式饮用水水源保护区，但工程设计和环评中均禁止在水源保护区内从事不利于水源水质的活动，除河道整治和生态修复的工程内容外，其他建设内容及施工已避让饮用水水源保护区。项目区的实际建设和施工范围位于饮用水水源保护区的下游。</w:t>
      </w:r>
    </w:p>
    <w:p w14:paraId="1F94BCCA" w14:textId="77777777" w:rsidR="005A1A44" w:rsidRDefault="0008059E">
      <w:pPr>
        <w:ind w:firstLine="480"/>
      </w:pPr>
      <w:r>
        <w:rPr>
          <w:rFonts w:hint="eastAsia"/>
        </w:rPr>
        <w:t>根据《环境影响评价技术导则</w:t>
      </w:r>
      <w:r>
        <w:rPr>
          <w:rFonts w:hint="eastAsia"/>
        </w:rPr>
        <w:t>-</w:t>
      </w:r>
      <w:r>
        <w:rPr>
          <w:rFonts w:hint="eastAsia"/>
        </w:rPr>
        <w:t>地下水环境》（</w:t>
      </w:r>
      <w:r>
        <w:rPr>
          <w:rFonts w:hint="eastAsia"/>
        </w:rPr>
        <w:t>HJ610-2016</w:t>
      </w:r>
      <w:r>
        <w:rPr>
          <w:rFonts w:hint="eastAsia"/>
        </w:rPr>
        <w:t>），本项目为河湖整治工程，属于</w:t>
      </w:r>
      <w:r>
        <w:rPr>
          <w:rFonts w:asciiTheme="minorEastAsia" w:hAnsiTheme="minorEastAsia" w:hint="eastAsia"/>
        </w:rPr>
        <w:t>Ⅲ</w:t>
      </w:r>
      <w:r>
        <w:rPr>
          <w:rFonts w:hint="eastAsia"/>
        </w:rPr>
        <w:t>类项目，同时根据</w:t>
      </w:r>
      <w:r>
        <w:rPr>
          <w:rFonts w:hint="eastAsia"/>
        </w:rPr>
        <w:t>HJ610-2016</w:t>
      </w:r>
      <w:r>
        <w:rPr>
          <w:rFonts w:hint="eastAsia"/>
        </w:rPr>
        <w:t>表</w:t>
      </w:r>
      <w:r>
        <w:rPr>
          <w:rFonts w:hint="eastAsia"/>
        </w:rPr>
        <w:t>3</w:t>
      </w:r>
      <w:r>
        <w:rPr>
          <w:rFonts w:hint="eastAsia"/>
        </w:rPr>
        <w:t>建设项目地下水环境敏感程度分级表，本项目评价范围不涉及集中式饮用水水源地，敏感程度为不敏感。因此，根据建设项目评价工作等级分级表，判定本项目地下水评价等级为三级。</w:t>
      </w:r>
    </w:p>
    <w:p w14:paraId="281B5246"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t>表2.5-3  建设项目地下水环境敏感程度分级表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
        <w:gridCol w:w="7589"/>
      </w:tblGrid>
      <w:tr w:rsidR="005A1A44" w14:paraId="4C318831" w14:textId="77777777">
        <w:trPr>
          <w:trHeight w:val="507"/>
          <w:jc w:val="center"/>
        </w:trPr>
        <w:tc>
          <w:tcPr>
            <w:tcW w:w="1471" w:type="dxa"/>
            <w:vAlign w:val="center"/>
          </w:tcPr>
          <w:p w14:paraId="3B300672" w14:textId="77777777" w:rsidR="005A1A44" w:rsidRDefault="0008059E">
            <w:pPr>
              <w:adjustRightInd w:val="0"/>
              <w:snapToGrid w:val="0"/>
              <w:spacing w:line="240" w:lineRule="auto"/>
              <w:ind w:firstLineChars="0" w:firstLine="0"/>
              <w:jc w:val="center"/>
              <w:rPr>
                <w:b/>
                <w:color w:val="000000" w:themeColor="text1"/>
                <w:sz w:val="21"/>
                <w:szCs w:val="21"/>
              </w:rPr>
            </w:pPr>
            <w:r>
              <w:rPr>
                <w:rFonts w:hint="eastAsia"/>
                <w:b/>
                <w:color w:val="000000" w:themeColor="text1"/>
                <w:sz w:val="21"/>
                <w:szCs w:val="21"/>
              </w:rPr>
              <w:t>敏感程度</w:t>
            </w:r>
          </w:p>
        </w:tc>
        <w:tc>
          <w:tcPr>
            <w:tcW w:w="7589" w:type="dxa"/>
            <w:vAlign w:val="center"/>
          </w:tcPr>
          <w:p w14:paraId="3C74140A" w14:textId="77777777" w:rsidR="005A1A44" w:rsidRDefault="0008059E">
            <w:pPr>
              <w:adjustRightInd w:val="0"/>
              <w:snapToGrid w:val="0"/>
              <w:spacing w:line="240" w:lineRule="auto"/>
              <w:ind w:firstLineChars="0" w:firstLine="0"/>
              <w:jc w:val="center"/>
              <w:rPr>
                <w:b/>
                <w:color w:val="000000" w:themeColor="text1"/>
                <w:sz w:val="21"/>
                <w:szCs w:val="21"/>
              </w:rPr>
            </w:pPr>
            <w:r>
              <w:rPr>
                <w:rFonts w:hint="eastAsia"/>
                <w:b/>
                <w:color w:val="000000" w:themeColor="text1"/>
                <w:sz w:val="21"/>
                <w:szCs w:val="21"/>
              </w:rPr>
              <w:t>地下水环境敏感特征</w:t>
            </w:r>
          </w:p>
        </w:tc>
      </w:tr>
      <w:tr w:rsidR="005A1A44" w14:paraId="643DDD60" w14:textId="77777777">
        <w:trPr>
          <w:jc w:val="center"/>
        </w:trPr>
        <w:tc>
          <w:tcPr>
            <w:tcW w:w="1471" w:type="dxa"/>
            <w:vAlign w:val="center"/>
          </w:tcPr>
          <w:p w14:paraId="2342A15C"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敏感</w:t>
            </w:r>
          </w:p>
        </w:tc>
        <w:tc>
          <w:tcPr>
            <w:tcW w:w="7589" w:type="dxa"/>
            <w:vAlign w:val="center"/>
          </w:tcPr>
          <w:p w14:paraId="4E350CEE"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5A1A44" w14:paraId="1D758D33" w14:textId="77777777">
        <w:trPr>
          <w:jc w:val="center"/>
        </w:trPr>
        <w:tc>
          <w:tcPr>
            <w:tcW w:w="1471" w:type="dxa"/>
            <w:vAlign w:val="center"/>
          </w:tcPr>
          <w:p w14:paraId="3462A0B0"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较敏感</w:t>
            </w:r>
          </w:p>
        </w:tc>
        <w:tc>
          <w:tcPr>
            <w:tcW w:w="7589" w:type="dxa"/>
            <w:vAlign w:val="center"/>
          </w:tcPr>
          <w:p w14:paraId="46BB6098"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rFonts w:hint="eastAsia"/>
                <w:color w:val="000000" w:themeColor="text1"/>
                <w:sz w:val="21"/>
                <w:szCs w:val="21"/>
              </w:rPr>
              <w:t>a</w:t>
            </w:r>
            <w:r>
              <w:rPr>
                <w:rFonts w:hint="eastAsia"/>
                <w:color w:val="000000" w:themeColor="text1"/>
                <w:sz w:val="21"/>
                <w:szCs w:val="21"/>
              </w:rPr>
              <w:t>。</w:t>
            </w:r>
          </w:p>
        </w:tc>
      </w:tr>
      <w:tr w:rsidR="005A1A44" w14:paraId="5FF439BD" w14:textId="77777777">
        <w:trPr>
          <w:trHeight w:val="590"/>
          <w:jc w:val="center"/>
        </w:trPr>
        <w:tc>
          <w:tcPr>
            <w:tcW w:w="1471" w:type="dxa"/>
            <w:shd w:val="clear" w:color="auto" w:fill="FFFFFF" w:themeFill="background1"/>
            <w:vAlign w:val="center"/>
          </w:tcPr>
          <w:p w14:paraId="41B6992C"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不敏感</w:t>
            </w:r>
          </w:p>
        </w:tc>
        <w:tc>
          <w:tcPr>
            <w:tcW w:w="7589" w:type="dxa"/>
            <w:shd w:val="clear" w:color="auto" w:fill="FFFFFF" w:themeFill="background1"/>
            <w:vAlign w:val="center"/>
          </w:tcPr>
          <w:p w14:paraId="151EF6F1"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上述地区之外的其它地区。</w:t>
            </w:r>
          </w:p>
        </w:tc>
      </w:tr>
      <w:tr w:rsidR="005A1A44" w14:paraId="45D3CABC" w14:textId="77777777">
        <w:trPr>
          <w:jc w:val="center"/>
        </w:trPr>
        <w:tc>
          <w:tcPr>
            <w:tcW w:w="9060" w:type="dxa"/>
            <w:gridSpan w:val="2"/>
            <w:vAlign w:val="center"/>
          </w:tcPr>
          <w:p w14:paraId="3757FEB9"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注：</w:t>
            </w:r>
            <w:r>
              <w:rPr>
                <w:rFonts w:hint="eastAsia"/>
                <w:color w:val="000000" w:themeColor="text1"/>
                <w:sz w:val="21"/>
                <w:szCs w:val="21"/>
              </w:rPr>
              <w:t>a</w:t>
            </w:r>
            <w:r>
              <w:rPr>
                <w:rFonts w:hint="eastAsia"/>
                <w:color w:val="000000" w:themeColor="text1"/>
                <w:sz w:val="21"/>
                <w:szCs w:val="21"/>
              </w:rPr>
              <w:t>“环境敏感区”是指《建设项目环境影响评价分类管理名录》中所界定的涉及地下水的环境敏感区。</w:t>
            </w:r>
          </w:p>
        </w:tc>
      </w:tr>
    </w:tbl>
    <w:p w14:paraId="69156BBB" w14:textId="77777777" w:rsidR="005A1A44" w:rsidRDefault="005A1A44">
      <w:pPr>
        <w:ind w:firstLineChars="0" w:firstLine="0"/>
        <w:jc w:val="center"/>
        <w:rPr>
          <w:rFonts w:ascii="黑体" w:eastAsia="黑体" w:hAnsi="黑体" w:cs="黑体" w:hint="eastAsia"/>
        </w:rPr>
      </w:pPr>
    </w:p>
    <w:p w14:paraId="75D2D22D"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t>表2.5-4  建设项目评价工作等级分级表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2"/>
        <w:gridCol w:w="2174"/>
        <w:gridCol w:w="2175"/>
        <w:gridCol w:w="2139"/>
      </w:tblGrid>
      <w:tr w:rsidR="005A1A44" w14:paraId="59E5C8F4" w14:textId="77777777">
        <w:trPr>
          <w:jc w:val="center"/>
        </w:trPr>
        <w:tc>
          <w:tcPr>
            <w:tcW w:w="2572" w:type="dxa"/>
            <w:tcBorders>
              <w:left w:val="single" w:sz="4" w:space="0" w:color="auto"/>
              <w:tl2br w:val="single" w:sz="4" w:space="0" w:color="auto"/>
            </w:tcBorders>
            <w:vAlign w:val="center"/>
          </w:tcPr>
          <w:p w14:paraId="33D6021B" w14:textId="77777777" w:rsidR="005A1A44" w:rsidRDefault="0008059E">
            <w:pPr>
              <w:pStyle w:val="01"/>
              <w:adjustRightInd w:val="0"/>
              <w:snapToGrid w:val="0"/>
              <w:spacing w:before="0" w:line="240" w:lineRule="auto"/>
              <w:ind w:firstLineChars="0" w:firstLine="0"/>
              <w:jc w:val="center"/>
              <w:rPr>
                <w:color w:val="000000" w:themeColor="text1"/>
                <w:sz w:val="21"/>
                <w:szCs w:val="21"/>
              </w:rPr>
            </w:pPr>
            <w:r>
              <w:rPr>
                <w:rFonts w:hint="eastAsia"/>
                <w:color w:val="000000" w:themeColor="text1"/>
                <w:sz w:val="21"/>
                <w:szCs w:val="21"/>
              </w:rPr>
              <w:t xml:space="preserve">              </w:t>
            </w:r>
            <w:r>
              <w:rPr>
                <w:rFonts w:hint="eastAsia"/>
                <w:color w:val="000000" w:themeColor="text1"/>
                <w:sz w:val="21"/>
                <w:szCs w:val="21"/>
              </w:rPr>
              <w:t>项目类别</w:t>
            </w:r>
          </w:p>
          <w:p w14:paraId="341BA618" w14:textId="77777777" w:rsidR="005A1A44" w:rsidRDefault="0008059E">
            <w:pPr>
              <w:pStyle w:val="01"/>
              <w:adjustRightInd w:val="0"/>
              <w:snapToGrid w:val="0"/>
              <w:spacing w:before="0" w:line="240" w:lineRule="auto"/>
              <w:ind w:firstLineChars="0" w:firstLine="0"/>
              <w:jc w:val="left"/>
              <w:rPr>
                <w:color w:val="000000" w:themeColor="text1"/>
                <w:sz w:val="21"/>
                <w:szCs w:val="21"/>
              </w:rPr>
            </w:pPr>
            <w:r>
              <w:rPr>
                <w:rFonts w:hint="eastAsia"/>
                <w:color w:val="000000" w:themeColor="text1"/>
                <w:sz w:val="21"/>
                <w:szCs w:val="21"/>
              </w:rPr>
              <w:t>环境敏感程度</w:t>
            </w:r>
            <w:r>
              <w:rPr>
                <w:rFonts w:hint="eastAsia"/>
                <w:color w:val="000000" w:themeColor="text1"/>
                <w:sz w:val="21"/>
                <w:szCs w:val="21"/>
              </w:rPr>
              <w:t xml:space="preserve"> </w:t>
            </w:r>
          </w:p>
        </w:tc>
        <w:tc>
          <w:tcPr>
            <w:tcW w:w="2174" w:type="dxa"/>
            <w:vAlign w:val="center"/>
          </w:tcPr>
          <w:p w14:paraId="23BFA9DB" w14:textId="77777777" w:rsidR="005A1A44" w:rsidRDefault="0008059E">
            <w:pPr>
              <w:pStyle w:val="01"/>
              <w:adjustRightInd w:val="0"/>
              <w:snapToGrid w:val="0"/>
              <w:spacing w:before="0" w:line="240" w:lineRule="auto"/>
              <w:ind w:firstLineChars="0" w:firstLine="0"/>
              <w:jc w:val="center"/>
              <w:rPr>
                <w:color w:val="000000" w:themeColor="text1"/>
                <w:sz w:val="21"/>
                <w:szCs w:val="21"/>
              </w:rPr>
            </w:pPr>
            <w:r>
              <w:rPr>
                <w:rFonts w:hint="eastAsia"/>
                <w:color w:val="000000" w:themeColor="text1"/>
                <w:sz w:val="21"/>
                <w:szCs w:val="21"/>
              </w:rPr>
              <w:t>Ⅰ类项目</w:t>
            </w:r>
          </w:p>
        </w:tc>
        <w:tc>
          <w:tcPr>
            <w:tcW w:w="2175" w:type="dxa"/>
            <w:vAlign w:val="center"/>
          </w:tcPr>
          <w:p w14:paraId="0AE406CF" w14:textId="77777777" w:rsidR="005A1A44" w:rsidRDefault="0008059E">
            <w:pPr>
              <w:pStyle w:val="01"/>
              <w:adjustRightInd w:val="0"/>
              <w:snapToGrid w:val="0"/>
              <w:spacing w:before="0" w:line="240" w:lineRule="auto"/>
              <w:ind w:firstLineChars="0" w:firstLine="0"/>
              <w:jc w:val="center"/>
              <w:rPr>
                <w:color w:val="000000" w:themeColor="text1"/>
                <w:sz w:val="21"/>
                <w:szCs w:val="21"/>
              </w:rPr>
            </w:pPr>
            <w:r>
              <w:rPr>
                <w:rFonts w:hint="eastAsia"/>
                <w:color w:val="000000" w:themeColor="text1"/>
                <w:sz w:val="21"/>
                <w:szCs w:val="21"/>
              </w:rPr>
              <w:t>Ⅱ类项目</w:t>
            </w:r>
          </w:p>
        </w:tc>
        <w:tc>
          <w:tcPr>
            <w:tcW w:w="2139" w:type="dxa"/>
            <w:tcBorders>
              <w:right w:val="single" w:sz="4" w:space="0" w:color="auto"/>
            </w:tcBorders>
            <w:vAlign w:val="center"/>
          </w:tcPr>
          <w:p w14:paraId="68E5FB47" w14:textId="77777777" w:rsidR="005A1A44" w:rsidRDefault="0008059E">
            <w:pPr>
              <w:pStyle w:val="01"/>
              <w:adjustRightInd w:val="0"/>
              <w:snapToGrid w:val="0"/>
              <w:spacing w:before="0" w:line="240" w:lineRule="auto"/>
              <w:ind w:firstLineChars="0" w:firstLine="0"/>
              <w:jc w:val="center"/>
              <w:rPr>
                <w:color w:val="000000" w:themeColor="text1"/>
                <w:sz w:val="21"/>
                <w:szCs w:val="21"/>
              </w:rPr>
            </w:pPr>
            <w:r>
              <w:rPr>
                <w:rFonts w:hint="eastAsia"/>
                <w:color w:val="000000" w:themeColor="text1"/>
                <w:sz w:val="21"/>
                <w:szCs w:val="21"/>
              </w:rPr>
              <w:t>Ⅲ类项目</w:t>
            </w:r>
          </w:p>
        </w:tc>
      </w:tr>
      <w:tr w:rsidR="005A1A44" w14:paraId="20DE899E" w14:textId="77777777">
        <w:trPr>
          <w:jc w:val="center"/>
        </w:trPr>
        <w:tc>
          <w:tcPr>
            <w:tcW w:w="2572" w:type="dxa"/>
            <w:tcBorders>
              <w:left w:val="single" w:sz="4" w:space="0" w:color="auto"/>
            </w:tcBorders>
            <w:vAlign w:val="center"/>
          </w:tcPr>
          <w:p w14:paraId="5F5B23A3" w14:textId="77777777" w:rsidR="005A1A44" w:rsidRDefault="0008059E">
            <w:pPr>
              <w:pStyle w:val="01"/>
              <w:adjustRightInd w:val="0"/>
              <w:snapToGrid w:val="0"/>
              <w:spacing w:before="0" w:line="240" w:lineRule="auto"/>
              <w:ind w:firstLineChars="0" w:firstLine="0"/>
              <w:jc w:val="center"/>
              <w:rPr>
                <w:color w:val="000000" w:themeColor="text1"/>
                <w:sz w:val="21"/>
                <w:szCs w:val="21"/>
              </w:rPr>
            </w:pPr>
            <w:r>
              <w:rPr>
                <w:rFonts w:hint="eastAsia"/>
                <w:color w:val="000000" w:themeColor="text1"/>
                <w:sz w:val="21"/>
                <w:szCs w:val="21"/>
              </w:rPr>
              <w:t>敏感</w:t>
            </w:r>
          </w:p>
        </w:tc>
        <w:tc>
          <w:tcPr>
            <w:tcW w:w="2174" w:type="dxa"/>
            <w:vAlign w:val="center"/>
          </w:tcPr>
          <w:p w14:paraId="46730CBD" w14:textId="77777777" w:rsidR="005A1A44" w:rsidRDefault="0008059E">
            <w:pPr>
              <w:pStyle w:val="01"/>
              <w:adjustRightInd w:val="0"/>
              <w:snapToGrid w:val="0"/>
              <w:spacing w:before="0" w:line="240" w:lineRule="auto"/>
              <w:ind w:firstLineChars="0" w:firstLine="0"/>
              <w:jc w:val="center"/>
              <w:rPr>
                <w:color w:val="000000" w:themeColor="text1"/>
                <w:sz w:val="21"/>
                <w:szCs w:val="21"/>
              </w:rPr>
            </w:pPr>
            <w:r>
              <w:rPr>
                <w:rFonts w:hint="eastAsia"/>
                <w:color w:val="000000" w:themeColor="text1"/>
                <w:sz w:val="21"/>
                <w:szCs w:val="21"/>
              </w:rPr>
              <w:t>一</w:t>
            </w:r>
          </w:p>
        </w:tc>
        <w:tc>
          <w:tcPr>
            <w:tcW w:w="2175" w:type="dxa"/>
            <w:vAlign w:val="center"/>
          </w:tcPr>
          <w:p w14:paraId="46BC9769" w14:textId="77777777" w:rsidR="005A1A44" w:rsidRDefault="0008059E">
            <w:pPr>
              <w:pStyle w:val="01"/>
              <w:adjustRightInd w:val="0"/>
              <w:snapToGrid w:val="0"/>
              <w:spacing w:before="0" w:line="240" w:lineRule="auto"/>
              <w:ind w:firstLineChars="0" w:firstLine="0"/>
              <w:jc w:val="center"/>
              <w:rPr>
                <w:color w:val="000000" w:themeColor="text1"/>
                <w:sz w:val="21"/>
                <w:szCs w:val="21"/>
              </w:rPr>
            </w:pPr>
            <w:r>
              <w:rPr>
                <w:rFonts w:hint="eastAsia"/>
                <w:color w:val="000000" w:themeColor="text1"/>
                <w:sz w:val="21"/>
                <w:szCs w:val="21"/>
              </w:rPr>
              <w:t>一</w:t>
            </w:r>
          </w:p>
        </w:tc>
        <w:tc>
          <w:tcPr>
            <w:tcW w:w="2139" w:type="dxa"/>
            <w:tcBorders>
              <w:right w:val="single" w:sz="4" w:space="0" w:color="auto"/>
            </w:tcBorders>
            <w:vAlign w:val="center"/>
          </w:tcPr>
          <w:p w14:paraId="4C096E70" w14:textId="77777777" w:rsidR="005A1A44" w:rsidRDefault="0008059E">
            <w:pPr>
              <w:pStyle w:val="01"/>
              <w:adjustRightInd w:val="0"/>
              <w:snapToGrid w:val="0"/>
              <w:spacing w:before="0" w:line="240" w:lineRule="auto"/>
              <w:ind w:firstLineChars="0" w:firstLine="0"/>
              <w:jc w:val="center"/>
              <w:rPr>
                <w:color w:val="000000" w:themeColor="text1"/>
                <w:sz w:val="21"/>
                <w:szCs w:val="21"/>
              </w:rPr>
            </w:pPr>
            <w:r>
              <w:rPr>
                <w:rFonts w:hint="eastAsia"/>
                <w:color w:val="000000" w:themeColor="text1"/>
                <w:sz w:val="21"/>
                <w:szCs w:val="21"/>
              </w:rPr>
              <w:t>二</w:t>
            </w:r>
          </w:p>
        </w:tc>
      </w:tr>
      <w:tr w:rsidR="005A1A44" w14:paraId="6EB64B9A" w14:textId="77777777">
        <w:trPr>
          <w:jc w:val="center"/>
        </w:trPr>
        <w:tc>
          <w:tcPr>
            <w:tcW w:w="2572" w:type="dxa"/>
            <w:tcBorders>
              <w:left w:val="single" w:sz="4" w:space="0" w:color="auto"/>
            </w:tcBorders>
            <w:vAlign w:val="center"/>
          </w:tcPr>
          <w:p w14:paraId="14523E74" w14:textId="77777777" w:rsidR="005A1A44" w:rsidRDefault="0008059E">
            <w:pPr>
              <w:pStyle w:val="01"/>
              <w:adjustRightInd w:val="0"/>
              <w:snapToGrid w:val="0"/>
              <w:spacing w:before="0" w:line="240" w:lineRule="auto"/>
              <w:ind w:firstLineChars="0" w:firstLine="0"/>
              <w:jc w:val="center"/>
              <w:rPr>
                <w:color w:val="000000" w:themeColor="text1"/>
                <w:sz w:val="21"/>
                <w:szCs w:val="21"/>
              </w:rPr>
            </w:pPr>
            <w:r>
              <w:rPr>
                <w:rFonts w:hint="eastAsia"/>
                <w:color w:val="000000" w:themeColor="text1"/>
                <w:sz w:val="21"/>
                <w:szCs w:val="21"/>
              </w:rPr>
              <w:t>较敏感</w:t>
            </w:r>
          </w:p>
        </w:tc>
        <w:tc>
          <w:tcPr>
            <w:tcW w:w="2174" w:type="dxa"/>
            <w:vAlign w:val="center"/>
          </w:tcPr>
          <w:p w14:paraId="3232A9A1" w14:textId="77777777" w:rsidR="005A1A44" w:rsidRDefault="0008059E">
            <w:pPr>
              <w:pStyle w:val="01"/>
              <w:adjustRightInd w:val="0"/>
              <w:snapToGrid w:val="0"/>
              <w:spacing w:before="0" w:line="240" w:lineRule="auto"/>
              <w:ind w:firstLineChars="0" w:firstLine="0"/>
              <w:jc w:val="center"/>
              <w:rPr>
                <w:color w:val="000000" w:themeColor="text1"/>
                <w:sz w:val="21"/>
                <w:szCs w:val="21"/>
              </w:rPr>
            </w:pPr>
            <w:r>
              <w:rPr>
                <w:rFonts w:hint="eastAsia"/>
                <w:color w:val="000000" w:themeColor="text1"/>
                <w:sz w:val="21"/>
                <w:szCs w:val="21"/>
              </w:rPr>
              <w:t>一</w:t>
            </w:r>
          </w:p>
        </w:tc>
        <w:tc>
          <w:tcPr>
            <w:tcW w:w="2175" w:type="dxa"/>
            <w:vAlign w:val="center"/>
          </w:tcPr>
          <w:p w14:paraId="5CA255E3" w14:textId="77777777" w:rsidR="005A1A44" w:rsidRDefault="0008059E">
            <w:pPr>
              <w:pStyle w:val="01"/>
              <w:adjustRightInd w:val="0"/>
              <w:snapToGrid w:val="0"/>
              <w:spacing w:before="0" w:line="240" w:lineRule="auto"/>
              <w:ind w:firstLineChars="0" w:firstLine="0"/>
              <w:jc w:val="center"/>
              <w:rPr>
                <w:color w:val="000000" w:themeColor="text1"/>
                <w:sz w:val="21"/>
                <w:szCs w:val="21"/>
              </w:rPr>
            </w:pPr>
            <w:r>
              <w:rPr>
                <w:rFonts w:hint="eastAsia"/>
                <w:color w:val="000000" w:themeColor="text1"/>
                <w:sz w:val="21"/>
                <w:szCs w:val="21"/>
              </w:rPr>
              <w:t>二</w:t>
            </w:r>
          </w:p>
        </w:tc>
        <w:tc>
          <w:tcPr>
            <w:tcW w:w="2139" w:type="dxa"/>
            <w:tcBorders>
              <w:right w:val="single" w:sz="4" w:space="0" w:color="auto"/>
            </w:tcBorders>
            <w:vAlign w:val="center"/>
          </w:tcPr>
          <w:p w14:paraId="5AC5BB7B" w14:textId="77777777" w:rsidR="005A1A44" w:rsidRDefault="0008059E">
            <w:pPr>
              <w:pStyle w:val="01"/>
              <w:adjustRightInd w:val="0"/>
              <w:snapToGrid w:val="0"/>
              <w:spacing w:before="0" w:line="240" w:lineRule="auto"/>
              <w:ind w:firstLineChars="0" w:firstLine="0"/>
              <w:jc w:val="center"/>
              <w:rPr>
                <w:color w:val="000000" w:themeColor="text1"/>
                <w:sz w:val="21"/>
                <w:szCs w:val="21"/>
              </w:rPr>
            </w:pPr>
            <w:r>
              <w:rPr>
                <w:rFonts w:hint="eastAsia"/>
                <w:color w:val="000000" w:themeColor="text1"/>
                <w:sz w:val="21"/>
                <w:szCs w:val="21"/>
              </w:rPr>
              <w:t>三</w:t>
            </w:r>
          </w:p>
        </w:tc>
      </w:tr>
      <w:tr w:rsidR="005A1A44" w14:paraId="418E6F64" w14:textId="77777777">
        <w:trPr>
          <w:jc w:val="center"/>
        </w:trPr>
        <w:tc>
          <w:tcPr>
            <w:tcW w:w="2572" w:type="dxa"/>
            <w:tcBorders>
              <w:left w:val="single" w:sz="4" w:space="0" w:color="auto"/>
            </w:tcBorders>
            <w:shd w:val="clear" w:color="auto" w:fill="auto"/>
            <w:vAlign w:val="center"/>
          </w:tcPr>
          <w:p w14:paraId="627F3EB1" w14:textId="77777777" w:rsidR="005A1A44" w:rsidRDefault="0008059E">
            <w:pPr>
              <w:pStyle w:val="01"/>
              <w:adjustRightInd w:val="0"/>
              <w:snapToGrid w:val="0"/>
              <w:spacing w:before="0" w:line="240" w:lineRule="auto"/>
              <w:ind w:firstLineChars="0" w:firstLine="0"/>
              <w:jc w:val="center"/>
              <w:rPr>
                <w:color w:val="000000" w:themeColor="text1"/>
                <w:sz w:val="21"/>
                <w:szCs w:val="21"/>
              </w:rPr>
            </w:pPr>
            <w:r>
              <w:rPr>
                <w:rFonts w:hint="eastAsia"/>
                <w:color w:val="000000" w:themeColor="text1"/>
                <w:sz w:val="21"/>
                <w:szCs w:val="21"/>
              </w:rPr>
              <w:t>不敏感</w:t>
            </w:r>
          </w:p>
        </w:tc>
        <w:tc>
          <w:tcPr>
            <w:tcW w:w="2174" w:type="dxa"/>
            <w:shd w:val="clear" w:color="auto" w:fill="auto"/>
            <w:vAlign w:val="center"/>
          </w:tcPr>
          <w:p w14:paraId="4694EDEF" w14:textId="77777777" w:rsidR="005A1A44" w:rsidRDefault="0008059E">
            <w:pPr>
              <w:pStyle w:val="01"/>
              <w:adjustRightInd w:val="0"/>
              <w:snapToGrid w:val="0"/>
              <w:spacing w:before="0" w:line="240" w:lineRule="auto"/>
              <w:ind w:firstLineChars="0" w:firstLine="0"/>
              <w:jc w:val="center"/>
              <w:rPr>
                <w:color w:val="000000" w:themeColor="text1"/>
                <w:sz w:val="21"/>
                <w:szCs w:val="21"/>
              </w:rPr>
            </w:pPr>
            <w:r>
              <w:rPr>
                <w:rFonts w:hint="eastAsia"/>
                <w:color w:val="000000" w:themeColor="text1"/>
                <w:sz w:val="21"/>
                <w:szCs w:val="21"/>
              </w:rPr>
              <w:t>二</w:t>
            </w:r>
          </w:p>
        </w:tc>
        <w:tc>
          <w:tcPr>
            <w:tcW w:w="2175" w:type="dxa"/>
            <w:shd w:val="clear" w:color="auto" w:fill="auto"/>
            <w:vAlign w:val="center"/>
          </w:tcPr>
          <w:p w14:paraId="5A78B74C" w14:textId="77777777" w:rsidR="005A1A44" w:rsidRDefault="0008059E">
            <w:pPr>
              <w:pStyle w:val="01"/>
              <w:adjustRightInd w:val="0"/>
              <w:snapToGrid w:val="0"/>
              <w:spacing w:before="0" w:line="240" w:lineRule="auto"/>
              <w:ind w:firstLineChars="0" w:firstLine="0"/>
              <w:jc w:val="center"/>
              <w:rPr>
                <w:color w:val="000000" w:themeColor="text1"/>
                <w:sz w:val="21"/>
                <w:szCs w:val="21"/>
              </w:rPr>
            </w:pPr>
            <w:r>
              <w:rPr>
                <w:rFonts w:hint="eastAsia"/>
                <w:color w:val="000000" w:themeColor="text1"/>
                <w:sz w:val="21"/>
                <w:szCs w:val="21"/>
              </w:rPr>
              <w:t>三</w:t>
            </w:r>
          </w:p>
        </w:tc>
        <w:tc>
          <w:tcPr>
            <w:tcW w:w="2139" w:type="dxa"/>
            <w:tcBorders>
              <w:right w:val="single" w:sz="4" w:space="0" w:color="auto"/>
            </w:tcBorders>
            <w:shd w:val="clear" w:color="auto" w:fill="7F7F7F"/>
            <w:vAlign w:val="center"/>
          </w:tcPr>
          <w:p w14:paraId="641CD7C4" w14:textId="77777777" w:rsidR="005A1A44" w:rsidRDefault="0008059E">
            <w:pPr>
              <w:pStyle w:val="01"/>
              <w:adjustRightInd w:val="0"/>
              <w:snapToGrid w:val="0"/>
              <w:spacing w:before="0" w:line="240" w:lineRule="auto"/>
              <w:ind w:firstLineChars="0" w:firstLine="0"/>
              <w:jc w:val="center"/>
              <w:rPr>
                <w:color w:val="000000" w:themeColor="text1"/>
                <w:sz w:val="21"/>
                <w:szCs w:val="21"/>
              </w:rPr>
            </w:pPr>
            <w:r>
              <w:rPr>
                <w:rFonts w:hint="eastAsia"/>
                <w:color w:val="000000" w:themeColor="text1"/>
                <w:sz w:val="21"/>
                <w:szCs w:val="21"/>
              </w:rPr>
              <w:t>三</w:t>
            </w:r>
          </w:p>
        </w:tc>
      </w:tr>
    </w:tbl>
    <w:p w14:paraId="10542C78" w14:textId="77777777" w:rsidR="005A1A44" w:rsidRDefault="0008059E">
      <w:pPr>
        <w:ind w:firstLine="480"/>
      </w:pPr>
      <w:r>
        <w:rPr>
          <w:rFonts w:hint="eastAsia"/>
        </w:rPr>
        <w:t>（</w:t>
      </w:r>
      <w:r>
        <w:rPr>
          <w:rFonts w:hint="eastAsia"/>
        </w:rPr>
        <w:t>5</w:t>
      </w:r>
      <w:r>
        <w:rPr>
          <w:rFonts w:hint="eastAsia"/>
        </w:rPr>
        <w:t>）大气环境</w:t>
      </w:r>
    </w:p>
    <w:p w14:paraId="083AA29B" w14:textId="77777777" w:rsidR="005A1A44" w:rsidRDefault="0008059E">
      <w:pPr>
        <w:ind w:firstLine="480"/>
      </w:pPr>
      <w:r>
        <w:t>根据</w:t>
      </w:r>
      <w:r>
        <w:rPr>
          <w:rFonts w:hint="eastAsia"/>
        </w:rPr>
        <w:t>本</w:t>
      </w:r>
      <w:r>
        <w:t>工程特点</w:t>
      </w:r>
      <w:r>
        <w:rPr>
          <w:rFonts w:hint="eastAsia"/>
        </w:rPr>
        <w:t>，施工期的扬尘对周边大气环境影响较大，但项目施工期有限，在采取了相关合适的防护措施后可极大降低其影响。项目运营期基本无废气产生，偶尔有一些市政车辆，但影响绩效，因此，对于本项目的大气环境影响评价工作等级确定为三级。</w:t>
      </w:r>
    </w:p>
    <w:p w14:paraId="4C7CD1D3" w14:textId="77777777" w:rsidR="005A1A44" w:rsidRDefault="0008059E">
      <w:pPr>
        <w:ind w:firstLine="480"/>
      </w:pPr>
      <w:r>
        <w:rPr>
          <w:rFonts w:hint="eastAsia"/>
        </w:rPr>
        <w:t>（</w:t>
      </w:r>
      <w:r>
        <w:rPr>
          <w:rFonts w:hint="eastAsia"/>
        </w:rPr>
        <w:t>5</w:t>
      </w:r>
      <w:r>
        <w:rPr>
          <w:rFonts w:hint="eastAsia"/>
        </w:rPr>
        <w:t>）环境风险</w:t>
      </w:r>
    </w:p>
    <w:p w14:paraId="6B8A6A5C" w14:textId="77777777" w:rsidR="005A1A44" w:rsidRDefault="0008059E">
      <w:pPr>
        <w:ind w:firstLine="480"/>
      </w:pPr>
      <w:r>
        <w:rPr>
          <w:rFonts w:hint="eastAsia"/>
        </w:rPr>
        <w:lastRenderedPageBreak/>
        <w:t>项目生产过程涉及的风险物质为柴（汽）油，主要为柴油存储和运输的风险。项目区柴（汽）油总用量为</w:t>
      </w:r>
      <w:r>
        <w:rPr>
          <w:rFonts w:hint="eastAsia"/>
        </w:rPr>
        <w:t>551.88</w:t>
      </w:r>
      <w:r>
        <w:rPr>
          <w:rFonts w:hint="eastAsia"/>
        </w:rPr>
        <w:t>。根据</w:t>
      </w:r>
      <w:r>
        <w:t>《危险化学品重大危险源辨识》（</w:t>
      </w:r>
      <w:r>
        <w:t>GB18218-2014</w:t>
      </w:r>
      <w:r>
        <w:t>）表</w:t>
      </w:r>
      <w:r>
        <w:t>2</w:t>
      </w:r>
      <w:r>
        <w:t>，柴油属于</w:t>
      </w:r>
      <w:r>
        <w:rPr>
          <w:rFonts w:hint="eastAsia"/>
        </w:rPr>
        <w:t>“</w:t>
      </w:r>
      <w:r>
        <w:t>易燃液体：</w:t>
      </w:r>
      <w:r>
        <w:t>23</w:t>
      </w:r>
      <w:r>
        <w:rPr>
          <w:rFonts w:hint="eastAsia"/>
        </w:rPr>
        <w:t>℃</w:t>
      </w:r>
      <w:r>
        <w:t>≤</w:t>
      </w:r>
      <w:r>
        <w:t>闪点＜</w:t>
      </w:r>
      <w:r>
        <w:t>61</w:t>
      </w:r>
      <w:r>
        <w:rPr>
          <w:rFonts w:hint="eastAsia"/>
        </w:rPr>
        <w:t>℃</w:t>
      </w:r>
      <w:r>
        <w:t>的液体</w:t>
      </w:r>
      <w:r>
        <w:rPr>
          <w:rFonts w:hint="eastAsia"/>
        </w:rPr>
        <w:t>”</w:t>
      </w:r>
      <w:r>
        <w:t>，临界量为</w:t>
      </w:r>
      <w:r>
        <w:rPr>
          <w:rFonts w:hint="eastAsia"/>
        </w:rPr>
        <w:t>2500</w:t>
      </w:r>
      <w:r>
        <w:t>t</w:t>
      </w:r>
      <w:r>
        <w:rPr>
          <w:rFonts w:hint="eastAsia"/>
        </w:rPr>
        <w:t>。但本项目不设置柴（汽）油储存设施，施工机械均在加油站加油，因此不存在柴（汽）油储存和运输的环境风险</w:t>
      </w:r>
      <w:r>
        <w:t>。</w:t>
      </w:r>
    </w:p>
    <w:p w14:paraId="381F3C0A" w14:textId="77777777" w:rsidR="005A1A44" w:rsidRDefault="0008059E">
      <w:pPr>
        <w:ind w:firstLine="480"/>
        <w:rPr>
          <w:color w:val="000000"/>
          <w:kern w:val="0"/>
        </w:rPr>
      </w:pPr>
      <w:r>
        <w:t>综上，本</w:t>
      </w:r>
      <w:r>
        <w:rPr>
          <w:color w:val="000000"/>
          <w:kern w:val="0"/>
        </w:rPr>
        <w:t>项目评价工作等级如下：</w:t>
      </w:r>
    </w:p>
    <w:p w14:paraId="214F25C6"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t>表2.5-6  评价工作等级划分</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1195"/>
        <w:gridCol w:w="1233"/>
        <w:gridCol w:w="1234"/>
        <w:gridCol w:w="1313"/>
        <w:gridCol w:w="1168"/>
        <w:gridCol w:w="1168"/>
      </w:tblGrid>
      <w:tr w:rsidR="005A1A44" w14:paraId="0A476F45" w14:textId="77777777">
        <w:trPr>
          <w:trHeight w:val="340"/>
          <w:jc w:val="center"/>
        </w:trPr>
        <w:tc>
          <w:tcPr>
            <w:tcW w:w="1535" w:type="dxa"/>
            <w:vAlign w:val="center"/>
          </w:tcPr>
          <w:p w14:paraId="7468E41C" w14:textId="77777777" w:rsidR="005A1A44" w:rsidRDefault="0008059E">
            <w:pPr>
              <w:adjustRightInd w:val="0"/>
              <w:snapToGrid w:val="0"/>
              <w:spacing w:line="240" w:lineRule="auto"/>
              <w:ind w:firstLineChars="0" w:firstLine="0"/>
              <w:jc w:val="center"/>
              <w:rPr>
                <w:bCs/>
                <w:color w:val="000000"/>
                <w:kern w:val="0"/>
                <w:sz w:val="21"/>
                <w:szCs w:val="21"/>
              </w:rPr>
            </w:pPr>
            <w:r>
              <w:rPr>
                <w:bCs/>
                <w:color w:val="000000"/>
                <w:kern w:val="0"/>
                <w:sz w:val="21"/>
                <w:szCs w:val="21"/>
              </w:rPr>
              <w:t>环境因素</w:t>
            </w:r>
          </w:p>
        </w:tc>
        <w:tc>
          <w:tcPr>
            <w:tcW w:w="1195" w:type="dxa"/>
            <w:vAlign w:val="center"/>
          </w:tcPr>
          <w:p w14:paraId="7703F570" w14:textId="77777777" w:rsidR="005A1A44" w:rsidRDefault="0008059E">
            <w:pPr>
              <w:adjustRightInd w:val="0"/>
              <w:snapToGrid w:val="0"/>
              <w:spacing w:line="240" w:lineRule="auto"/>
              <w:ind w:firstLineChars="0" w:firstLine="0"/>
              <w:jc w:val="center"/>
              <w:rPr>
                <w:bCs/>
                <w:color w:val="000000"/>
                <w:kern w:val="0"/>
                <w:sz w:val="21"/>
                <w:szCs w:val="21"/>
              </w:rPr>
            </w:pPr>
            <w:r>
              <w:rPr>
                <w:bCs/>
                <w:color w:val="000000"/>
                <w:kern w:val="0"/>
                <w:sz w:val="21"/>
                <w:szCs w:val="21"/>
              </w:rPr>
              <w:t>地表水环境</w:t>
            </w:r>
          </w:p>
        </w:tc>
        <w:tc>
          <w:tcPr>
            <w:tcW w:w="1233" w:type="dxa"/>
            <w:vAlign w:val="center"/>
          </w:tcPr>
          <w:p w14:paraId="6DEBBFD9" w14:textId="77777777" w:rsidR="005A1A44" w:rsidRDefault="0008059E">
            <w:pPr>
              <w:adjustRightInd w:val="0"/>
              <w:snapToGrid w:val="0"/>
              <w:spacing w:line="240" w:lineRule="auto"/>
              <w:ind w:firstLineChars="0" w:firstLine="0"/>
              <w:jc w:val="center"/>
              <w:rPr>
                <w:bCs/>
                <w:color w:val="000000"/>
                <w:kern w:val="0"/>
                <w:sz w:val="21"/>
                <w:szCs w:val="21"/>
              </w:rPr>
            </w:pPr>
            <w:r>
              <w:rPr>
                <w:bCs/>
                <w:color w:val="000000"/>
                <w:kern w:val="0"/>
                <w:sz w:val="21"/>
                <w:szCs w:val="21"/>
              </w:rPr>
              <w:t>大气环境</w:t>
            </w:r>
          </w:p>
        </w:tc>
        <w:tc>
          <w:tcPr>
            <w:tcW w:w="1234" w:type="dxa"/>
            <w:vAlign w:val="center"/>
          </w:tcPr>
          <w:p w14:paraId="082BD2E9" w14:textId="77777777" w:rsidR="005A1A44" w:rsidRDefault="0008059E">
            <w:pPr>
              <w:adjustRightInd w:val="0"/>
              <w:snapToGrid w:val="0"/>
              <w:spacing w:line="240" w:lineRule="auto"/>
              <w:ind w:firstLineChars="0" w:firstLine="0"/>
              <w:jc w:val="center"/>
              <w:rPr>
                <w:bCs/>
                <w:color w:val="000000"/>
                <w:kern w:val="0"/>
                <w:sz w:val="21"/>
                <w:szCs w:val="21"/>
              </w:rPr>
            </w:pPr>
            <w:r>
              <w:rPr>
                <w:bCs/>
                <w:color w:val="000000"/>
                <w:kern w:val="0"/>
                <w:sz w:val="21"/>
                <w:szCs w:val="21"/>
              </w:rPr>
              <w:t>声环境</w:t>
            </w:r>
          </w:p>
        </w:tc>
        <w:tc>
          <w:tcPr>
            <w:tcW w:w="1313" w:type="dxa"/>
            <w:vAlign w:val="center"/>
          </w:tcPr>
          <w:p w14:paraId="1446D77D" w14:textId="77777777" w:rsidR="005A1A44" w:rsidRDefault="0008059E">
            <w:pPr>
              <w:adjustRightInd w:val="0"/>
              <w:snapToGrid w:val="0"/>
              <w:spacing w:line="240" w:lineRule="auto"/>
              <w:ind w:firstLineChars="0" w:firstLine="0"/>
              <w:jc w:val="center"/>
              <w:rPr>
                <w:bCs/>
                <w:color w:val="000000"/>
                <w:kern w:val="0"/>
                <w:sz w:val="21"/>
                <w:szCs w:val="21"/>
              </w:rPr>
            </w:pPr>
            <w:r>
              <w:rPr>
                <w:bCs/>
                <w:color w:val="000000"/>
                <w:kern w:val="0"/>
                <w:sz w:val="21"/>
                <w:szCs w:val="21"/>
              </w:rPr>
              <w:t>生态环境</w:t>
            </w:r>
          </w:p>
        </w:tc>
        <w:tc>
          <w:tcPr>
            <w:tcW w:w="1168" w:type="dxa"/>
            <w:vAlign w:val="center"/>
          </w:tcPr>
          <w:p w14:paraId="7CC59BA4" w14:textId="77777777" w:rsidR="005A1A44" w:rsidRDefault="0008059E">
            <w:pPr>
              <w:adjustRightInd w:val="0"/>
              <w:snapToGrid w:val="0"/>
              <w:spacing w:line="240" w:lineRule="auto"/>
              <w:ind w:firstLineChars="0" w:firstLine="0"/>
              <w:jc w:val="center"/>
              <w:rPr>
                <w:bCs/>
                <w:color w:val="000000"/>
                <w:kern w:val="0"/>
                <w:sz w:val="21"/>
                <w:szCs w:val="21"/>
              </w:rPr>
            </w:pPr>
            <w:r>
              <w:rPr>
                <w:bCs/>
                <w:color w:val="000000"/>
                <w:kern w:val="0"/>
                <w:sz w:val="21"/>
                <w:szCs w:val="21"/>
              </w:rPr>
              <w:t>地下水</w:t>
            </w:r>
          </w:p>
        </w:tc>
        <w:tc>
          <w:tcPr>
            <w:tcW w:w="1168" w:type="dxa"/>
            <w:vAlign w:val="center"/>
          </w:tcPr>
          <w:p w14:paraId="43F0DC7D" w14:textId="77777777" w:rsidR="005A1A44" w:rsidRDefault="0008059E">
            <w:pPr>
              <w:adjustRightInd w:val="0"/>
              <w:snapToGrid w:val="0"/>
              <w:spacing w:line="240" w:lineRule="auto"/>
              <w:ind w:firstLineChars="0" w:firstLine="0"/>
              <w:jc w:val="center"/>
              <w:rPr>
                <w:bCs/>
                <w:color w:val="000000"/>
                <w:kern w:val="0"/>
                <w:sz w:val="21"/>
                <w:szCs w:val="21"/>
              </w:rPr>
            </w:pPr>
            <w:r>
              <w:rPr>
                <w:rFonts w:hint="eastAsia"/>
                <w:bCs/>
                <w:color w:val="000000"/>
                <w:kern w:val="0"/>
                <w:sz w:val="21"/>
                <w:szCs w:val="21"/>
              </w:rPr>
              <w:t>环境风险</w:t>
            </w:r>
          </w:p>
        </w:tc>
      </w:tr>
      <w:tr w:rsidR="005A1A44" w14:paraId="6140B89E" w14:textId="77777777">
        <w:trPr>
          <w:trHeight w:val="340"/>
          <w:jc w:val="center"/>
        </w:trPr>
        <w:tc>
          <w:tcPr>
            <w:tcW w:w="1535" w:type="dxa"/>
            <w:vAlign w:val="center"/>
          </w:tcPr>
          <w:p w14:paraId="718464F5" w14:textId="77777777" w:rsidR="005A1A44" w:rsidRDefault="0008059E">
            <w:pPr>
              <w:adjustRightInd w:val="0"/>
              <w:snapToGrid w:val="0"/>
              <w:spacing w:line="240" w:lineRule="auto"/>
              <w:ind w:firstLineChars="0" w:firstLine="0"/>
              <w:jc w:val="center"/>
              <w:rPr>
                <w:bCs/>
                <w:color w:val="000000"/>
                <w:kern w:val="0"/>
                <w:sz w:val="21"/>
                <w:szCs w:val="21"/>
              </w:rPr>
            </w:pPr>
            <w:r>
              <w:rPr>
                <w:bCs/>
                <w:color w:val="000000"/>
                <w:kern w:val="0"/>
                <w:sz w:val="21"/>
                <w:szCs w:val="21"/>
              </w:rPr>
              <w:t>评价工作等级</w:t>
            </w:r>
          </w:p>
        </w:tc>
        <w:tc>
          <w:tcPr>
            <w:tcW w:w="1195" w:type="dxa"/>
            <w:vAlign w:val="center"/>
          </w:tcPr>
          <w:p w14:paraId="7F22025C" w14:textId="77777777" w:rsidR="005A1A44" w:rsidRDefault="0008059E">
            <w:pPr>
              <w:adjustRightInd w:val="0"/>
              <w:snapToGrid w:val="0"/>
              <w:spacing w:line="240" w:lineRule="auto"/>
              <w:ind w:firstLineChars="0" w:firstLine="0"/>
              <w:jc w:val="center"/>
              <w:rPr>
                <w:bCs/>
                <w:color w:val="000000"/>
                <w:kern w:val="0"/>
                <w:sz w:val="21"/>
                <w:szCs w:val="21"/>
              </w:rPr>
            </w:pPr>
            <w:r>
              <w:rPr>
                <w:bCs/>
                <w:color w:val="000000"/>
                <w:kern w:val="0"/>
                <w:sz w:val="21"/>
                <w:szCs w:val="21"/>
              </w:rPr>
              <w:t>三级</w:t>
            </w:r>
            <w:r>
              <w:rPr>
                <w:rFonts w:hint="eastAsia"/>
                <w:bCs/>
                <w:color w:val="000000"/>
                <w:kern w:val="0"/>
                <w:sz w:val="21"/>
                <w:szCs w:val="21"/>
              </w:rPr>
              <w:t>B</w:t>
            </w:r>
          </w:p>
        </w:tc>
        <w:tc>
          <w:tcPr>
            <w:tcW w:w="1233" w:type="dxa"/>
            <w:vAlign w:val="center"/>
          </w:tcPr>
          <w:p w14:paraId="56C19143" w14:textId="77777777" w:rsidR="005A1A44" w:rsidRDefault="0008059E">
            <w:pPr>
              <w:adjustRightInd w:val="0"/>
              <w:snapToGrid w:val="0"/>
              <w:spacing w:line="240" w:lineRule="auto"/>
              <w:ind w:firstLineChars="0" w:firstLine="0"/>
              <w:jc w:val="center"/>
              <w:rPr>
                <w:bCs/>
                <w:color w:val="000000"/>
                <w:kern w:val="0"/>
                <w:sz w:val="21"/>
                <w:szCs w:val="21"/>
              </w:rPr>
            </w:pPr>
            <w:r>
              <w:rPr>
                <w:rFonts w:hint="eastAsia"/>
                <w:bCs/>
                <w:color w:val="000000"/>
                <w:kern w:val="0"/>
                <w:sz w:val="21"/>
                <w:szCs w:val="21"/>
              </w:rPr>
              <w:t>三</w:t>
            </w:r>
            <w:r>
              <w:rPr>
                <w:bCs/>
                <w:color w:val="000000"/>
                <w:kern w:val="0"/>
                <w:sz w:val="21"/>
                <w:szCs w:val="21"/>
              </w:rPr>
              <w:t>级</w:t>
            </w:r>
          </w:p>
        </w:tc>
        <w:tc>
          <w:tcPr>
            <w:tcW w:w="1234" w:type="dxa"/>
            <w:vAlign w:val="center"/>
          </w:tcPr>
          <w:p w14:paraId="5AEE8B55" w14:textId="77777777" w:rsidR="005A1A44" w:rsidRDefault="0008059E">
            <w:pPr>
              <w:adjustRightInd w:val="0"/>
              <w:snapToGrid w:val="0"/>
              <w:spacing w:line="240" w:lineRule="auto"/>
              <w:ind w:firstLineChars="0" w:firstLine="0"/>
              <w:jc w:val="center"/>
              <w:rPr>
                <w:bCs/>
                <w:color w:val="000000"/>
                <w:kern w:val="0"/>
                <w:sz w:val="21"/>
                <w:szCs w:val="21"/>
              </w:rPr>
            </w:pPr>
            <w:r>
              <w:rPr>
                <w:rFonts w:hint="eastAsia"/>
                <w:bCs/>
                <w:color w:val="000000"/>
                <w:kern w:val="0"/>
                <w:sz w:val="21"/>
                <w:szCs w:val="21"/>
              </w:rPr>
              <w:t>二</w:t>
            </w:r>
            <w:r>
              <w:rPr>
                <w:bCs/>
                <w:color w:val="000000"/>
                <w:kern w:val="0"/>
                <w:sz w:val="21"/>
                <w:szCs w:val="21"/>
              </w:rPr>
              <w:t>级</w:t>
            </w:r>
          </w:p>
        </w:tc>
        <w:tc>
          <w:tcPr>
            <w:tcW w:w="1313" w:type="dxa"/>
            <w:vAlign w:val="center"/>
          </w:tcPr>
          <w:p w14:paraId="0C642D79" w14:textId="77777777" w:rsidR="005A1A44" w:rsidRDefault="0008059E">
            <w:pPr>
              <w:adjustRightInd w:val="0"/>
              <w:snapToGrid w:val="0"/>
              <w:spacing w:line="240" w:lineRule="auto"/>
              <w:ind w:firstLineChars="0" w:firstLine="0"/>
              <w:jc w:val="center"/>
              <w:rPr>
                <w:bCs/>
                <w:color w:val="000000"/>
                <w:kern w:val="0"/>
                <w:sz w:val="21"/>
                <w:szCs w:val="21"/>
              </w:rPr>
            </w:pPr>
            <w:r>
              <w:rPr>
                <w:bCs/>
                <w:color w:val="000000"/>
                <w:kern w:val="0"/>
                <w:sz w:val="21"/>
                <w:szCs w:val="21"/>
              </w:rPr>
              <w:t>三级</w:t>
            </w:r>
          </w:p>
        </w:tc>
        <w:tc>
          <w:tcPr>
            <w:tcW w:w="1168" w:type="dxa"/>
            <w:vAlign w:val="center"/>
          </w:tcPr>
          <w:p w14:paraId="7A313C84" w14:textId="77777777" w:rsidR="005A1A44" w:rsidRDefault="0008059E">
            <w:pPr>
              <w:adjustRightInd w:val="0"/>
              <w:snapToGrid w:val="0"/>
              <w:spacing w:line="240" w:lineRule="auto"/>
              <w:ind w:firstLineChars="0" w:firstLine="0"/>
              <w:jc w:val="center"/>
              <w:rPr>
                <w:bCs/>
                <w:color w:val="000000"/>
                <w:kern w:val="0"/>
                <w:sz w:val="21"/>
                <w:szCs w:val="21"/>
              </w:rPr>
            </w:pPr>
            <w:r>
              <w:rPr>
                <w:rFonts w:hint="eastAsia"/>
                <w:bCs/>
                <w:color w:val="000000"/>
                <w:kern w:val="0"/>
                <w:sz w:val="21"/>
                <w:szCs w:val="21"/>
              </w:rPr>
              <w:t>三级</w:t>
            </w:r>
          </w:p>
        </w:tc>
        <w:tc>
          <w:tcPr>
            <w:tcW w:w="1168" w:type="dxa"/>
            <w:vAlign w:val="center"/>
          </w:tcPr>
          <w:p w14:paraId="4DEB91AF" w14:textId="77777777" w:rsidR="005A1A44" w:rsidRDefault="0008059E">
            <w:pPr>
              <w:adjustRightInd w:val="0"/>
              <w:snapToGrid w:val="0"/>
              <w:spacing w:line="240" w:lineRule="auto"/>
              <w:ind w:firstLineChars="0" w:firstLine="0"/>
              <w:jc w:val="center"/>
              <w:rPr>
                <w:bCs/>
                <w:color w:val="000000"/>
                <w:kern w:val="0"/>
                <w:sz w:val="21"/>
                <w:szCs w:val="21"/>
              </w:rPr>
            </w:pPr>
            <w:r>
              <w:rPr>
                <w:rFonts w:hint="eastAsia"/>
                <w:bCs/>
                <w:color w:val="000000"/>
                <w:kern w:val="0"/>
                <w:sz w:val="21"/>
                <w:szCs w:val="21"/>
              </w:rPr>
              <w:t>无</w:t>
            </w:r>
          </w:p>
        </w:tc>
      </w:tr>
    </w:tbl>
    <w:p w14:paraId="0AF781A2" w14:textId="77777777" w:rsidR="005A1A44" w:rsidRDefault="005A1A44">
      <w:pPr>
        <w:ind w:firstLine="480"/>
      </w:pPr>
    </w:p>
    <w:p w14:paraId="5434DD78" w14:textId="77777777" w:rsidR="005A1A44" w:rsidRDefault="0008059E">
      <w:pPr>
        <w:pStyle w:val="3"/>
        <w:numPr>
          <w:ilvl w:val="2"/>
          <w:numId w:val="2"/>
        </w:numPr>
      </w:pPr>
      <w:r>
        <w:rPr>
          <w:rFonts w:hint="eastAsia"/>
        </w:rPr>
        <w:t xml:space="preserve"> </w:t>
      </w:r>
      <w:r>
        <w:rPr>
          <w:rFonts w:hint="eastAsia"/>
        </w:rPr>
        <w:t>评价范围</w:t>
      </w:r>
    </w:p>
    <w:p w14:paraId="0B213896" w14:textId="77777777" w:rsidR="005A1A44" w:rsidRDefault="0008059E">
      <w:pPr>
        <w:ind w:firstLine="480"/>
        <w:jc w:val="left"/>
        <w:rPr>
          <w:color w:val="000000"/>
          <w:kern w:val="0"/>
        </w:rPr>
      </w:pPr>
      <w:r>
        <w:rPr>
          <w:rFonts w:hint="eastAsia"/>
          <w:color w:val="000000"/>
          <w:kern w:val="0"/>
        </w:rPr>
        <w:t>根据各环境因素的评价等级及导则要求，确定本项目的环境影响评价范围如下：</w:t>
      </w:r>
    </w:p>
    <w:p w14:paraId="14848CDD" w14:textId="77777777" w:rsidR="005A1A44" w:rsidRDefault="0008059E">
      <w:pPr>
        <w:ind w:firstLine="480"/>
        <w:jc w:val="left"/>
        <w:rPr>
          <w:color w:val="FF0000"/>
          <w:highlight w:val="yellow"/>
        </w:rPr>
      </w:pPr>
      <w:r>
        <w:rPr>
          <w:rFonts w:hint="eastAsia"/>
          <w:color w:val="000000"/>
          <w:kern w:val="0"/>
        </w:rPr>
        <w:t>（</w:t>
      </w:r>
      <w:r>
        <w:rPr>
          <w:rFonts w:hint="eastAsia"/>
          <w:color w:val="000000"/>
          <w:kern w:val="0"/>
        </w:rPr>
        <w:t>1</w:t>
      </w:r>
      <w:r>
        <w:rPr>
          <w:rFonts w:hint="eastAsia"/>
          <w:color w:val="000000"/>
          <w:kern w:val="0"/>
        </w:rPr>
        <w:t>）生态环境：本项目治理河段红线范围向外扩</w:t>
      </w:r>
      <w:r>
        <w:rPr>
          <w:rFonts w:hint="eastAsia"/>
          <w:color w:val="000000"/>
          <w:kern w:val="0"/>
        </w:rPr>
        <w:t>500m</w:t>
      </w:r>
      <w:r>
        <w:rPr>
          <w:rFonts w:hint="eastAsia"/>
          <w:color w:val="000000"/>
          <w:kern w:val="0"/>
        </w:rPr>
        <w:t>的范围</w:t>
      </w:r>
      <w:r>
        <w:rPr>
          <w:rFonts w:hint="eastAsia"/>
          <w:color w:val="FF0000"/>
          <w:kern w:val="0"/>
        </w:rPr>
        <w:t>。</w:t>
      </w:r>
    </w:p>
    <w:p w14:paraId="3C1CC0DE" w14:textId="77777777" w:rsidR="005A1A44" w:rsidRDefault="0008059E">
      <w:pPr>
        <w:ind w:firstLine="480"/>
        <w:jc w:val="left"/>
        <w:rPr>
          <w:color w:val="000000"/>
          <w:kern w:val="0"/>
        </w:rPr>
      </w:pPr>
      <w:r>
        <w:rPr>
          <w:rFonts w:hint="eastAsia"/>
          <w:color w:val="000000"/>
          <w:kern w:val="0"/>
        </w:rPr>
        <w:t>（</w:t>
      </w:r>
      <w:r>
        <w:rPr>
          <w:rFonts w:hint="eastAsia"/>
          <w:color w:val="000000"/>
          <w:kern w:val="0"/>
        </w:rPr>
        <w:t>2</w:t>
      </w:r>
      <w:r>
        <w:rPr>
          <w:rFonts w:hint="eastAsia"/>
          <w:color w:val="000000"/>
          <w:kern w:val="0"/>
        </w:rPr>
        <w:t>）地表水环境：</w:t>
      </w:r>
      <w:r>
        <w:rPr>
          <w:color w:val="000000"/>
          <w:kern w:val="0"/>
        </w:rPr>
        <w:t>地表水评价范围为</w:t>
      </w:r>
      <w:r>
        <w:rPr>
          <w:rFonts w:hint="eastAsia"/>
          <w:color w:val="000000"/>
          <w:kern w:val="0"/>
        </w:rPr>
        <w:t>玉龙喀什</w:t>
      </w:r>
      <w:r>
        <w:rPr>
          <w:color w:val="000000"/>
          <w:kern w:val="0"/>
        </w:rPr>
        <w:t>河治理</w:t>
      </w:r>
      <w:r>
        <w:rPr>
          <w:rFonts w:hint="eastAsia"/>
          <w:color w:val="000000"/>
          <w:kern w:val="0"/>
        </w:rPr>
        <w:t>段向上游延伸</w:t>
      </w:r>
      <w:r>
        <w:rPr>
          <w:rFonts w:hint="eastAsia"/>
          <w:color w:val="000000"/>
          <w:kern w:val="0"/>
        </w:rPr>
        <w:t>500m</w:t>
      </w:r>
      <w:r>
        <w:rPr>
          <w:rFonts w:hint="eastAsia"/>
          <w:color w:val="000000"/>
          <w:kern w:val="0"/>
        </w:rPr>
        <w:t>，下游延伸</w:t>
      </w:r>
      <w:r>
        <w:rPr>
          <w:rFonts w:hint="eastAsia"/>
          <w:color w:val="000000"/>
          <w:kern w:val="0"/>
        </w:rPr>
        <w:t>1000m</w:t>
      </w:r>
      <w:r>
        <w:rPr>
          <w:rFonts w:hint="eastAsia"/>
          <w:color w:val="000000"/>
          <w:kern w:val="0"/>
        </w:rPr>
        <w:t>的玉龙喀什河道</w:t>
      </w:r>
      <w:r>
        <w:rPr>
          <w:rFonts w:hint="eastAsia"/>
          <w:kern w:val="0"/>
        </w:rPr>
        <w:t>。</w:t>
      </w:r>
    </w:p>
    <w:p w14:paraId="361FE289" w14:textId="77777777" w:rsidR="005A1A44" w:rsidRDefault="0008059E">
      <w:pPr>
        <w:ind w:firstLine="480"/>
        <w:jc w:val="left"/>
        <w:rPr>
          <w:color w:val="000000"/>
          <w:kern w:val="0"/>
        </w:rPr>
      </w:pPr>
      <w:r>
        <w:rPr>
          <w:rFonts w:hint="eastAsia"/>
          <w:color w:val="000000"/>
          <w:kern w:val="0"/>
        </w:rPr>
        <w:t>（</w:t>
      </w:r>
      <w:r>
        <w:rPr>
          <w:rFonts w:hint="eastAsia"/>
          <w:color w:val="000000"/>
          <w:kern w:val="0"/>
        </w:rPr>
        <w:t>3</w:t>
      </w:r>
      <w:r>
        <w:rPr>
          <w:rFonts w:hint="eastAsia"/>
          <w:color w:val="000000"/>
          <w:kern w:val="0"/>
        </w:rPr>
        <w:t>）地下水环境：根据《环境影响评价技术导则</w:t>
      </w:r>
      <w:r>
        <w:rPr>
          <w:rFonts w:hint="eastAsia"/>
          <w:color w:val="000000"/>
          <w:kern w:val="0"/>
        </w:rPr>
        <w:t xml:space="preserve"> </w:t>
      </w:r>
      <w:r>
        <w:rPr>
          <w:rFonts w:hint="eastAsia"/>
          <w:color w:val="000000"/>
          <w:kern w:val="0"/>
        </w:rPr>
        <w:t>地下水环境》（</w:t>
      </w:r>
      <w:r>
        <w:rPr>
          <w:rFonts w:hint="eastAsia"/>
          <w:color w:val="000000"/>
          <w:kern w:val="0"/>
        </w:rPr>
        <w:t>HJ 610-2011</w:t>
      </w:r>
      <w:r>
        <w:rPr>
          <w:rFonts w:hint="eastAsia"/>
          <w:color w:val="000000"/>
          <w:kern w:val="0"/>
        </w:rPr>
        <w:t>），本工程为线性工程，并涉及集中式饮用水水源保护区，因此</w:t>
      </w:r>
      <w:r>
        <w:rPr>
          <w:color w:val="000000"/>
          <w:kern w:val="0"/>
        </w:rPr>
        <w:t>地下水环境质量评价为拟建项目区域范围</w:t>
      </w:r>
      <w:r>
        <w:rPr>
          <w:rFonts w:hint="eastAsia"/>
          <w:color w:val="000000"/>
          <w:kern w:val="0"/>
        </w:rPr>
        <w:t>左右岸延伸</w:t>
      </w:r>
      <w:r>
        <w:rPr>
          <w:rFonts w:hint="eastAsia"/>
          <w:color w:val="000000"/>
          <w:kern w:val="0"/>
        </w:rPr>
        <w:t>200m</w:t>
      </w:r>
      <w:r>
        <w:rPr>
          <w:rFonts w:hint="eastAsia"/>
          <w:color w:val="000000"/>
          <w:kern w:val="0"/>
        </w:rPr>
        <w:t>，及所涉及的集中式饮用水水源保护区范围</w:t>
      </w:r>
      <w:r>
        <w:rPr>
          <w:color w:val="000000"/>
          <w:kern w:val="0"/>
        </w:rPr>
        <w:t>。</w:t>
      </w:r>
    </w:p>
    <w:p w14:paraId="00426C1A" w14:textId="77777777" w:rsidR="005A1A44" w:rsidRDefault="0008059E">
      <w:pPr>
        <w:ind w:firstLine="480"/>
        <w:jc w:val="left"/>
      </w:pPr>
      <w:r>
        <w:rPr>
          <w:rFonts w:hint="eastAsia"/>
          <w:color w:val="000000"/>
          <w:kern w:val="0"/>
        </w:rPr>
        <w:t>（</w:t>
      </w:r>
      <w:r>
        <w:rPr>
          <w:rFonts w:hint="eastAsia"/>
          <w:color w:val="000000"/>
          <w:kern w:val="0"/>
        </w:rPr>
        <w:t>4</w:t>
      </w:r>
      <w:r>
        <w:rPr>
          <w:rFonts w:hint="eastAsia"/>
          <w:color w:val="000000"/>
          <w:kern w:val="0"/>
        </w:rPr>
        <w:t>）空气环境</w:t>
      </w:r>
      <w:r>
        <w:rPr>
          <w:rFonts w:hint="eastAsia"/>
          <w:kern w:val="0"/>
        </w:rPr>
        <w:t>：</w:t>
      </w:r>
      <w:r>
        <w:rPr>
          <w:rFonts w:hint="eastAsia"/>
        </w:rPr>
        <w:t>大气环境评价范围为项目红线区向外扩</w:t>
      </w:r>
      <w:r>
        <w:rPr>
          <w:rFonts w:hint="eastAsia"/>
        </w:rPr>
        <w:t>500m</w:t>
      </w:r>
      <w:r>
        <w:rPr>
          <w:rFonts w:hint="eastAsia"/>
        </w:rPr>
        <w:t>的范围。</w:t>
      </w:r>
    </w:p>
    <w:p w14:paraId="0F39DC1E" w14:textId="77777777" w:rsidR="005A1A44" w:rsidRDefault="0008059E">
      <w:pPr>
        <w:ind w:firstLine="480"/>
        <w:jc w:val="left"/>
        <w:rPr>
          <w:color w:val="000000"/>
          <w:kern w:val="0"/>
        </w:rPr>
      </w:pPr>
      <w:r>
        <w:rPr>
          <w:rFonts w:hint="eastAsia"/>
          <w:color w:val="000000"/>
          <w:kern w:val="0"/>
        </w:rPr>
        <w:t>（</w:t>
      </w:r>
      <w:r>
        <w:rPr>
          <w:rFonts w:hint="eastAsia"/>
          <w:color w:val="000000"/>
          <w:kern w:val="0"/>
        </w:rPr>
        <w:t>5</w:t>
      </w:r>
      <w:r>
        <w:rPr>
          <w:rFonts w:hint="eastAsia"/>
          <w:color w:val="000000"/>
          <w:kern w:val="0"/>
        </w:rPr>
        <w:t>）声环境：环境噪声评价范围为施工场地周边</w:t>
      </w:r>
      <w:r>
        <w:rPr>
          <w:rFonts w:hint="eastAsia"/>
          <w:color w:val="000000"/>
          <w:kern w:val="0"/>
        </w:rPr>
        <w:t>200m</w:t>
      </w:r>
      <w:r>
        <w:rPr>
          <w:rFonts w:hint="eastAsia"/>
          <w:color w:val="000000"/>
          <w:kern w:val="0"/>
        </w:rPr>
        <w:t>范围内及声环境敏感点。</w:t>
      </w:r>
    </w:p>
    <w:p w14:paraId="39BE26FE" w14:textId="77777777" w:rsidR="005A1A44" w:rsidRDefault="0008059E">
      <w:pPr>
        <w:ind w:firstLine="480"/>
        <w:jc w:val="left"/>
        <w:rPr>
          <w:rFonts w:ascii="黑体" w:eastAsia="黑体" w:hAnsi="黑体" w:cs="黑体" w:hint="eastAsia"/>
          <w:kern w:val="0"/>
        </w:rPr>
      </w:pPr>
      <w:r>
        <w:rPr>
          <w:rFonts w:hint="eastAsia"/>
          <w:color w:val="000000"/>
          <w:kern w:val="0"/>
        </w:rPr>
        <w:t>本项目各环境要素评级范围图见图</w:t>
      </w:r>
      <w:r>
        <w:rPr>
          <w:rFonts w:hint="eastAsia"/>
          <w:color w:val="000000"/>
          <w:kern w:val="0"/>
        </w:rPr>
        <w:t>2.5-1</w:t>
      </w:r>
      <w:r>
        <w:rPr>
          <w:rFonts w:hint="eastAsia"/>
          <w:color w:val="000000"/>
          <w:kern w:val="0"/>
        </w:rPr>
        <w:t>、</w:t>
      </w:r>
      <w:r>
        <w:rPr>
          <w:rFonts w:hint="eastAsia"/>
          <w:color w:val="000000"/>
          <w:kern w:val="0"/>
        </w:rPr>
        <w:t>2.5-2</w:t>
      </w:r>
      <w:r>
        <w:rPr>
          <w:rFonts w:hint="eastAsia"/>
          <w:color w:val="000000"/>
          <w:kern w:val="0"/>
        </w:rPr>
        <w:t>、</w:t>
      </w:r>
      <w:r>
        <w:rPr>
          <w:rFonts w:hint="eastAsia"/>
          <w:color w:val="000000"/>
          <w:kern w:val="0"/>
        </w:rPr>
        <w:t>2.5-3</w:t>
      </w:r>
      <w:r>
        <w:rPr>
          <w:rFonts w:hint="eastAsia"/>
          <w:color w:val="000000"/>
          <w:kern w:val="0"/>
        </w:rPr>
        <w:t>。</w:t>
      </w:r>
    </w:p>
    <w:p w14:paraId="4EEABA0B" w14:textId="77777777" w:rsidR="005A1A44" w:rsidRDefault="0008059E">
      <w:pPr>
        <w:pStyle w:val="2"/>
        <w:numPr>
          <w:ilvl w:val="1"/>
          <w:numId w:val="2"/>
        </w:numPr>
      </w:pPr>
      <w:bookmarkStart w:id="118" w:name="_Toc2861_WPSOffice_Level2"/>
      <w:r>
        <w:rPr>
          <w:rFonts w:hint="eastAsia"/>
        </w:rPr>
        <w:t xml:space="preserve"> </w:t>
      </w:r>
      <w:bookmarkStart w:id="119" w:name="_Toc5427_WPSOffice_Level2"/>
      <w:bookmarkStart w:id="120" w:name="_Toc28093_WPSOffice_Level2"/>
      <w:r>
        <w:rPr>
          <w:rFonts w:hint="eastAsia"/>
        </w:rPr>
        <w:t>环境保护目标</w:t>
      </w:r>
      <w:bookmarkEnd w:id="118"/>
      <w:bookmarkEnd w:id="119"/>
      <w:bookmarkEnd w:id="120"/>
    </w:p>
    <w:p w14:paraId="1DF006E6" w14:textId="77777777" w:rsidR="005A1A44" w:rsidRDefault="0008059E">
      <w:pPr>
        <w:ind w:firstLine="480"/>
      </w:pPr>
      <w:r>
        <w:rPr>
          <w:rFonts w:hint="eastAsia"/>
        </w:rPr>
        <w:t>根据项目所处地理位置、施工期和运营期排污特征，根据现场勘查，确定本环评的主要环境保护目标为：</w:t>
      </w:r>
      <w:r>
        <w:rPr>
          <w:rFonts w:hint="eastAsia"/>
        </w:rPr>
        <w:t xml:space="preserve"> </w:t>
      </w:r>
    </w:p>
    <w:p w14:paraId="1C45634C" w14:textId="77777777" w:rsidR="005A1A44" w:rsidRDefault="0008059E">
      <w:pPr>
        <w:ind w:firstLine="480"/>
      </w:pPr>
      <w:bookmarkStart w:id="121" w:name="_Toc285448700"/>
      <w:r>
        <w:lastRenderedPageBreak/>
        <w:t>（</w:t>
      </w:r>
      <w:r>
        <w:t>1</w:t>
      </w:r>
      <w:r>
        <w:t>）生态环境保护目标</w:t>
      </w:r>
      <w:bookmarkEnd w:id="121"/>
    </w:p>
    <w:p w14:paraId="2CFF27DD" w14:textId="77777777" w:rsidR="005A1A44" w:rsidRDefault="0008059E">
      <w:pPr>
        <w:ind w:firstLine="480"/>
      </w:pPr>
      <w:r>
        <w:t>保护项目所在区域的植被、地貌景观、土壤、动物等，使其不因项目建设受到明显的不利影响，保护工程区域的景观环境及生物资源，使因工程建设造成的自然景观影响和植被破坏得以尽快恢复，从而确保区域生态环境质量不发生恶变。</w:t>
      </w:r>
    </w:p>
    <w:p w14:paraId="53A9072D" w14:textId="77777777" w:rsidR="005A1A44" w:rsidRDefault="0008059E">
      <w:pPr>
        <w:ind w:firstLine="480"/>
      </w:pPr>
      <w:bookmarkStart w:id="122" w:name="_Toc285448701"/>
      <w:r>
        <w:t>（</w:t>
      </w:r>
      <w:r>
        <w:t>2</w:t>
      </w:r>
      <w:r>
        <w:t>）空气环境、声环境保护目标</w:t>
      </w:r>
      <w:bookmarkEnd w:id="122"/>
    </w:p>
    <w:p w14:paraId="1685248A" w14:textId="77777777" w:rsidR="005A1A44" w:rsidRDefault="0008059E">
      <w:pPr>
        <w:ind w:firstLine="480"/>
      </w:pPr>
      <w:r>
        <w:t>本</w:t>
      </w:r>
      <w:r>
        <w:rPr>
          <w:rFonts w:hint="eastAsia"/>
        </w:rPr>
        <w:t>项目</w:t>
      </w:r>
      <w:r>
        <w:t>评价区域内无文物、名胜区等特殊保护目标。本次评价环境空气保护目标为区域内空气质量，使其满足《环境空气质量标准》二级标准；声环境的保护目标为</w:t>
      </w:r>
      <w:r>
        <w:rPr>
          <w:rFonts w:hint="eastAsia"/>
        </w:rPr>
        <w:t>项目区周边的村镇、学校、居民小区等敏感目标</w:t>
      </w:r>
      <w:r>
        <w:t>，保证</w:t>
      </w:r>
      <w:r>
        <w:rPr>
          <w:rFonts w:hint="eastAsia"/>
        </w:rPr>
        <w:t>周边敏感区域</w:t>
      </w:r>
      <w:r>
        <w:t>声环境质量满足《声环境质量标准》（</w:t>
      </w:r>
      <w:r>
        <w:t>GB3096-2008</w:t>
      </w:r>
      <w:r>
        <w:t>）</w:t>
      </w:r>
      <w:r>
        <w:t>2</w:t>
      </w:r>
      <w:r>
        <w:t>类</w:t>
      </w:r>
      <w:r>
        <w:rPr>
          <w:rFonts w:hint="eastAsia"/>
        </w:rPr>
        <w:t>、</w:t>
      </w:r>
      <w:r>
        <w:rPr>
          <w:rFonts w:hint="eastAsia"/>
        </w:rPr>
        <w:t>4a</w:t>
      </w:r>
      <w:r>
        <w:rPr>
          <w:rFonts w:hint="eastAsia"/>
        </w:rPr>
        <w:t>类</w:t>
      </w:r>
      <w:r>
        <w:t>标准要求。</w:t>
      </w:r>
    </w:p>
    <w:p w14:paraId="0CD777C9" w14:textId="77777777" w:rsidR="005A1A44" w:rsidRDefault="0008059E">
      <w:pPr>
        <w:ind w:firstLine="480"/>
      </w:pPr>
      <w:bookmarkStart w:id="123" w:name="_Toc285448702"/>
      <w:r>
        <w:t>（</w:t>
      </w:r>
      <w:r>
        <w:t>3</w:t>
      </w:r>
      <w:r>
        <w:t>）水环境保护目标</w:t>
      </w:r>
      <w:bookmarkEnd w:id="123"/>
    </w:p>
    <w:p w14:paraId="411B0F98" w14:textId="77777777" w:rsidR="005A1A44" w:rsidRDefault="0008059E">
      <w:pPr>
        <w:ind w:firstLine="480"/>
      </w:pPr>
      <w:r>
        <w:t>保护</w:t>
      </w:r>
      <w:r>
        <w:rPr>
          <w:rFonts w:hint="eastAsia"/>
        </w:rPr>
        <w:t>项目</w:t>
      </w:r>
      <w:r>
        <w:t>所在区域</w:t>
      </w:r>
      <w:r>
        <w:rPr>
          <w:rFonts w:hint="eastAsia"/>
        </w:rPr>
        <w:t>地表水、</w:t>
      </w:r>
      <w:r>
        <w:t>地下水环境质量不因项目的建设而下降</w:t>
      </w:r>
      <w:r>
        <w:rPr>
          <w:rFonts w:hint="eastAsia"/>
        </w:rPr>
        <w:t>，地表水满足《地表水环境质量标准》（</w:t>
      </w:r>
      <w:r>
        <w:rPr>
          <w:rFonts w:hint="eastAsia"/>
        </w:rPr>
        <w:t>GB3838-2002</w:t>
      </w:r>
      <w:r>
        <w:rPr>
          <w:rFonts w:hint="eastAsia"/>
        </w:rPr>
        <w:t>）Ⅱ类标准，地下水满足《地下水质量标准》（</w:t>
      </w:r>
      <w:r>
        <w:rPr>
          <w:rFonts w:hint="eastAsia"/>
        </w:rPr>
        <w:t>GB14848-2017</w:t>
      </w:r>
      <w:r>
        <w:rPr>
          <w:rFonts w:hint="eastAsia"/>
        </w:rPr>
        <w:t>）Ⅲ类标准。</w:t>
      </w:r>
    </w:p>
    <w:p w14:paraId="46320F30" w14:textId="77777777" w:rsidR="005A1A44" w:rsidRDefault="0008059E">
      <w:pPr>
        <w:ind w:firstLine="480"/>
      </w:pPr>
      <w:r>
        <w:rPr>
          <w:rFonts w:hint="eastAsia"/>
        </w:rPr>
        <w:t>（</w:t>
      </w:r>
      <w:r>
        <w:rPr>
          <w:rFonts w:hint="eastAsia"/>
        </w:rPr>
        <w:t>4</w:t>
      </w:r>
      <w:r>
        <w:rPr>
          <w:rFonts w:hint="eastAsia"/>
        </w:rPr>
        <w:t>）土壤环境、河流底质</w:t>
      </w:r>
    </w:p>
    <w:p w14:paraId="097D7D88" w14:textId="77777777" w:rsidR="005A1A44" w:rsidRDefault="0008059E">
      <w:pPr>
        <w:ind w:firstLine="480"/>
      </w:pPr>
      <w:r>
        <w:rPr>
          <w:rFonts w:hint="eastAsia"/>
        </w:rPr>
        <w:t>土壤环境、河流底质不受污染，保持《土壤环境质量</w:t>
      </w:r>
      <w:r>
        <w:rPr>
          <w:rFonts w:hint="eastAsia"/>
        </w:rPr>
        <w:t xml:space="preserve"> </w:t>
      </w:r>
      <w:r>
        <w:rPr>
          <w:rFonts w:hint="eastAsia"/>
        </w:rPr>
        <w:t>建设用地土壤污染风险管控标准（试行）》</w:t>
      </w:r>
      <w:r>
        <w:t>（</w:t>
      </w:r>
      <w:r>
        <w:t>GB</w:t>
      </w:r>
      <w:r>
        <w:rPr>
          <w:rFonts w:hint="eastAsia"/>
        </w:rPr>
        <w:t>36600</w:t>
      </w:r>
      <w:r>
        <w:t>-20</w:t>
      </w:r>
      <w:r>
        <w:rPr>
          <w:rFonts w:hint="eastAsia"/>
        </w:rPr>
        <w:t>1</w:t>
      </w:r>
      <w:r>
        <w:t>8</w:t>
      </w:r>
      <w:r>
        <w:t>）</w:t>
      </w:r>
      <w:r>
        <w:rPr>
          <w:rFonts w:hint="eastAsia"/>
        </w:rPr>
        <w:t>二类标准值</w:t>
      </w:r>
      <w:r>
        <w:t>。</w:t>
      </w:r>
    </w:p>
    <w:p w14:paraId="2E457CC2" w14:textId="77777777" w:rsidR="005A1A44" w:rsidRDefault="0008059E">
      <w:pPr>
        <w:ind w:firstLine="480"/>
      </w:pPr>
      <w:r>
        <w:rPr>
          <w:rFonts w:hint="eastAsia"/>
        </w:rPr>
        <w:t>项目环境保护目标汇总见表</w:t>
      </w:r>
      <w:r>
        <w:rPr>
          <w:rFonts w:hint="eastAsia"/>
        </w:rPr>
        <w:t>2.6-1</w:t>
      </w:r>
      <w:r>
        <w:rPr>
          <w:rFonts w:hint="eastAsia"/>
        </w:rPr>
        <w:t>，项目区与饮用水水源保护区的关系图见图</w:t>
      </w:r>
      <w:r>
        <w:rPr>
          <w:rFonts w:hint="eastAsia"/>
        </w:rPr>
        <w:t>2.6-1</w:t>
      </w:r>
      <w:r>
        <w:rPr>
          <w:rFonts w:hint="eastAsia"/>
        </w:rPr>
        <w:t>。</w:t>
      </w:r>
    </w:p>
    <w:p w14:paraId="3ACFFAB7" w14:textId="77777777" w:rsidR="005A1A44" w:rsidRDefault="0008059E">
      <w:pPr>
        <w:ind w:firstLineChars="0" w:firstLine="0"/>
        <w:jc w:val="center"/>
        <w:rPr>
          <w:rFonts w:eastAsia="华文中宋"/>
          <w:b/>
          <w:kern w:val="0"/>
        </w:rPr>
      </w:pPr>
      <w:r>
        <w:rPr>
          <w:rFonts w:ascii="黑体" w:eastAsia="黑体" w:hAnsi="黑体" w:cs="黑体" w:hint="eastAsia"/>
          <w:bCs/>
          <w:kern w:val="0"/>
        </w:rPr>
        <w:t>表2.6-1    环境保护目标汇总表</w:t>
      </w:r>
    </w:p>
    <w:tbl>
      <w:tblPr>
        <w:tblW w:w="88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40"/>
        <w:gridCol w:w="2055"/>
        <w:gridCol w:w="2100"/>
        <w:gridCol w:w="930"/>
        <w:gridCol w:w="1320"/>
        <w:gridCol w:w="1677"/>
      </w:tblGrid>
      <w:tr w:rsidR="005A1A44" w14:paraId="5E1BE868" w14:textId="77777777">
        <w:trPr>
          <w:cantSplit/>
          <w:trHeight w:val="397"/>
          <w:tblHeader/>
        </w:trPr>
        <w:tc>
          <w:tcPr>
            <w:tcW w:w="740" w:type="dxa"/>
            <w:tcBorders>
              <w:tl2br w:val="nil"/>
              <w:tr2bl w:val="nil"/>
            </w:tcBorders>
            <w:vAlign w:val="center"/>
          </w:tcPr>
          <w:p w14:paraId="57D208F5" w14:textId="77777777" w:rsidR="005A1A44" w:rsidRDefault="0008059E">
            <w:pPr>
              <w:spacing w:line="240" w:lineRule="auto"/>
              <w:ind w:firstLineChars="0" w:firstLine="0"/>
              <w:jc w:val="center"/>
              <w:rPr>
                <w:rFonts w:ascii="宋体" w:eastAsia="宋体" w:hAnsi="宋体" w:cs="宋体" w:hint="eastAsia"/>
                <w:b/>
                <w:bCs/>
                <w:sz w:val="21"/>
                <w:szCs w:val="21"/>
              </w:rPr>
            </w:pPr>
            <w:r>
              <w:rPr>
                <w:rFonts w:ascii="宋体" w:eastAsia="宋体" w:hAnsi="宋体" w:cs="宋体" w:hint="eastAsia"/>
                <w:b/>
                <w:bCs/>
                <w:sz w:val="21"/>
                <w:szCs w:val="21"/>
              </w:rPr>
              <w:t>类别</w:t>
            </w:r>
          </w:p>
        </w:tc>
        <w:tc>
          <w:tcPr>
            <w:tcW w:w="2055" w:type="dxa"/>
            <w:tcBorders>
              <w:tl2br w:val="nil"/>
              <w:tr2bl w:val="nil"/>
            </w:tcBorders>
            <w:vAlign w:val="center"/>
          </w:tcPr>
          <w:p w14:paraId="2FAE8DF9"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保护目标名称</w:t>
            </w:r>
          </w:p>
        </w:tc>
        <w:tc>
          <w:tcPr>
            <w:tcW w:w="2100" w:type="dxa"/>
            <w:tcBorders>
              <w:tl2br w:val="nil"/>
              <w:tr2bl w:val="nil"/>
            </w:tcBorders>
            <w:vAlign w:val="center"/>
          </w:tcPr>
          <w:p w14:paraId="568963AB" w14:textId="77777777" w:rsidR="005A1A44" w:rsidRDefault="0008059E">
            <w:pPr>
              <w:spacing w:line="240" w:lineRule="auto"/>
              <w:ind w:firstLineChars="0" w:firstLine="0"/>
              <w:jc w:val="center"/>
              <w:rPr>
                <w:rFonts w:ascii="宋体" w:eastAsia="宋体" w:hAnsi="宋体" w:cs="宋体" w:hint="eastAsia"/>
                <w:b/>
                <w:bCs/>
                <w:sz w:val="21"/>
                <w:szCs w:val="21"/>
              </w:rPr>
            </w:pPr>
            <w:r>
              <w:rPr>
                <w:rFonts w:ascii="宋体" w:eastAsia="宋体" w:hAnsi="宋体" w:cs="宋体" w:hint="eastAsia"/>
                <w:b/>
                <w:bCs/>
                <w:sz w:val="21"/>
                <w:szCs w:val="21"/>
              </w:rPr>
              <w:t>位置</w:t>
            </w:r>
          </w:p>
        </w:tc>
        <w:tc>
          <w:tcPr>
            <w:tcW w:w="930" w:type="dxa"/>
            <w:tcBorders>
              <w:tl2br w:val="nil"/>
              <w:tr2bl w:val="nil"/>
            </w:tcBorders>
            <w:vAlign w:val="center"/>
          </w:tcPr>
          <w:p w14:paraId="6FC18BA2" w14:textId="77777777" w:rsidR="005A1A44" w:rsidRDefault="0008059E">
            <w:pPr>
              <w:spacing w:line="240" w:lineRule="auto"/>
              <w:ind w:firstLineChars="0" w:firstLine="0"/>
              <w:jc w:val="center"/>
              <w:rPr>
                <w:rFonts w:ascii="宋体" w:eastAsia="宋体" w:hAnsi="宋体" w:cs="宋体" w:hint="eastAsia"/>
                <w:b/>
                <w:bCs/>
                <w:sz w:val="21"/>
                <w:szCs w:val="21"/>
              </w:rPr>
            </w:pPr>
            <w:r>
              <w:rPr>
                <w:rFonts w:ascii="宋体" w:eastAsia="宋体" w:hAnsi="宋体" w:cs="宋体" w:hint="eastAsia"/>
                <w:b/>
                <w:bCs/>
                <w:sz w:val="21"/>
                <w:szCs w:val="21"/>
              </w:rPr>
              <w:t>最近距离（m）</w:t>
            </w:r>
          </w:p>
        </w:tc>
        <w:tc>
          <w:tcPr>
            <w:tcW w:w="1320" w:type="dxa"/>
            <w:tcBorders>
              <w:tl2br w:val="nil"/>
              <w:tr2bl w:val="nil"/>
            </w:tcBorders>
            <w:vAlign w:val="center"/>
          </w:tcPr>
          <w:p w14:paraId="6F16B0FF" w14:textId="77777777" w:rsidR="005A1A44" w:rsidRDefault="0008059E">
            <w:pPr>
              <w:spacing w:line="240" w:lineRule="auto"/>
              <w:ind w:firstLineChars="0" w:firstLine="0"/>
              <w:jc w:val="center"/>
              <w:rPr>
                <w:rFonts w:ascii="宋体" w:eastAsia="宋体" w:hAnsi="宋体" w:cs="宋体" w:hint="eastAsia"/>
                <w:b/>
                <w:bCs/>
                <w:sz w:val="21"/>
                <w:szCs w:val="21"/>
              </w:rPr>
            </w:pPr>
            <w:r>
              <w:rPr>
                <w:rFonts w:ascii="宋体" w:eastAsia="宋体" w:hAnsi="宋体" w:cs="宋体" w:hint="eastAsia"/>
                <w:b/>
                <w:bCs/>
                <w:sz w:val="21"/>
                <w:szCs w:val="21"/>
              </w:rPr>
              <w:t>说明</w:t>
            </w:r>
          </w:p>
        </w:tc>
        <w:tc>
          <w:tcPr>
            <w:tcW w:w="1677" w:type="dxa"/>
            <w:tcBorders>
              <w:tl2br w:val="nil"/>
              <w:tr2bl w:val="nil"/>
            </w:tcBorders>
            <w:vAlign w:val="center"/>
          </w:tcPr>
          <w:p w14:paraId="54911D3F" w14:textId="77777777" w:rsidR="005A1A44" w:rsidRDefault="0008059E">
            <w:pPr>
              <w:spacing w:line="240" w:lineRule="auto"/>
              <w:ind w:firstLineChars="0" w:firstLine="0"/>
              <w:jc w:val="center"/>
              <w:rPr>
                <w:rFonts w:ascii="宋体" w:eastAsia="宋体" w:hAnsi="宋体" w:cs="宋体" w:hint="eastAsia"/>
                <w:b/>
                <w:bCs/>
                <w:sz w:val="21"/>
                <w:szCs w:val="21"/>
              </w:rPr>
            </w:pPr>
            <w:r>
              <w:rPr>
                <w:rFonts w:ascii="宋体" w:eastAsia="宋体" w:hAnsi="宋体" w:cs="宋体" w:hint="eastAsia"/>
                <w:b/>
                <w:bCs/>
                <w:sz w:val="21"/>
                <w:szCs w:val="21"/>
              </w:rPr>
              <w:t>环境功能及控制目标</w:t>
            </w:r>
          </w:p>
        </w:tc>
      </w:tr>
      <w:tr w:rsidR="005A1A44" w14:paraId="4667DF82" w14:textId="77777777">
        <w:trPr>
          <w:cantSplit/>
          <w:trHeight w:val="397"/>
        </w:trPr>
        <w:tc>
          <w:tcPr>
            <w:tcW w:w="740" w:type="dxa"/>
            <w:vMerge w:val="restart"/>
            <w:tcBorders>
              <w:tl2br w:val="nil"/>
              <w:tr2bl w:val="nil"/>
            </w:tcBorders>
            <w:vAlign w:val="center"/>
          </w:tcPr>
          <w:p w14:paraId="6FAFB48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大气</w:t>
            </w:r>
          </w:p>
          <w:p w14:paraId="42AE45B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环境、声环境</w:t>
            </w:r>
          </w:p>
        </w:tc>
        <w:tc>
          <w:tcPr>
            <w:tcW w:w="2055" w:type="dxa"/>
            <w:tcBorders>
              <w:tl2br w:val="nil"/>
              <w:tr2bl w:val="nil"/>
            </w:tcBorders>
            <w:vAlign w:val="center"/>
          </w:tcPr>
          <w:p w14:paraId="32B62646" w14:textId="77777777" w:rsidR="005A1A44" w:rsidRDefault="0008059E">
            <w:pPr>
              <w:spacing w:line="240" w:lineRule="auto"/>
              <w:ind w:firstLineChars="0" w:firstLine="0"/>
              <w:jc w:val="left"/>
              <w:rPr>
                <w:rFonts w:ascii="宋体" w:eastAsia="宋体" w:hAnsi="宋体" w:cs="宋体" w:hint="eastAsia"/>
                <w:kern w:val="0"/>
                <w:sz w:val="21"/>
                <w:szCs w:val="21"/>
              </w:rPr>
            </w:pPr>
            <w:r>
              <w:rPr>
                <w:rFonts w:ascii="宋体" w:eastAsia="宋体" w:hAnsi="宋体" w:cs="宋体" w:hint="eastAsia"/>
                <w:kern w:val="0"/>
                <w:sz w:val="21"/>
                <w:szCs w:val="21"/>
              </w:rPr>
              <w:t>果什村</w:t>
            </w:r>
          </w:p>
        </w:tc>
        <w:tc>
          <w:tcPr>
            <w:tcW w:w="2100" w:type="dxa"/>
            <w:tcBorders>
              <w:tl2br w:val="nil"/>
              <w:tr2bl w:val="nil"/>
            </w:tcBorders>
            <w:vAlign w:val="center"/>
          </w:tcPr>
          <w:p w14:paraId="10E7114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kern w:val="0"/>
                <w:sz w:val="21"/>
                <w:szCs w:val="21"/>
              </w:rPr>
              <w:t>河道左岸（西侧）</w:t>
            </w:r>
          </w:p>
        </w:tc>
        <w:tc>
          <w:tcPr>
            <w:tcW w:w="930" w:type="dxa"/>
            <w:tcBorders>
              <w:tl2br w:val="nil"/>
              <w:tr2bl w:val="nil"/>
            </w:tcBorders>
            <w:vAlign w:val="center"/>
          </w:tcPr>
          <w:p w14:paraId="0B8E1C4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1150</w:t>
            </w:r>
          </w:p>
        </w:tc>
        <w:tc>
          <w:tcPr>
            <w:tcW w:w="1320" w:type="dxa"/>
            <w:tcBorders>
              <w:tl2br w:val="nil"/>
              <w:tr2bl w:val="nil"/>
            </w:tcBorders>
            <w:vAlign w:val="center"/>
          </w:tcPr>
          <w:p w14:paraId="65DF503E"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val="restart"/>
            <w:tcBorders>
              <w:tl2br w:val="nil"/>
              <w:tr2bl w:val="nil"/>
            </w:tcBorders>
            <w:vAlign w:val="center"/>
          </w:tcPr>
          <w:p w14:paraId="431637CF"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《环境空气质量标准》 （GB3095-2012）二级标准、《声环境质量标准》（GB3096-2008）2类、4a类标准</w:t>
            </w:r>
          </w:p>
        </w:tc>
      </w:tr>
      <w:tr w:rsidR="005A1A44" w14:paraId="3339557C" w14:textId="77777777">
        <w:trPr>
          <w:cantSplit/>
          <w:trHeight w:val="397"/>
        </w:trPr>
        <w:tc>
          <w:tcPr>
            <w:tcW w:w="740" w:type="dxa"/>
            <w:vMerge/>
            <w:tcBorders>
              <w:tl2br w:val="nil"/>
              <w:tr2bl w:val="nil"/>
            </w:tcBorders>
            <w:vAlign w:val="center"/>
          </w:tcPr>
          <w:p w14:paraId="19F659DE"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1AE252BF" w14:textId="77777777" w:rsidR="005A1A44" w:rsidRDefault="0008059E">
            <w:pPr>
              <w:spacing w:line="240" w:lineRule="auto"/>
              <w:ind w:firstLineChars="0" w:firstLine="0"/>
              <w:jc w:val="left"/>
              <w:rPr>
                <w:rFonts w:ascii="宋体" w:eastAsia="宋体" w:hAnsi="宋体" w:cs="宋体" w:hint="eastAsia"/>
                <w:kern w:val="0"/>
                <w:sz w:val="21"/>
                <w:szCs w:val="21"/>
              </w:rPr>
            </w:pPr>
            <w:r>
              <w:rPr>
                <w:rFonts w:ascii="宋体" w:eastAsia="宋体" w:hAnsi="宋体" w:cs="宋体" w:hint="eastAsia"/>
                <w:kern w:val="0"/>
                <w:sz w:val="21"/>
                <w:szCs w:val="21"/>
              </w:rPr>
              <w:t>加木达村</w:t>
            </w:r>
          </w:p>
        </w:tc>
        <w:tc>
          <w:tcPr>
            <w:tcW w:w="2100" w:type="dxa"/>
            <w:tcBorders>
              <w:tl2br w:val="nil"/>
              <w:tr2bl w:val="nil"/>
            </w:tcBorders>
            <w:vAlign w:val="center"/>
          </w:tcPr>
          <w:p w14:paraId="778D2C98"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河道左岸（西侧）</w:t>
            </w:r>
          </w:p>
        </w:tc>
        <w:tc>
          <w:tcPr>
            <w:tcW w:w="930" w:type="dxa"/>
            <w:tcBorders>
              <w:tl2br w:val="nil"/>
              <w:tr2bl w:val="nil"/>
            </w:tcBorders>
            <w:vAlign w:val="center"/>
          </w:tcPr>
          <w:p w14:paraId="7DF4C0C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700</w:t>
            </w:r>
          </w:p>
        </w:tc>
        <w:tc>
          <w:tcPr>
            <w:tcW w:w="1320" w:type="dxa"/>
            <w:tcBorders>
              <w:tl2br w:val="nil"/>
              <w:tr2bl w:val="nil"/>
            </w:tcBorders>
            <w:vAlign w:val="center"/>
          </w:tcPr>
          <w:p w14:paraId="31953C6F"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453C3E93" w14:textId="77777777" w:rsidR="005A1A44" w:rsidRDefault="005A1A44">
            <w:pPr>
              <w:spacing w:line="240" w:lineRule="auto"/>
              <w:ind w:firstLineChars="0" w:firstLine="0"/>
              <w:rPr>
                <w:rFonts w:ascii="宋体" w:eastAsia="宋体" w:hAnsi="宋体" w:cs="宋体" w:hint="eastAsia"/>
                <w:sz w:val="21"/>
                <w:szCs w:val="21"/>
              </w:rPr>
            </w:pPr>
          </w:p>
        </w:tc>
      </w:tr>
      <w:tr w:rsidR="005A1A44" w14:paraId="53FEB0B7" w14:textId="77777777">
        <w:trPr>
          <w:cantSplit/>
          <w:trHeight w:val="397"/>
        </w:trPr>
        <w:tc>
          <w:tcPr>
            <w:tcW w:w="740" w:type="dxa"/>
            <w:vMerge/>
            <w:tcBorders>
              <w:tl2br w:val="nil"/>
              <w:tr2bl w:val="nil"/>
            </w:tcBorders>
            <w:vAlign w:val="center"/>
          </w:tcPr>
          <w:p w14:paraId="399145D9"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15315A78" w14:textId="77777777" w:rsidR="005A1A44" w:rsidRDefault="0008059E">
            <w:pPr>
              <w:spacing w:line="240" w:lineRule="auto"/>
              <w:ind w:firstLineChars="0" w:firstLine="0"/>
              <w:jc w:val="left"/>
              <w:rPr>
                <w:rFonts w:ascii="宋体" w:eastAsia="宋体" w:hAnsi="宋体" w:cs="宋体" w:hint="eastAsia"/>
                <w:kern w:val="0"/>
                <w:sz w:val="21"/>
                <w:szCs w:val="21"/>
              </w:rPr>
            </w:pPr>
            <w:r>
              <w:rPr>
                <w:rFonts w:ascii="宋体" w:eastAsia="宋体" w:hAnsi="宋体" w:cs="宋体" w:hint="eastAsia"/>
                <w:kern w:val="0"/>
                <w:sz w:val="21"/>
                <w:szCs w:val="21"/>
              </w:rPr>
              <w:t>恰坎村</w:t>
            </w:r>
          </w:p>
        </w:tc>
        <w:tc>
          <w:tcPr>
            <w:tcW w:w="2100" w:type="dxa"/>
            <w:tcBorders>
              <w:tl2br w:val="nil"/>
              <w:tr2bl w:val="nil"/>
            </w:tcBorders>
            <w:vAlign w:val="center"/>
          </w:tcPr>
          <w:p w14:paraId="21686FC2"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河道左岸（西侧）</w:t>
            </w:r>
          </w:p>
        </w:tc>
        <w:tc>
          <w:tcPr>
            <w:tcW w:w="930" w:type="dxa"/>
            <w:tcBorders>
              <w:tl2br w:val="nil"/>
              <w:tr2bl w:val="nil"/>
            </w:tcBorders>
            <w:vAlign w:val="center"/>
          </w:tcPr>
          <w:p w14:paraId="3E9427D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520</w:t>
            </w:r>
          </w:p>
        </w:tc>
        <w:tc>
          <w:tcPr>
            <w:tcW w:w="1320" w:type="dxa"/>
            <w:tcBorders>
              <w:tl2br w:val="nil"/>
              <w:tr2bl w:val="nil"/>
            </w:tcBorders>
            <w:vAlign w:val="center"/>
          </w:tcPr>
          <w:p w14:paraId="54CA2093"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695098B1" w14:textId="77777777" w:rsidR="005A1A44" w:rsidRDefault="005A1A44">
            <w:pPr>
              <w:spacing w:line="240" w:lineRule="auto"/>
              <w:ind w:firstLineChars="0" w:firstLine="0"/>
              <w:rPr>
                <w:rFonts w:ascii="宋体" w:eastAsia="宋体" w:hAnsi="宋体" w:cs="宋体" w:hint="eastAsia"/>
                <w:sz w:val="21"/>
                <w:szCs w:val="21"/>
              </w:rPr>
            </w:pPr>
          </w:p>
        </w:tc>
      </w:tr>
      <w:tr w:rsidR="005A1A44" w14:paraId="577C2A81" w14:textId="77777777">
        <w:trPr>
          <w:cantSplit/>
          <w:trHeight w:val="397"/>
        </w:trPr>
        <w:tc>
          <w:tcPr>
            <w:tcW w:w="740" w:type="dxa"/>
            <w:vMerge/>
            <w:tcBorders>
              <w:tl2br w:val="nil"/>
              <w:tr2bl w:val="nil"/>
            </w:tcBorders>
            <w:vAlign w:val="center"/>
          </w:tcPr>
          <w:p w14:paraId="6CCE4454"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40204147" w14:textId="77777777" w:rsidR="005A1A44" w:rsidRDefault="0008059E">
            <w:pPr>
              <w:spacing w:line="240" w:lineRule="auto"/>
              <w:ind w:firstLineChars="0" w:firstLine="0"/>
              <w:jc w:val="left"/>
              <w:rPr>
                <w:rFonts w:ascii="宋体" w:eastAsia="宋体" w:hAnsi="宋体" w:cs="宋体" w:hint="eastAsia"/>
                <w:kern w:val="0"/>
                <w:sz w:val="21"/>
                <w:szCs w:val="21"/>
              </w:rPr>
            </w:pPr>
            <w:r>
              <w:rPr>
                <w:rFonts w:ascii="宋体" w:eastAsia="宋体" w:hAnsi="宋体" w:cs="宋体" w:hint="eastAsia"/>
                <w:kern w:val="0"/>
                <w:sz w:val="21"/>
                <w:szCs w:val="21"/>
              </w:rPr>
              <w:t>若克村</w:t>
            </w:r>
          </w:p>
        </w:tc>
        <w:tc>
          <w:tcPr>
            <w:tcW w:w="2100" w:type="dxa"/>
            <w:tcBorders>
              <w:tl2br w:val="nil"/>
              <w:tr2bl w:val="nil"/>
            </w:tcBorders>
            <w:vAlign w:val="center"/>
          </w:tcPr>
          <w:p w14:paraId="307516E3"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河道左岸（西侧）</w:t>
            </w:r>
          </w:p>
        </w:tc>
        <w:tc>
          <w:tcPr>
            <w:tcW w:w="930" w:type="dxa"/>
            <w:tcBorders>
              <w:tl2br w:val="nil"/>
              <w:tr2bl w:val="nil"/>
            </w:tcBorders>
            <w:vAlign w:val="center"/>
          </w:tcPr>
          <w:p w14:paraId="16FBD0F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450</w:t>
            </w:r>
          </w:p>
        </w:tc>
        <w:tc>
          <w:tcPr>
            <w:tcW w:w="1320" w:type="dxa"/>
            <w:tcBorders>
              <w:tl2br w:val="nil"/>
              <w:tr2bl w:val="nil"/>
            </w:tcBorders>
            <w:vAlign w:val="center"/>
          </w:tcPr>
          <w:p w14:paraId="558D6189"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2BE3A6A1" w14:textId="77777777" w:rsidR="005A1A44" w:rsidRDefault="005A1A44">
            <w:pPr>
              <w:spacing w:line="240" w:lineRule="auto"/>
              <w:ind w:firstLineChars="0" w:firstLine="0"/>
              <w:rPr>
                <w:rFonts w:ascii="宋体" w:eastAsia="宋体" w:hAnsi="宋体" w:cs="宋体" w:hint="eastAsia"/>
                <w:sz w:val="21"/>
                <w:szCs w:val="21"/>
              </w:rPr>
            </w:pPr>
          </w:p>
        </w:tc>
      </w:tr>
      <w:tr w:rsidR="005A1A44" w14:paraId="53ADD14E" w14:textId="77777777">
        <w:trPr>
          <w:cantSplit/>
          <w:trHeight w:val="397"/>
        </w:trPr>
        <w:tc>
          <w:tcPr>
            <w:tcW w:w="740" w:type="dxa"/>
            <w:vMerge/>
            <w:tcBorders>
              <w:tl2br w:val="nil"/>
              <w:tr2bl w:val="nil"/>
            </w:tcBorders>
            <w:vAlign w:val="center"/>
          </w:tcPr>
          <w:p w14:paraId="517783A9"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7102BA57" w14:textId="77777777" w:rsidR="005A1A44" w:rsidRDefault="0008059E">
            <w:pPr>
              <w:spacing w:line="240" w:lineRule="auto"/>
              <w:ind w:firstLineChars="0" w:firstLine="0"/>
              <w:jc w:val="left"/>
              <w:rPr>
                <w:rFonts w:ascii="宋体" w:eastAsia="宋体" w:hAnsi="宋体" w:cs="宋体" w:hint="eastAsia"/>
                <w:kern w:val="0"/>
                <w:sz w:val="21"/>
                <w:szCs w:val="21"/>
              </w:rPr>
            </w:pPr>
            <w:r>
              <w:rPr>
                <w:rFonts w:ascii="宋体" w:eastAsia="宋体" w:hAnsi="宋体" w:cs="宋体" w:hint="eastAsia"/>
                <w:kern w:val="0"/>
                <w:sz w:val="21"/>
                <w:szCs w:val="21"/>
              </w:rPr>
              <w:t>莆思台克（帕塘买里村）</w:t>
            </w:r>
          </w:p>
        </w:tc>
        <w:tc>
          <w:tcPr>
            <w:tcW w:w="2100" w:type="dxa"/>
            <w:tcBorders>
              <w:tl2br w:val="nil"/>
              <w:tr2bl w:val="nil"/>
            </w:tcBorders>
            <w:vAlign w:val="center"/>
          </w:tcPr>
          <w:p w14:paraId="10B3948B"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河道左岸（西侧）</w:t>
            </w:r>
          </w:p>
        </w:tc>
        <w:tc>
          <w:tcPr>
            <w:tcW w:w="930" w:type="dxa"/>
            <w:tcBorders>
              <w:tl2br w:val="nil"/>
              <w:tr2bl w:val="nil"/>
            </w:tcBorders>
            <w:vAlign w:val="center"/>
          </w:tcPr>
          <w:p w14:paraId="54565291"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430</w:t>
            </w:r>
          </w:p>
        </w:tc>
        <w:tc>
          <w:tcPr>
            <w:tcW w:w="1320" w:type="dxa"/>
            <w:tcBorders>
              <w:tl2br w:val="nil"/>
              <w:tr2bl w:val="nil"/>
            </w:tcBorders>
            <w:vAlign w:val="center"/>
          </w:tcPr>
          <w:p w14:paraId="0EAA55C0"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37A86EC2" w14:textId="77777777" w:rsidR="005A1A44" w:rsidRDefault="005A1A44">
            <w:pPr>
              <w:spacing w:line="240" w:lineRule="auto"/>
              <w:ind w:firstLineChars="0" w:firstLine="0"/>
              <w:rPr>
                <w:rFonts w:ascii="宋体" w:eastAsia="宋体" w:hAnsi="宋体" w:cs="宋体" w:hint="eastAsia"/>
                <w:sz w:val="21"/>
                <w:szCs w:val="21"/>
              </w:rPr>
            </w:pPr>
          </w:p>
        </w:tc>
      </w:tr>
      <w:tr w:rsidR="005A1A44" w14:paraId="72A46781" w14:textId="77777777">
        <w:trPr>
          <w:cantSplit/>
          <w:trHeight w:val="397"/>
        </w:trPr>
        <w:tc>
          <w:tcPr>
            <w:tcW w:w="740" w:type="dxa"/>
            <w:vMerge/>
            <w:tcBorders>
              <w:tl2br w:val="nil"/>
              <w:tr2bl w:val="nil"/>
            </w:tcBorders>
            <w:vAlign w:val="center"/>
          </w:tcPr>
          <w:p w14:paraId="4E438C7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50</w:t>
            </w:r>
          </w:p>
        </w:tc>
        <w:tc>
          <w:tcPr>
            <w:tcW w:w="2055" w:type="dxa"/>
            <w:tcBorders>
              <w:tl2br w:val="nil"/>
              <w:tr2bl w:val="nil"/>
            </w:tcBorders>
            <w:vAlign w:val="center"/>
          </w:tcPr>
          <w:p w14:paraId="1070264B" w14:textId="77777777" w:rsidR="005A1A44" w:rsidRDefault="0008059E">
            <w:pPr>
              <w:spacing w:line="240" w:lineRule="auto"/>
              <w:ind w:firstLineChars="0" w:firstLine="0"/>
              <w:jc w:val="left"/>
              <w:rPr>
                <w:rFonts w:ascii="宋体" w:eastAsia="宋体" w:hAnsi="宋体" w:cs="宋体" w:hint="eastAsia"/>
                <w:kern w:val="0"/>
                <w:sz w:val="21"/>
                <w:szCs w:val="21"/>
              </w:rPr>
            </w:pPr>
            <w:r>
              <w:rPr>
                <w:rFonts w:ascii="宋体" w:eastAsia="宋体" w:hAnsi="宋体" w:cs="宋体" w:hint="eastAsia"/>
                <w:kern w:val="0"/>
                <w:sz w:val="21"/>
                <w:szCs w:val="21"/>
              </w:rPr>
              <w:t>尤库日古江巴格村</w:t>
            </w:r>
          </w:p>
        </w:tc>
        <w:tc>
          <w:tcPr>
            <w:tcW w:w="2100" w:type="dxa"/>
            <w:tcBorders>
              <w:tl2br w:val="nil"/>
              <w:tr2bl w:val="nil"/>
            </w:tcBorders>
            <w:vAlign w:val="center"/>
          </w:tcPr>
          <w:p w14:paraId="3979D128"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河道左岸（西侧）</w:t>
            </w:r>
          </w:p>
        </w:tc>
        <w:tc>
          <w:tcPr>
            <w:tcW w:w="930" w:type="dxa"/>
            <w:tcBorders>
              <w:tl2br w:val="nil"/>
              <w:tr2bl w:val="nil"/>
            </w:tcBorders>
            <w:vAlign w:val="center"/>
          </w:tcPr>
          <w:p w14:paraId="1159B111"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360</w:t>
            </w:r>
          </w:p>
        </w:tc>
        <w:tc>
          <w:tcPr>
            <w:tcW w:w="1320" w:type="dxa"/>
            <w:tcBorders>
              <w:tl2br w:val="nil"/>
              <w:tr2bl w:val="nil"/>
            </w:tcBorders>
            <w:vAlign w:val="center"/>
          </w:tcPr>
          <w:p w14:paraId="38EAA23B"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1C5E8F19" w14:textId="77777777" w:rsidR="005A1A44" w:rsidRDefault="005A1A44">
            <w:pPr>
              <w:spacing w:line="240" w:lineRule="auto"/>
              <w:ind w:firstLineChars="0" w:firstLine="0"/>
              <w:rPr>
                <w:rFonts w:ascii="宋体" w:eastAsia="宋体" w:hAnsi="宋体" w:cs="宋体" w:hint="eastAsia"/>
                <w:sz w:val="21"/>
                <w:szCs w:val="21"/>
              </w:rPr>
            </w:pPr>
          </w:p>
        </w:tc>
      </w:tr>
      <w:tr w:rsidR="005A1A44" w14:paraId="51799348" w14:textId="77777777">
        <w:trPr>
          <w:cantSplit/>
          <w:trHeight w:val="397"/>
        </w:trPr>
        <w:tc>
          <w:tcPr>
            <w:tcW w:w="740" w:type="dxa"/>
            <w:vMerge/>
            <w:tcBorders>
              <w:tl2br w:val="nil"/>
              <w:tr2bl w:val="nil"/>
            </w:tcBorders>
            <w:vAlign w:val="center"/>
          </w:tcPr>
          <w:p w14:paraId="2823AD43"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7BBA9E4E" w14:textId="77777777" w:rsidR="005A1A44" w:rsidRDefault="0008059E">
            <w:pPr>
              <w:spacing w:line="240" w:lineRule="auto"/>
              <w:ind w:firstLineChars="0" w:firstLine="0"/>
              <w:jc w:val="left"/>
              <w:rPr>
                <w:rFonts w:ascii="宋体" w:eastAsia="宋体" w:hAnsi="宋体" w:cs="宋体" w:hint="eastAsia"/>
                <w:kern w:val="0"/>
                <w:sz w:val="21"/>
                <w:szCs w:val="21"/>
              </w:rPr>
            </w:pPr>
            <w:r>
              <w:rPr>
                <w:rFonts w:ascii="宋体" w:eastAsia="宋体" w:hAnsi="宋体" w:cs="宋体" w:hint="eastAsia"/>
                <w:kern w:val="0"/>
                <w:sz w:val="21"/>
                <w:szCs w:val="21"/>
              </w:rPr>
              <w:t>阿热勒村</w:t>
            </w:r>
          </w:p>
        </w:tc>
        <w:tc>
          <w:tcPr>
            <w:tcW w:w="2100" w:type="dxa"/>
            <w:tcBorders>
              <w:tl2br w:val="nil"/>
              <w:tr2bl w:val="nil"/>
            </w:tcBorders>
            <w:vAlign w:val="center"/>
          </w:tcPr>
          <w:p w14:paraId="415814AA"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河道左岸（西侧）</w:t>
            </w:r>
          </w:p>
        </w:tc>
        <w:tc>
          <w:tcPr>
            <w:tcW w:w="930" w:type="dxa"/>
            <w:tcBorders>
              <w:tl2br w:val="nil"/>
              <w:tr2bl w:val="nil"/>
            </w:tcBorders>
            <w:vAlign w:val="center"/>
          </w:tcPr>
          <w:p w14:paraId="6B1DA12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50</w:t>
            </w:r>
          </w:p>
        </w:tc>
        <w:tc>
          <w:tcPr>
            <w:tcW w:w="1320" w:type="dxa"/>
            <w:tcBorders>
              <w:tl2br w:val="nil"/>
              <w:tr2bl w:val="nil"/>
            </w:tcBorders>
            <w:vAlign w:val="center"/>
          </w:tcPr>
          <w:p w14:paraId="6ABD89B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位于景观绿化区内</w:t>
            </w:r>
          </w:p>
        </w:tc>
        <w:tc>
          <w:tcPr>
            <w:tcW w:w="1677" w:type="dxa"/>
            <w:vMerge/>
            <w:tcBorders>
              <w:tl2br w:val="nil"/>
              <w:tr2bl w:val="nil"/>
            </w:tcBorders>
            <w:vAlign w:val="center"/>
          </w:tcPr>
          <w:p w14:paraId="04587B29" w14:textId="77777777" w:rsidR="005A1A44" w:rsidRDefault="005A1A44">
            <w:pPr>
              <w:spacing w:line="240" w:lineRule="auto"/>
              <w:ind w:firstLineChars="0" w:firstLine="0"/>
              <w:rPr>
                <w:rFonts w:ascii="宋体" w:eastAsia="宋体" w:hAnsi="宋体" w:cs="宋体" w:hint="eastAsia"/>
                <w:sz w:val="21"/>
                <w:szCs w:val="21"/>
              </w:rPr>
            </w:pPr>
          </w:p>
        </w:tc>
      </w:tr>
      <w:tr w:rsidR="005A1A44" w14:paraId="6B77D3C0" w14:textId="77777777">
        <w:trPr>
          <w:cantSplit/>
          <w:trHeight w:val="397"/>
        </w:trPr>
        <w:tc>
          <w:tcPr>
            <w:tcW w:w="740" w:type="dxa"/>
            <w:vMerge/>
            <w:tcBorders>
              <w:tl2br w:val="nil"/>
              <w:tr2bl w:val="nil"/>
            </w:tcBorders>
            <w:vAlign w:val="center"/>
          </w:tcPr>
          <w:p w14:paraId="4014249F"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5FCDBE14" w14:textId="77777777" w:rsidR="005A1A44" w:rsidRDefault="0008059E">
            <w:pPr>
              <w:spacing w:line="240" w:lineRule="auto"/>
              <w:ind w:firstLineChars="0" w:firstLine="0"/>
              <w:jc w:val="left"/>
              <w:rPr>
                <w:rFonts w:ascii="宋体" w:eastAsia="宋体" w:hAnsi="宋体" w:cs="宋体" w:hint="eastAsia"/>
                <w:kern w:val="0"/>
                <w:sz w:val="21"/>
                <w:szCs w:val="21"/>
              </w:rPr>
            </w:pPr>
            <w:r>
              <w:rPr>
                <w:rFonts w:ascii="宋体" w:eastAsia="宋体" w:hAnsi="宋体" w:cs="宋体" w:hint="eastAsia"/>
                <w:kern w:val="0"/>
                <w:sz w:val="21"/>
                <w:szCs w:val="21"/>
              </w:rPr>
              <w:t>夏玛勒巴格村</w:t>
            </w:r>
          </w:p>
        </w:tc>
        <w:tc>
          <w:tcPr>
            <w:tcW w:w="2100" w:type="dxa"/>
            <w:tcBorders>
              <w:tl2br w:val="nil"/>
              <w:tr2bl w:val="nil"/>
            </w:tcBorders>
            <w:vAlign w:val="center"/>
          </w:tcPr>
          <w:p w14:paraId="7301E8B1"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河道左岸（西侧）</w:t>
            </w:r>
          </w:p>
        </w:tc>
        <w:tc>
          <w:tcPr>
            <w:tcW w:w="930" w:type="dxa"/>
            <w:tcBorders>
              <w:tl2br w:val="nil"/>
              <w:tr2bl w:val="nil"/>
            </w:tcBorders>
            <w:vAlign w:val="center"/>
          </w:tcPr>
          <w:p w14:paraId="2B48CFE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360</w:t>
            </w:r>
          </w:p>
        </w:tc>
        <w:tc>
          <w:tcPr>
            <w:tcW w:w="1320" w:type="dxa"/>
            <w:tcBorders>
              <w:tl2br w:val="nil"/>
              <w:tr2bl w:val="nil"/>
            </w:tcBorders>
            <w:vAlign w:val="center"/>
          </w:tcPr>
          <w:p w14:paraId="235D9A3B"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58F288D2" w14:textId="77777777" w:rsidR="005A1A44" w:rsidRDefault="005A1A44">
            <w:pPr>
              <w:spacing w:line="240" w:lineRule="auto"/>
              <w:ind w:firstLineChars="0" w:firstLine="0"/>
              <w:rPr>
                <w:rFonts w:ascii="宋体" w:eastAsia="宋体" w:hAnsi="宋体" w:cs="宋体" w:hint="eastAsia"/>
                <w:sz w:val="21"/>
                <w:szCs w:val="21"/>
              </w:rPr>
            </w:pPr>
          </w:p>
        </w:tc>
      </w:tr>
      <w:tr w:rsidR="005A1A44" w14:paraId="4790CC63" w14:textId="77777777">
        <w:trPr>
          <w:cantSplit/>
          <w:trHeight w:val="397"/>
        </w:trPr>
        <w:tc>
          <w:tcPr>
            <w:tcW w:w="740" w:type="dxa"/>
            <w:vMerge/>
            <w:tcBorders>
              <w:tl2br w:val="nil"/>
              <w:tr2bl w:val="nil"/>
            </w:tcBorders>
            <w:vAlign w:val="center"/>
          </w:tcPr>
          <w:p w14:paraId="6F03696E"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70F08463" w14:textId="77777777" w:rsidR="005A1A44" w:rsidRDefault="0008059E">
            <w:pPr>
              <w:spacing w:line="240" w:lineRule="auto"/>
              <w:ind w:firstLineChars="0" w:firstLine="0"/>
              <w:jc w:val="left"/>
              <w:rPr>
                <w:rFonts w:ascii="宋体" w:eastAsia="宋体" w:hAnsi="宋体" w:cs="宋体" w:hint="eastAsia"/>
                <w:kern w:val="0"/>
                <w:sz w:val="21"/>
                <w:szCs w:val="21"/>
              </w:rPr>
            </w:pPr>
            <w:r>
              <w:rPr>
                <w:rFonts w:ascii="宋体" w:eastAsia="宋体" w:hAnsi="宋体" w:cs="宋体" w:hint="eastAsia"/>
                <w:sz w:val="21"/>
                <w:szCs w:val="21"/>
              </w:rPr>
              <w:t>依盖尔其村</w:t>
            </w:r>
          </w:p>
        </w:tc>
        <w:tc>
          <w:tcPr>
            <w:tcW w:w="2100" w:type="dxa"/>
            <w:tcBorders>
              <w:tl2br w:val="nil"/>
              <w:tr2bl w:val="nil"/>
            </w:tcBorders>
            <w:vAlign w:val="center"/>
          </w:tcPr>
          <w:p w14:paraId="5613CBAA"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河道左岸（西侧）</w:t>
            </w:r>
          </w:p>
        </w:tc>
        <w:tc>
          <w:tcPr>
            <w:tcW w:w="930" w:type="dxa"/>
            <w:tcBorders>
              <w:tl2br w:val="nil"/>
              <w:tr2bl w:val="nil"/>
            </w:tcBorders>
            <w:vAlign w:val="center"/>
          </w:tcPr>
          <w:p w14:paraId="507922C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340</w:t>
            </w:r>
          </w:p>
        </w:tc>
        <w:tc>
          <w:tcPr>
            <w:tcW w:w="1320" w:type="dxa"/>
            <w:tcBorders>
              <w:tl2br w:val="nil"/>
              <w:tr2bl w:val="nil"/>
            </w:tcBorders>
            <w:vAlign w:val="center"/>
          </w:tcPr>
          <w:p w14:paraId="52382D52"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502F7463" w14:textId="77777777" w:rsidR="005A1A44" w:rsidRDefault="005A1A44">
            <w:pPr>
              <w:spacing w:line="240" w:lineRule="auto"/>
              <w:ind w:firstLineChars="0" w:firstLine="0"/>
              <w:rPr>
                <w:rFonts w:ascii="宋体" w:eastAsia="宋体" w:hAnsi="宋体" w:cs="宋体" w:hint="eastAsia"/>
                <w:sz w:val="21"/>
                <w:szCs w:val="21"/>
              </w:rPr>
            </w:pPr>
          </w:p>
        </w:tc>
      </w:tr>
      <w:tr w:rsidR="005A1A44" w14:paraId="48211FCA" w14:textId="77777777">
        <w:trPr>
          <w:cantSplit/>
          <w:trHeight w:val="397"/>
        </w:trPr>
        <w:tc>
          <w:tcPr>
            <w:tcW w:w="740" w:type="dxa"/>
            <w:vMerge/>
            <w:tcBorders>
              <w:tl2br w:val="nil"/>
              <w:tr2bl w:val="nil"/>
            </w:tcBorders>
            <w:vAlign w:val="center"/>
          </w:tcPr>
          <w:p w14:paraId="18FDC450"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5A60FC70" w14:textId="77777777" w:rsidR="005A1A44" w:rsidRDefault="0008059E">
            <w:pPr>
              <w:spacing w:line="240" w:lineRule="auto"/>
              <w:ind w:firstLineChars="0" w:firstLine="0"/>
              <w:jc w:val="left"/>
              <w:rPr>
                <w:rFonts w:ascii="宋体" w:eastAsia="宋体" w:hAnsi="宋体" w:cs="宋体" w:hint="eastAsia"/>
                <w:sz w:val="21"/>
                <w:szCs w:val="21"/>
              </w:rPr>
            </w:pPr>
            <w:r>
              <w:rPr>
                <w:rFonts w:ascii="宋体" w:eastAsia="宋体" w:hAnsi="宋体" w:cs="宋体" w:hint="eastAsia"/>
                <w:sz w:val="21"/>
                <w:szCs w:val="21"/>
              </w:rPr>
              <w:t>亚甫拉克村</w:t>
            </w:r>
          </w:p>
        </w:tc>
        <w:tc>
          <w:tcPr>
            <w:tcW w:w="2100" w:type="dxa"/>
            <w:tcBorders>
              <w:tl2br w:val="nil"/>
              <w:tr2bl w:val="nil"/>
            </w:tcBorders>
            <w:vAlign w:val="center"/>
          </w:tcPr>
          <w:p w14:paraId="55C14A8C"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河道左岸（西侧）</w:t>
            </w:r>
          </w:p>
        </w:tc>
        <w:tc>
          <w:tcPr>
            <w:tcW w:w="930" w:type="dxa"/>
            <w:tcBorders>
              <w:tl2br w:val="nil"/>
              <w:tr2bl w:val="nil"/>
            </w:tcBorders>
            <w:vAlign w:val="center"/>
          </w:tcPr>
          <w:p w14:paraId="7355D25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160</w:t>
            </w:r>
          </w:p>
        </w:tc>
        <w:tc>
          <w:tcPr>
            <w:tcW w:w="1320" w:type="dxa"/>
            <w:tcBorders>
              <w:tl2br w:val="nil"/>
              <w:tr2bl w:val="nil"/>
            </w:tcBorders>
            <w:vAlign w:val="center"/>
          </w:tcPr>
          <w:p w14:paraId="3E7372FA"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6E0EC825" w14:textId="77777777" w:rsidR="005A1A44" w:rsidRDefault="005A1A44">
            <w:pPr>
              <w:spacing w:line="240" w:lineRule="auto"/>
              <w:ind w:firstLineChars="0" w:firstLine="0"/>
              <w:rPr>
                <w:rFonts w:ascii="宋体" w:eastAsia="宋体" w:hAnsi="宋体" w:cs="宋体" w:hint="eastAsia"/>
                <w:sz w:val="21"/>
                <w:szCs w:val="21"/>
              </w:rPr>
            </w:pPr>
          </w:p>
        </w:tc>
      </w:tr>
      <w:tr w:rsidR="005A1A44" w14:paraId="0608D4A2" w14:textId="77777777">
        <w:trPr>
          <w:cantSplit/>
          <w:trHeight w:val="397"/>
        </w:trPr>
        <w:tc>
          <w:tcPr>
            <w:tcW w:w="740" w:type="dxa"/>
            <w:vMerge/>
            <w:tcBorders>
              <w:tl2br w:val="nil"/>
              <w:tr2bl w:val="nil"/>
            </w:tcBorders>
            <w:vAlign w:val="center"/>
          </w:tcPr>
          <w:p w14:paraId="39CD5509"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15440D25" w14:textId="77777777" w:rsidR="005A1A44" w:rsidRDefault="0008059E">
            <w:pPr>
              <w:spacing w:line="240" w:lineRule="auto"/>
              <w:ind w:firstLineChars="0" w:firstLine="0"/>
              <w:jc w:val="left"/>
              <w:rPr>
                <w:rFonts w:ascii="宋体" w:eastAsia="宋体" w:hAnsi="宋体" w:cs="宋体" w:hint="eastAsia"/>
                <w:sz w:val="21"/>
                <w:szCs w:val="21"/>
              </w:rPr>
            </w:pPr>
            <w:r>
              <w:rPr>
                <w:rFonts w:ascii="宋体" w:eastAsia="宋体" w:hAnsi="宋体" w:cs="宋体" w:hint="eastAsia"/>
                <w:sz w:val="21"/>
                <w:szCs w:val="21"/>
              </w:rPr>
              <w:t>阿克铁热克村</w:t>
            </w:r>
          </w:p>
        </w:tc>
        <w:tc>
          <w:tcPr>
            <w:tcW w:w="2100" w:type="dxa"/>
            <w:tcBorders>
              <w:tl2br w:val="nil"/>
              <w:tr2bl w:val="nil"/>
            </w:tcBorders>
            <w:vAlign w:val="center"/>
          </w:tcPr>
          <w:p w14:paraId="6EB8F3DE"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河道左岸（西侧）</w:t>
            </w:r>
          </w:p>
        </w:tc>
        <w:tc>
          <w:tcPr>
            <w:tcW w:w="930" w:type="dxa"/>
            <w:tcBorders>
              <w:tl2br w:val="nil"/>
              <w:tr2bl w:val="nil"/>
            </w:tcBorders>
            <w:vAlign w:val="center"/>
          </w:tcPr>
          <w:p w14:paraId="48708B0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180</w:t>
            </w:r>
          </w:p>
        </w:tc>
        <w:tc>
          <w:tcPr>
            <w:tcW w:w="1320" w:type="dxa"/>
            <w:tcBorders>
              <w:tl2br w:val="nil"/>
              <w:tr2bl w:val="nil"/>
            </w:tcBorders>
            <w:vAlign w:val="center"/>
          </w:tcPr>
          <w:p w14:paraId="20925D4B"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2A11C03E" w14:textId="77777777" w:rsidR="005A1A44" w:rsidRDefault="005A1A44">
            <w:pPr>
              <w:spacing w:line="240" w:lineRule="auto"/>
              <w:ind w:firstLineChars="0" w:firstLine="0"/>
              <w:rPr>
                <w:rFonts w:ascii="宋体" w:eastAsia="宋体" w:hAnsi="宋体" w:cs="宋体" w:hint="eastAsia"/>
                <w:sz w:val="21"/>
                <w:szCs w:val="21"/>
              </w:rPr>
            </w:pPr>
          </w:p>
        </w:tc>
      </w:tr>
      <w:tr w:rsidR="005A1A44" w14:paraId="17C7C243" w14:textId="77777777">
        <w:trPr>
          <w:cantSplit/>
          <w:trHeight w:val="397"/>
        </w:trPr>
        <w:tc>
          <w:tcPr>
            <w:tcW w:w="740" w:type="dxa"/>
            <w:vMerge/>
            <w:tcBorders>
              <w:tl2br w:val="nil"/>
              <w:tr2bl w:val="nil"/>
            </w:tcBorders>
            <w:vAlign w:val="center"/>
          </w:tcPr>
          <w:p w14:paraId="1BD1F09E"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6008A5DA" w14:textId="77777777" w:rsidR="005A1A44" w:rsidRDefault="0008059E">
            <w:pPr>
              <w:spacing w:line="240" w:lineRule="auto"/>
              <w:ind w:firstLineChars="0" w:firstLine="0"/>
              <w:jc w:val="left"/>
              <w:rPr>
                <w:rFonts w:ascii="宋体" w:eastAsia="宋体" w:hAnsi="宋体" w:cs="宋体" w:hint="eastAsia"/>
                <w:sz w:val="21"/>
                <w:szCs w:val="21"/>
              </w:rPr>
            </w:pPr>
            <w:r>
              <w:rPr>
                <w:rFonts w:ascii="宋体" w:eastAsia="宋体" w:hAnsi="宋体" w:cs="宋体" w:hint="eastAsia"/>
                <w:kern w:val="0"/>
                <w:sz w:val="21"/>
                <w:szCs w:val="21"/>
              </w:rPr>
              <w:t>和田市伊力其乡阿热勒小学</w:t>
            </w:r>
          </w:p>
        </w:tc>
        <w:tc>
          <w:tcPr>
            <w:tcW w:w="2100" w:type="dxa"/>
            <w:tcBorders>
              <w:tl2br w:val="nil"/>
              <w:tr2bl w:val="nil"/>
            </w:tcBorders>
            <w:vAlign w:val="center"/>
          </w:tcPr>
          <w:p w14:paraId="46CF8ED6"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河道左岸（西侧）</w:t>
            </w:r>
          </w:p>
        </w:tc>
        <w:tc>
          <w:tcPr>
            <w:tcW w:w="930" w:type="dxa"/>
            <w:tcBorders>
              <w:tl2br w:val="nil"/>
              <w:tr2bl w:val="nil"/>
            </w:tcBorders>
            <w:vAlign w:val="center"/>
          </w:tcPr>
          <w:p w14:paraId="23A77E2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350</w:t>
            </w:r>
          </w:p>
        </w:tc>
        <w:tc>
          <w:tcPr>
            <w:tcW w:w="1320" w:type="dxa"/>
            <w:tcBorders>
              <w:tl2br w:val="nil"/>
              <w:tr2bl w:val="nil"/>
            </w:tcBorders>
            <w:vAlign w:val="center"/>
          </w:tcPr>
          <w:p w14:paraId="6B9EC8BF"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458844E4" w14:textId="77777777" w:rsidR="005A1A44" w:rsidRDefault="005A1A44">
            <w:pPr>
              <w:spacing w:line="240" w:lineRule="auto"/>
              <w:ind w:firstLineChars="0" w:firstLine="0"/>
              <w:rPr>
                <w:rFonts w:ascii="宋体" w:eastAsia="宋体" w:hAnsi="宋体" w:cs="宋体" w:hint="eastAsia"/>
                <w:sz w:val="21"/>
                <w:szCs w:val="21"/>
              </w:rPr>
            </w:pPr>
          </w:p>
        </w:tc>
      </w:tr>
      <w:tr w:rsidR="005A1A44" w14:paraId="2FA58E97" w14:textId="77777777">
        <w:trPr>
          <w:cantSplit/>
          <w:trHeight w:val="397"/>
        </w:trPr>
        <w:tc>
          <w:tcPr>
            <w:tcW w:w="740" w:type="dxa"/>
            <w:vMerge/>
            <w:tcBorders>
              <w:tl2br w:val="nil"/>
              <w:tr2bl w:val="nil"/>
            </w:tcBorders>
            <w:vAlign w:val="center"/>
          </w:tcPr>
          <w:p w14:paraId="6574393D"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36C4BC24" w14:textId="77777777" w:rsidR="005A1A44" w:rsidRDefault="0008059E">
            <w:pPr>
              <w:spacing w:line="240" w:lineRule="auto"/>
              <w:ind w:firstLineChars="0" w:firstLine="0"/>
              <w:jc w:val="left"/>
              <w:rPr>
                <w:rFonts w:ascii="宋体" w:eastAsia="宋体" w:hAnsi="宋体" w:cs="宋体" w:hint="eastAsia"/>
                <w:kern w:val="0"/>
                <w:sz w:val="21"/>
                <w:szCs w:val="21"/>
              </w:rPr>
            </w:pPr>
            <w:r>
              <w:rPr>
                <w:rFonts w:ascii="宋体" w:eastAsia="宋体" w:hAnsi="宋体" w:cs="宋体" w:hint="eastAsia"/>
                <w:sz w:val="21"/>
                <w:szCs w:val="21"/>
              </w:rPr>
              <w:t>和田市第一高级中学</w:t>
            </w:r>
          </w:p>
        </w:tc>
        <w:tc>
          <w:tcPr>
            <w:tcW w:w="2100" w:type="dxa"/>
            <w:tcBorders>
              <w:tl2br w:val="nil"/>
              <w:tr2bl w:val="nil"/>
            </w:tcBorders>
            <w:vAlign w:val="center"/>
          </w:tcPr>
          <w:p w14:paraId="347288E5"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河道左岸（西侧）</w:t>
            </w:r>
          </w:p>
        </w:tc>
        <w:tc>
          <w:tcPr>
            <w:tcW w:w="930" w:type="dxa"/>
            <w:tcBorders>
              <w:tl2br w:val="nil"/>
              <w:tr2bl w:val="nil"/>
            </w:tcBorders>
            <w:vAlign w:val="center"/>
          </w:tcPr>
          <w:p w14:paraId="28FA8E8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140</w:t>
            </w:r>
          </w:p>
        </w:tc>
        <w:tc>
          <w:tcPr>
            <w:tcW w:w="1320" w:type="dxa"/>
            <w:tcBorders>
              <w:tl2br w:val="nil"/>
              <w:tr2bl w:val="nil"/>
            </w:tcBorders>
            <w:vAlign w:val="center"/>
          </w:tcPr>
          <w:p w14:paraId="2F3AF357"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039614B8" w14:textId="77777777" w:rsidR="005A1A44" w:rsidRDefault="005A1A44">
            <w:pPr>
              <w:spacing w:line="240" w:lineRule="auto"/>
              <w:ind w:firstLineChars="0" w:firstLine="0"/>
              <w:rPr>
                <w:rFonts w:ascii="宋体" w:eastAsia="宋体" w:hAnsi="宋体" w:cs="宋体" w:hint="eastAsia"/>
                <w:sz w:val="21"/>
                <w:szCs w:val="21"/>
              </w:rPr>
            </w:pPr>
          </w:p>
        </w:tc>
      </w:tr>
      <w:tr w:rsidR="005A1A44" w14:paraId="66F3037C" w14:textId="77777777">
        <w:trPr>
          <w:cantSplit/>
          <w:trHeight w:val="397"/>
        </w:trPr>
        <w:tc>
          <w:tcPr>
            <w:tcW w:w="740" w:type="dxa"/>
            <w:vMerge/>
            <w:tcBorders>
              <w:tl2br w:val="nil"/>
              <w:tr2bl w:val="nil"/>
            </w:tcBorders>
            <w:vAlign w:val="center"/>
          </w:tcPr>
          <w:p w14:paraId="7D5C1616"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50C84506" w14:textId="77777777" w:rsidR="005A1A44" w:rsidRDefault="0008059E">
            <w:pPr>
              <w:spacing w:line="240" w:lineRule="auto"/>
              <w:ind w:firstLineChars="0" w:firstLine="0"/>
              <w:jc w:val="left"/>
              <w:rPr>
                <w:rFonts w:ascii="宋体" w:eastAsia="宋体" w:hAnsi="宋体" w:cs="宋体" w:hint="eastAsia"/>
                <w:kern w:val="0"/>
                <w:sz w:val="21"/>
                <w:szCs w:val="21"/>
              </w:rPr>
            </w:pPr>
            <w:r>
              <w:rPr>
                <w:rFonts w:ascii="宋体" w:eastAsia="宋体" w:hAnsi="宋体" w:cs="宋体" w:hint="eastAsia"/>
                <w:sz w:val="21"/>
                <w:szCs w:val="21"/>
              </w:rPr>
              <w:t>和田市浙江中学</w:t>
            </w:r>
          </w:p>
        </w:tc>
        <w:tc>
          <w:tcPr>
            <w:tcW w:w="2100" w:type="dxa"/>
            <w:tcBorders>
              <w:tl2br w:val="nil"/>
              <w:tr2bl w:val="nil"/>
            </w:tcBorders>
            <w:vAlign w:val="center"/>
          </w:tcPr>
          <w:p w14:paraId="2E0CDAE9"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河道左岸（西侧）</w:t>
            </w:r>
          </w:p>
        </w:tc>
        <w:tc>
          <w:tcPr>
            <w:tcW w:w="930" w:type="dxa"/>
            <w:tcBorders>
              <w:tl2br w:val="nil"/>
              <w:tr2bl w:val="nil"/>
            </w:tcBorders>
            <w:vAlign w:val="center"/>
          </w:tcPr>
          <w:p w14:paraId="3E36ED6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160</w:t>
            </w:r>
          </w:p>
        </w:tc>
        <w:tc>
          <w:tcPr>
            <w:tcW w:w="1320" w:type="dxa"/>
            <w:tcBorders>
              <w:tl2br w:val="nil"/>
              <w:tr2bl w:val="nil"/>
            </w:tcBorders>
            <w:vAlign w:val="center"/>
          </w:tcPr>
          <w:p w14:paraId="5C3EF45E"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76319376" w14:textId="77777777" w:rsidR="005A1A44" w:rsidRDefault="005A1A44">
            <w:pPr>
              <w:spacing w:line="240" w:lineRule="auto"/>
              <w:ind w:firstLineChars="0" w:firstLine="0"/>
              <w:rPr>
                <w:rFonts w:ascii="宋体" w:eastAsia="宋体" w:hAnsi="宋体" w:cs="宋体" w:hint="eastAsia"/>
                <w:sz w:val="21"/>
                <w:szCs w:val="21"/>
              </w:rPr>
            </w:pPr>
          </w:p>
        </w:tc>
      </w:tr>
      <w:tr w:rsidR="005A1A44" w14:paraId="7E95C61B" w14:textId="77777777">
        <w:trPr>
          <w:cantSplit/>
          <w:trHeight w:val="397"/>
        </w:trPr>
        <w:tc>
          <w:tcPr>
            <w:tcW w:w="740" w:type="dxa"/>
            <w:vMerge/>
            <w:tcBorders>
              <w:tl2br w:val="nil"/>
              <w:tr2bl w:val="nil"/>
            </w:tcBorders>
            <w:vAlign w:val="center"/>
          </w:tcPr>
          <w:p w14:paraId="13D9A25D"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1F3675FF" w14:textId="77777777" w:rsidR="005A1A44" w:rsidRDefault="0008059E">
            <w:pPr>
              <w:spacing w:line="240" w:lineRule="auto"/>
              <w:ind w:firstLineChars="0" w:firstLine="0"/>
              <w:jc w:val="left"/>
              <w:rPr>
                <w:rFonts w:ascii="宋体" w:eastAsia="宋体" w:hAnsi="宋体" w:cs="宋体" w:hint="eastAsia"/>
                <w:kern w:val="0"/>
                <w:sz w:val="21"/>
                <w:szCs w:val="21"/>
              </w:rPr>
            </w:pPr>
            <w:r>
              <w:rPr>
                <w:rFonts w:ascii="宋体" w:eastAsia="宋体" w:hAnsi="宋体" w:cs="宋体" w:hint="eastAsia"/>
                <w:kern w:val="0"/>
                <w:sz w:val="21"/>
                <w:szCs w:val="21"/>
              </w:rPr>
              <w:t>布雅小区</w:t>
            </w:r>
          </w:p>
        </w:tc>
        <w:tc>
          <w:tcPr>
            <w:tcW w:w="2100" w:type="dxa"/>
            <w:tcBorders>
              <w:tl2br w:val="nil"/>
              <w:tr2bl w:val="nil"/>
            </w:tcBorders>
            <w:vAlign w:val="center"/>
          </w:tcPr>
          <w:p w14:paraId="0759718F"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河道左岸（西侧）</w:t>
            </w:r>
          </w:p>
        </w:tc>
        <w:tc>
          <w:tcPr>
            <w:tcW w:w="930" w:type="dxa"/>
            <w:tcBorders>
              <w:tl2br w:val="nil"/>
              <w:tr2bl w:val="nil"/>
            </w:tcBorders>
            <w:vAlign w:val="center"/>
          </w:tcPr>
          <w:p w14:paraId="0D663E1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570</w:t>
            </w:r>
          </w:p>
        </w:tc>
        <w:tc>
          <w:tcPr>
            <w:tcW w:w="1320" w:type="dxa"/>
            <w:tcBorders>
              <w:tl2br w:val="nil"/>
              <w:tr2bl w:val="nil"/>
            </w:tcBorders>
            <w:vAlign w:val="center"/>
          </w:tcPr>
          <w:p w14:paraId="2668A23E"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1724EC9B" w14:textId="77777777" w:rsidR="005A1A44" w:rsidRDefault="005A1A44">
            <w:pPr>
              <w:spacing w:line="240" w:lineRule="auto"/>
              <w:ind w:firstLineChars="0" w:firstLine="0"/>
              <w:rPr>
                <w:rFonts w:ascii="宋体" w:eastAsia="宋体" w:hAnsi="宋体" w:cs="宋体" w:hint="eastAsia"/>
                <w:sz w:val="21"/>
                <w:szCs w:val="21"/>
              </w:rPr>
            </w:pPr>
          </w:p>
        </w:tc>
      </w:tr>
      <w:tr w:rsidR="005A1A44" w14:paraId="448AC097" w14:textId="77777777">
        <w:trPr>
          <w:cantSplit/>
          <w:trHeight w:val="397"/>
        </w:trPr>
        <w:tc>
          <w:tcPr>
            <w:tcW w:w="740" w:type="dxa"/>
            <w:vMerge/>
            <w:tcBorders>
              <w:tl2br w:val="nil"/>
              <w:tr2bl w:val="nil"/>
            </w:tcBorders>
            <w:vAlign w:val="center"/>
          </w:tcPr>
          <w:p w14:paraId="52DDE4CE"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259F9B5D" w14:textId="77777777" w:rsidR="005A1A44" w:rsidRDefault="0008059E">
            <w:pPr>
              <w:spacing w:line="240" w:lineRule="auto"/>
              <w:ind w:firstLineChars="0" w:firstLine="0"/>
              <w:jc w:val="left"/>
              <w:rPr>
                <w:rFonts w:ascii="宋体" w:eastAsia="宋体" w:hAnsi="宋体" w:cs="宋体" w:hint="eastAsia"/>
                <w:kern w:val="0"/>
                <w:sz w:val="21"/>
                <w:szCs w:val="21"/>
              </w:rPr>
            </w:pPr>
            <w:r>
              <w:rPr>
                <w:rFonts w:ascii="宋体" w:eastAsia="宋体" w:hAnsi="宋体" w:cs="宋体" w:hint="eastAsia"/>
                <w:sz w:val="21"/>
                <w:szCs w:val="21"/>
              </w:rPr>
              <w:t>阿鲁博依村</w:t>
            </w:r>
          </w:p>
        </w:tc>
        <w:tc>
          <w:tcPr>
            <w:tcW w:w="2100" w:type="dxa"/>
            <w:tcBorders>
              <w:tl2br w:val="nil"/>
              <w:tr2bl w:val="nil"/>
            </w:tcBorders>
            <w:vAlign w:val="center"/>
          </w:tcPr>
          <w:p w14:paraId="7718012B"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河道右岸（东侧）</w:t>
            </w:r>
          </w:p>
        </w:tc>
        <w:tc>
          <w:tcPr>
            <w:tcW w:w="930" w:type="dxa"/>
            <w:tcBorders>
              <w:tl2br w:val="nil"/>
              <w:tr2bl w:val="nil"/>
            </w:tcBorders>
            <w:vAlign w:val="center"/>
          </w:tcPr>
          <w:p w14:paraId="6EF1CC4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808</w:t>
            </w:r>
          </w:p>
        </w:tc>
        <w:tc>
          <w:tcPr>
            <w:tcW w:w="1320" w:type="dxa"/>
            <w:tcBorders>
              <w:tl2br w:val="nil"/>
              <w:tr2bl w:val="nil"/>
            </w:tcBorders>
            <w:vAlign w:val="center"/>
          </w:tcPr>
          <w:p w14:paraId="4D368ACC"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40778735" w14:textId="77777777" w:rsidR="005A1A44" w:rsidRDefault="005A1A44">
            <w:pPr>
              <w:spacing w:line="240" w:lineRule="auto"/>
              <w:ind w:firstLineChars="0" w:firstLine="0"/>
              <w:rPr>
                <w:rFonts w:ascii="宋体" w:eastAsia="宋体" w:hAnsi="宋体" w:cs="宋体" w:hint="eastAsia"/>
                <w:sz w:val="21"/>
                <w:szCs w:val="21"/>
              </w:rPr>
            </w:pPr>
          </w:p>
        </w:tc>
      </w:tr>
      <w:tr w:rsidR="005A1A44" w14:paraId="0ED24872" w14:textId="77777777">
        <w:trPr>
          <w:cantSplit/>
          <w:trHeight w:val="397"/>
        </w:trPr>
        <w:tc>
          <w:tcPr>
            <w:tcW w:w="740" w:type="dxa"/>
            <w:vMerge/>
            <w:tcBorders>
              <w:tl2br w:val="nil"/>
              <w:tr2bl w:val="nil"/>
            </w:tcBorders>
            <w:vAlign w:val="center"/>
          </w:tcPr>
          <w:p w14:paraId="1A0B2D82"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39DDA719" w14:textId="77777777" w:rsidR="005A1A44" w:rsidRDefault="0008059E">
            <w:pPr>
              <w:spacing w:line="240" w:lineRule="auto"/>
              <w:ind w:firstLineChars="0" w:firstLine="0"/>
              <w:jc w:val="left"/>
              <w:rPr>
                <w:rFonts w:ascii="宋体" w:eastAsia="宋体" w:hAnsi="宋体" w:cs="宋体" w:hint="eastAsia"/>
                <w:sz w:val="21"/>
                <w:szCs w:val="21"/>
              </w:rPr>
            </w:pPr>
            <w:r>
              <w:rPr>
                <w:rFonts w:ascii="宋体" w:eastAsia="宋体" w:hAnsi="宋体" w:cs="宋体" w:hint="eastAsia"/>
                <w:sz w:val="21"/>
                <w:szCs w:val="21"/>
              </w:rPr>
              <w:t>亚格买里村</w:t>
            </w:r>
          </w:p>
        </w:tc>
        <w:tc>
          <w:tcPr>
            <w:tcW w:w="2100" w:type="dxa"/>
            <w:tcBorders>
              <w:tl2br w:val="nil"/>
              <w:tr2bl w:val="nil"/>
            </w:tcBorders>
            <w:vAlign w:val="center"/>
          </w:tcPr>
          <w:p w14:paraId="07603FE1"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河道右岸（东侧）</w:t>
            </w:r>
          </w:p>
        </w:tc>
        <w:tc>
          <w:tcPr>
            <w:tcW w:w="930" w:type="dxa"/>
            <w:tcBorders>
              <w:tl2br w:val="nil"/>
              <w:tr2bl w:val="nil"/>
            </w:tcBorders>
            <w:vAlign w:val="center"/>
          </w:tcPr>
          <w:p w14:paraId="127F4D6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230</w:t>
            </w:r>
          </w:p>
        </w:tc>
        <w:tc>
          <w:tcPr>
            <w:tcW w:w="1320" w:type="dxa"/>
            <w:tcBorders>
              <w:tl2br w:val="nil"/>
              <w:tr2bl w:val="nil"/>
            </w:tcBorders>
            <w:vAlign w:val="center"/>
          </w:tcPr>
          <w:p w14:paraId="38C8C713"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098A0444" w14:textId="77777777" w:rsidR="005A1A44" w:rsidRDefault="005A1A44">
            <w:pPr>
              <w:spacing w:line="240" w:lineRule="auto"/>
              <w:ind w:firstLineChars="0" w:firstLine="0"/>
              <w:rPr>
                <w:rFonts w:ascii="宋体" w:eastAsia="宋体" w:hAnsi="宋体" w:cs="宋体" w:hint="eastAsia"/>
                <w:sz w:val="21"/>
                <w:szCs w:val="21"/>
              </w:rPr>
            </w:pPr>
          </w:p>
        </w:tc>
      </w:tr>
      <w:tr w:rsidR="005A1A44" w14:paraId="632461BB" w14:textId="77777777">
        <w:trPr>
          <w:cantSplit/>
          <w:trHeight w:val="397"/>
        </w:trPr>
        <w:tc>
          <w:tcPr>
            <w:tcW w:w="740" w:type="dxa"/>
            <w:vMerge/>
            <w:tcBorders>
              <w:tl2br w:val="nil"/>
              <w:tr2bl w:val="nil"/>
            </w:tcBorders>
            <w:vAlign w:val="center"/>
          </w:tcPr>
          <w:p w14:paraId="3432098B"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7EA4E1F3" w14:textId="77777777" w:rsidR="005A1A44" w:rsidRDefault="0008059E">
            <w:pPr>
              <w:spacing w:line="240" w:lineRule="auto"/>
              <w:ind w:firstLineChars="0" w:firstLine="0"/>
              <w:jc w:val="left"/>
              <w:rPr>
                <w:rFonts w:ascii="宋体" w:eastAsia="宋体" w:hAnsi="宋体" w:cs="宋体" w:hint="eastAsia"/>
                <w:kern w:val="0"/>
                <w:sz w:val="21"/>
                <w:szCs w:val="21"/>
              </w:rPr>
            </w:pPr>
            <w:r>
              <w:rPr>
                <w:rFonts w:ascii="宋体" w:eastAsia="宋体" w:hAnsi="宋体" w:cs="宋体" w:hint="eastAsia"/>
                <w:sz w:val="21"/>
                <w:szCs w:val="21"/>
              </w:rPr>
              <w:t>库木艾日克村</w:t>
            </w:r>
          </w:p>
        </w:tc>
        <w:tc>
          <w:tcPr>
            <w:tcW w:w="2100" w:type="dxa"/>
            <w:tcBorders>
              <w:tl2br w:val="nil"/>
              <w:tr2bl w:val="nil"/>
            </w:tcBorders>
            <w:vAlign w:val="center"/>
          </w:tcPr>
          <w:p w14:paraId="167D19EC"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河道右岸（东侧）</w:t>
            </w:r>
          </w:p>
        </w:tc>
        <w:tc>
          <w:tcPr>
            <w:tcW w:w="930" w:type="dxa"/>
            <w:tcBorders>
              <w:tl2br w:val="nil"/>
              <w:tr2bl w:val="nil"/>
            </w:tcBorders>
            <w:vAlign w:val="center"/>
          </w:tcPr>
          <w:p w14:paraId="585822E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280</w:t>
            </w:r>
          </w:p>
        </w:tc>
        <w:tc>
          <w:tcPr>
            <w:tcW w:w="1320" w:type="dxa"/>
            <w:tcBorders>
              <w:tl2br w:val="nil"/>
              <w:tr2bl w:val="nil"/>
            </w:tcBorders>
            <w:vAlign w:val="center"/>
          </w:tcPr>
          <w:p w14:paraId="48403CFB"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63703815" w14:textId="77777777" w:rsidR="005A1A44" w:rsidRDefault="005A1A44">
            <w:pPr>
              <w:spacing w:line="240" w:lineRule="auto"/>
              <w:ind w:firstLineChars="0" w:firstLine="0"/>
              <w:rPr>
                <w:rFonts w:ascii="宋体" w:eastAsia="宋体" w:hAnsi="宋体" w:cs="宋体" w:hint="eastAsia"/>
                <w:sz w:val="21"/>
                <w:szCs w:val="21"/>
              </w:rPr>
            </w:pPr>
          </w:p>
        </w:tc>
      </w:tr>
      <w:tr w:rsidR="005A1A44" w14:paraId="524CECB7" w14:textId="77777777">
        <w:trPr>
          <w:cantSplit/>
          <w:trHeight w:val="397"/>
        </w:trPr>
        <w:tc>
          <w:tcPr>
            <w:tcW w:w="740" w:type="dxa"/>
            <w:vMerge/>
            <w:tcBorders>
              <w:tl2br w:val="nil"/>
              <w:tr2bl w:val="nil"/>
            </w:tcBorders>
            <w:vAlign w:val="center"/>
          </w:tcPr>
          <w:p w14:paraId="05C6368D"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20277D1E" w14:textId="77777777" w:rsidR="005A1A44" w:rsidRDefault="0008059E">
            <w:pPr>
              <w:spacing w:line="240" w:lineRule="auto"/>
              <w:ind w:firstLineChars="0" w:firstLine="0"/>
              <w:jc w:val="left"/>
              <w:rPr>
                <w:rFonts w:ascii="宋体" w:eastAsia="宋体" w:hAnsi="宋体" w:cs="宋体" w:hint="eastAsia"/>
                <w:sz w:val="21"/>
                <w:szCs w:val="21"/>
              </w:rPr>
            </w:pPr>
            <w:r>
              <w:rPr>
                <w:rFonts w:ascii="宋体" w:eastAsia="宋体" w:hAnsi="宋体" w:cs="宋体" w:hint="eastAsia"/>
                <w:sz w:val="21"/>
                <w:szCs w:val="21"/>
              </w:rPr>
              <w:t>亚吐格曼村村</w:t>
            </w:r>
          </w:p>
        </w:tc>
        <w:tc>
          <w:tcPr>
            <w:tcW w:w="2100" w:type="dxa"/>
            <w:tcBorders>
              <w:tl2br w:val="nil"/>
              <w:tr2bl w:val="nil"/>
            </w:tcBorders>
            <w:vAlign w:val="center"/>
          </w:tcPr>
          <w:p w14:paraId="25F79CBA"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河道右岸（东侧）</w:t>
            </w:r>
          </w:p>
        </w:tc>
        <w:tc>
          <w:tcPr>
            <w:tcW w:w="930" w:type="dxa"/>
            <w:tcBorders>
              <w:tl2br w:val="nil"/>
              <w:tr2bl w:val="nil"/>
            </w:tcBorders>
            <w:vAlign w:val="center"/>
          </w:tcPr>
          <w:p w14:paraId="2744413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810</w:t>
            </w:r>
          </w:p>
        </w:tc>
        <w:tc>
          <w:tcPr>
            <w:tcW w:w="1320" w:type="dxa"/>
            <w:tcBorders>
              <w:tl2br w:val="nil"/>
              <w:tr2bl w:val="nil"/>
            </w:tcBorders>
            <w:vAlign w:val="center"/>
          </w:tcPr>
          <w:p w14:paraId="0086DD49"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50E3E820" w14:textId="77777777" w:rsidR="005A1A44" w:rsidRDefault="005A1A44">
            <w:pPr>
              <w:spacing w:line="240" w:lineRule="auto"/>
              <w:ind w:firstLineChars="0" w:firstLine="0"/>
              <w:rPr>
                <w:rFonts w:ascii="宋体" w:eastAsia="宋体" w:hAnsi="宋体" w:cs="宋体" w:hint="eastAsia"/>
                <w:sz w:val="21"/>
                <w:szCs w:val="21"/>
              </w:rPr>
            </w:pPr>
          </w:p>
        </w:tc>
      </w:tr>
      <w:tr w:rsidR="005A1A44" w14:paraId="461DC7C5" w14:textId="77777777">
        <w:trPr>
          <w:cantSplit/>
          <w:trHeight w:val="397"/>
        </w:trPr>
        <w:tc>
          <w:tcPr>
            <w:tcW w:w="740" w:type="dxa"/>
            <w:vMerge/>
            <w:tcBorders>
              <w:tl2br w:val="nil"/>
              <w:tr2bl w:val="nil"/>
            </w:tcBorders>
            <w:vAlign w:val="center"/>
          </w:tcPr>
          <w:p w14:paraId="6C220CA8"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714C839C" w14:textId="77777777" w:rsidR="005A1A44" w:rsidRDefault="0008059E">
            <w:pPr>
              <w:spacing w:line="240" w:lineRule="auto"/>
              <w:ind w:firstLineChars="0" w:firstLine="0"/>
              <w:jc w:val="left"/>
              <w:rPr>
                <w:rFonts w:ascii="宋体" w:eastAsia="宋体" w:hAnsi="宋体" w:cs="宋体" w:hint="eastAsia"/>
                <w:sz w:val="21"/>
                <w:szCs w:val="21"/>
              </w:rPr>
            </w:pPr>
            <w:r>
              <w:rPr>
                <w:rFonts w:ascii="宋体" w:eastAsia="宋体" w:hAnsi="宋体" w:cs="宋体" w:hint="eastAsia"/>
                <w:sz w:val="21"/>
                <w:szCs w:val="21"/>
              </w:rPr>
              <w:t>买迪日斯博依村</w:t>
            </w:r>
          </w:p>
        </w:tc>
        <w:tc>
          <w:tcPr>
            <w:tcW w:w="2100" w:type="dxa"/>
            <w:tcBorders>
              <w:tl2br w:val="nil"/>
              <w:tr2bl w:val="nil"/>
            </w:tcBorders>
            <w:vAlign w:val="center"/>
          </w:tcPr>
          <w:p w14:paraId="1F61FE2C"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河道右岸（东侧）</w:t>
            </w:r>
          </w:p>
        </w:tc>
        <w:tc>
          <w:tcPr>
            <w:tcW w:w="930" w:type="dxa"/>
            <w:tcBorders>
              <w:tl2br w:val="nil"/>
              <w:tr2bl w:val="nil"/>
            </w:tcBorders>
            <w:vAlign w:val="center"/>
          </w:tcPr>
          <w:p w14:paraId="0D60934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755</w:t>
            </w:r>
          </w:p>
        </w:tc>
        <w:tc>
          <w:tcPr>
            <w:tcW w:w="1320" w:type="dxa"/>
            <w:tcBorders>
              <w:tl2br w:val="nil"/>
              <w:tr2bl w:val="nil"/>
            </w:tcBorders>
            <w:vAlign w:val="center"/>
          </w:tcPr>
          <w:p w14:paraId="4CFE2A6F"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4DAECDE6" w14:textId="77777777" w:rsidR="005A1A44" w:rsidRDefault="005A1A44">
            <w:pPr>
              <w:spacing w:line="240" w:lineRule="auto"/>
              <w:ind w:firstLineChars="0" w:firstLine="0"/>
              <w:rPr>
                <w:rFonts w:ascii="宋体" w:eastAsia="宋体" w:hAnsi="宋体" w:cs="宋体" w:hint="eastAsia"/>
                <w:sz w:val="21"/>
                <w:szCs w:val="21"/>
              </w:rPr>
            </w:pPr>
          </w:p>
        </w:tc>
      </w:tr>
      <w:tr w:rsidR="005A1A44" w14:paraId="7573FD1E" w14:textId="77777777">
        <w:trPr>
          <w:cantSplit/>
          <w:trHeight w:val="397"/>
        </w:trPr>
        <w:tc>
          <w:tcPr>
            <w:tcW w:w="740" w:type="dxa"/>
            <w:vMerge/>
            <w:tcBorders>
              <w:tl2br w:val="nil"/>
              <w:tr2bl w:val="nil"/>
            </w:tcBorders>
            <w:vAlign w:val="center"/>
          </w:tcPr>
          <w:p w14:paraId="7F85BAE3"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485F8D00" w14:textId="77777777" w:rsidR="005A1A44" w:rsidRDefault="0008059E">
            <w:pPr>
              <w:spacing w:line="240" w:lineRule="auto"/>
              <w:ind w:firstLineChars="0" w:firstLine="0"/>
              <w:jc w:val="left"/>
              <w:rPr>
                <w:rFonts w:ascii="宋体" w:eastAsia="宋体" w:hAnsi="宋体" w:cs="宋体" w:hint="eastAsia"/>
                <w:sz w:val="21"/>
                <w:szCs w:val="21"/>
              </w:rPr>
            </w:pPr>
            <w:r>
              <w:rPr>
                <w:rFonts w:ascii="宋体" w:eastAsia="宋体" w:hAnsi="宋体" w:cs="宋体" w:hint="eastAsia"/>
                <w:sz w:val="21"/>
                <w:szCs w:val="21"/>
              </w:rPr>
              <w:t>吉勒尕布依村</w:t>
            </w:r>
          </w:p>
        </w:tc>
        <w:tc>
          <w:tcPr>
            <w:tcW w:w="2100" w:type="dxa"/>
            <w:tcBorders>
              <w:tl2br w:val="nil"/>
              <w:tr2bl w:val="nil"/>
            </w:tcBorders>
            <w:vAlign w:val="center"/>
          </w:tcPr>
          <w:p w14:paraId="14B120A1"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河道右岸（东侧）</w:t>
            </w:r>
          </w:p>
        </w:tc>
        <w:tc>
          <w:tcPr>
            <w:tcW w:w="930" w:type="dxa"/>
            <w:tcBorders>
              <w:tl2br w:val="nil"/>
              <w:tr2bl w:val="nil"/>
            </w:tcBorders>
            <w:vAlign w:val="center"/>
          </w:tcPr>
          <w:p w14:paraId="6A3D7BF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775</w:t>
            </w:r>
          </w:p>
        </w:tc>
        <w:tc>
          <w:tcPr>
            <w:tcW w:w="1320" w:type="dxa"/>
            <w:tcBorders>
              <w:tl2br w:val="nil"/>
              <w:tr2bl w:val="nil"/>
            </w:tcBorders>
            <w:vAlign w:val="center"/>
          </w:tcPr>
          <w:p w14:paraId="53CA2E90"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0E69371D" w14:textId="77777777" w:rsidR="005A1A44" w:rsidRDefault="005A1A44">
            <w:pPr>
              <w:spacing w:line="240" w:lineRule="auto"/>
              <w:ind w:firstLineChars="0" w:firstLine="0"/>
              <w:rPr>
                <w:rFonts w:ascii="宋体" w:eastAsia="宋体" w:hAnsi="宋体" w:cs="宋体" w:hint="eastAsia"/>
                <w:sz w:val="21"/>
                <w:szCs w:val="21"/>
              </w:rPr>
            </w:pPr>
          </w:p>
        </w:tc>
      </w:tr>
      <w:tr w:rsidR="005A1A44" w14:paraId="0703B4EB" w14:textId="77777777">
        <w:trPr>
          <w:cantSplit/>
          <w:trHeight w:val="397"/>
        </w:trPr>
        <w:tc>
          <w:tcPr>
            <w:tcW w:w="740" w:type="dxa"/>
            <w:vMerge/>
            <w:tcBorders>
              <w:tl2br w:val="nil"/>
              <w:tr2bl w:val="nil"/>
            </w:tcBorders>
            <w:vAlign w:val="center"/>
          </w:tcPr>
          <w:p w14:paraId="7DC260D4"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2509ABD0" w14:textId="77777777" w:rsidR="005A1A44" w:rsidRDefault="0008059E">
            <w:pPr>
              <w:spacing w:line="240" w:lineRule="auto"/>
              <w:ind w:firstLineChars="0" w:firstLine="0"/>
              <w:jc w:val="left"/>
              <w:rPr>
                <w:rFonts w:ascii="宋体" w:eastAsia="宋体" w:hAnsi="宋体" w:cs="宋体" w:hint="eastAsia"/>
                <w:sz w:val="21"/>
                <w:szCs w:val="21"/>
              </w:rPr>
            </w:pPr>
            <w:r>
              <w:rPr>
                <w:rFonts w:ascii="宋体" w:eastAsia="宋体" w:hAnsi="宋体" w:cs="宋体" w:hint="eastAsia"/>
                <w:sz w:val="21"/>
                <w:szCs w:val="21"/>
              </w:rPr>
              <w:t>和田市第二中学</w:t>
            </w:r>
          </w:p>
        </w:tc>
        <w:tc>
          <w:tcPr>
            <w:tcW w:w="2100" w:type="dxa"/>
            <w:tcBorders>
              <w:tl2br w:val="nil"/>
              <w:tr2bl w:val="nil"/>
            </w:tcBorders>
            <w:vAlign w:val="center"/>
          </w:tcPr>
          <w:p w14:paraId="7F111BB5"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河道右岸（东侧）</w:t>
            </w:r>
          </w:p>
        </w:tc>
        <w:tc>
          <w:tcPr>
            <w:tcW w:w="930" w:type="dxa"/>
            <w:tcBorders>
              <w:tl2br w:val="nil"/>
              <w:tr2bl w:val="nil"/>
            </w:tcBorders>
            <w:vAlign w:val="center"/>
          </w:tcPr>
          <w:p w14:paraId="4E60E41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360</w:t>
            </w:r>
          </w:p>
        </w:tc>
        <w:tc>
          <w:tcPr>
            <w:tcW w:w="1320" w:type="dxa"/>
            <w:tcBorders>
              <w:tl2br w:val="nil"/>
              <w:tr2bl w:val="nil"/>
            </w:tcBorders>
            <w:vAlign w:val="center"/>
          </w:tcPr>
          <w:p w14:paraId="761B3193"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0C49D1D6" w14:textId="77777777" w:rsidR="005A1A44" w:rsidRDefault="005A1A44">
            <w:pPr>
              <w:spacing w:line="240" w:lineRule="auto"/>
              <w:ind w:firstLineChars="0" w:firstLine="0"/>
              <w:rPr>
                <w:rFonts w:ascii="宋体" w:eastAsia="宋体" w:hAnsi="宋体" w:cs="宋体" w:hint="eastAsia"/>
                <w:sz w:val="21"/>
                <w:szCs w:val="21"/>
              </w:rPr>
            </w:pPr>
          </w:p>
        </w:tc>
      </w:tr>
      <w:tr w:rsidR="005A1A44" w14:paraId="3371653B" w14:textId="77777777">
        <w:trPr>
          <w:cantSplit/>
          <w:trHeight w:val="397"/>
        </w:trPr>
        <w:tc>
          <w:tcPr>
            <w:tcW w:w="740" w:type="dxa"/>
            <w:vMerge/>
            <w:tcBorders>
              <w:tl2br w:val="nil"/>
              <w:tr2bl w:val="nil"/>
            </w:tcBorders>
            <w:vAlign w:val="center"/>
          </w:tcPr>
          <w:p w14:paraId="34405B5C"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23FDB6E9" w14:textId="77777777" w:rsidR="005A1A44" w:rsidRDefault="0008059E">
            <w:pPr>
              <w:spacing w:line="240" w:lineRule="auto"/>
              <w:ind w:firstLineChars="0" w:firstLine="0"/>
              <w:jc w:val="left"/>
              <w:rPr>
                <w:rFonts w:ascii="宋体" w:eastAsia="宋体" w:hAnsi="宋体" w:cs="宋体" w:hint="eastAsia"/>
                <w:kern w:val="0"/>
                <w:sz w:val="21"/>
                <w:szCs w:val="21"/>
              </w:rPr>
            </w:pPr>
            <w:r>
              <w:rPr>
                <w:rFonts w:ascii="宋体" w:eastAsia="宋体" w:hAnsi="宋体" w:cs="宋体" w:hint="eastAsia"/>
                <w:sz w:val="21"/>
                <w:szCs w:val="21"/>
              </w:rPr>
              <w:t>洛浦县比孜里亚中学</w:t>
            </w:r>
          </w:p>
        </w:tc>
        <w:tc>
          <w:tcPr>
            <w:tcW w:w="2100" w:type="dxa"/>
            <w:tcBorders>
              <w:tl2br w:val="nil"/>
              <w:tr2bl w:val="nil"/>
            </w:tcBorders>
            <w:vAlign w:val="center"/>
          </w:tcPr>
          <w:p w14:paraId="575EBDFE"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河道右岸（东侧）</w:t>
            </w:r>
          </w:p>
        </w:tc>
        <w:tc>
          <w:tcPr>
            <w:tcW w:w="930" w:type="dxa"/>
            <w:tcBorders>
              <w:tl2br w:val="nil"/>
              <w:tr2bl w:val="nil"/>
            </w:tcBorders>
            <w:vAlign w:val="center"/>
          </w:tcPr>
          <w:p w14:paraId="68AB9FB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600</w:t>
            </w:r>
          </w:p>
        </w:tc>
        <w:tc>
          <w:tcPr>
            <w:tcW w:w="1320" w:type="dxa"/>
            <w:tcBorders>
              <w:tl2br w:val="nil"/>
              <w:tr2bl w:val="nil"/>
            </w:tcBorders>
            <w:vAlign w:val="center"/>
          </w:tcPr>
          <w:p w14:paraId="1B1A7B7C"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61FFF546" w14:textId="77777777" w:rsidR="005A1A44" w:rsidRDefault="005A1A44">
            <w:pPr>
              <w:spacing w:line="240" w:lineRule="auto"/>
              <w:ind w:firstLineChars="0" w:firstLine="0"/>
              <w:rPr>
                <w:rFonts w:ascii="宋体" w:eastAsia="宋体" w:hAnsi="宋体" w:cs="宋体" w:hint="eastAsia"/>
                <w:sz w:val="21"/>
                <w:szCs w:val="21"/>
              </w:rPr>
            </w:pPr>
          </w:p>
        </w:tc>
      </w:tr>
      <w:tr w:rsidR="005A1A44" w14:paraId="759191C3" w14:textId="77777777">
        <w:trPr>
          <w:cantSplit/>
          <w:trHeight w:val="397"/>
        </w:trPr>
        <w:tc>
          <w:tcPr>
            <w:tcW w:w="740" w:type="dxa"/>
            <w:vMerge/>
            <w:tcBorders>
              <w:tl2br w:val="nil"/>
              <w:tr2bl w:val="nil"/>
            </w:tcBorders>
            <w:vAlign w:val="center"/>
          </w:tcPr>
          <w:p w14:paraId="20456A5E"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220E5B23" w14:textId="77777777" w:rsidR="005A1A44" w:rsidRDefault="0008059E">
            <w:pPr>
              <w:spacing w:line="240" w:lineRule="auto"/>
              <w:ind w:firstLineChars="0" w:firstLine="0"/>
              <w:rPr>
                <w:rFonts w:ascii="宋体" w:eastAsia="宋体" w:hAnsi="宋体" w:cs="宋体" w:hint="eastAsia"/>
                <w:kern w:val="0"/>
                <w:sz w:val="21"/>
                <w:szCs w:val="21"/>
              </w:rPr>
            </w:pPr>
            <w:r>
              <w:rPr>
                <w:rFonts w:ascii="宋体" w:eastAsia="宋体" w:hAnsi="宋体" w:cs="宋体" w:hint="eastAsia"/>
                <w:sz w:val="21"/>
                <w:szCs w:val="21"/>
              </w:rPr>
              <w:t>玉龙庄园</w:t>
            </w:r>
          </w:p>
        </w:tc>
        <w:tc>
          <w:tcPr>
            <w:tcW w:w="2100" w:type="dxa"/>
            <w:tcBorders>
              <w:tl2br w:val="nil"/>
              <w:tr2bl w:val="nil"/>
            </w:tcBorders>
            <w:vAlign w:val="center"/>
          </w:tcPr>
          <w:p w14:paraId="1BCB1007"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河道右岸（东侧）</w:t>
            </w:r>
          </w:p>
        </w:tc>
        <w:tc>
          <w:tcPr>
            <w:tcW w:w="930" w:type="dxa"/>
            <w:tcBorders>
              <w:tl2br w:val="nil"/>
              <w:tr2bl w:val="nil"/>
            </w:tcBorders>
            <w:vAlign w:val="center"/>
          </w:tcPr>
          <w:p w14:paraId="5832ACD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75</w:t>
            </w:r>
          </w:p>
        </w:tc>
        <w:tc>
          <w:tcPr>
            <w:tcW w:w="1320" w:type="dxa"/>
            <w:tcBorders>
              <w:tl2br w:val="nil"/>
              <w:tr2bl w:val="nil"/>
            </w:tcBorders>
            <w:vAlign w:val="center"/>
          </w:tcPr>
          <w:p w14:paraId="2B1E8FB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邻近有主干道</w:t>
            </w:r>
          </w:p>
        </w:tc>
        <w:tc>
          <w:tcPr>
            <w:tcW w:w="1677" w:type="dxa"/>
            <w:vMerge/>
            <w:tcBorders>
              <w:tl2br w:val="nil"/>
              <w:tr2bl w:val="nil"/>
            </w:tcBorders>
            <w:vAlign w:val="center"/>
          </w:tcPr>
          <w:p w14:paraId="4E7B91B4" w14:textId="77777777" w:rsidR="005A1A44" w:rsidRDefault="005A1A44">
            <w:pPr>
              <w:spacing w:line="240" w:lineRule="auto"/>
              <w:ind w:firstLineChars="0" w:firstLine="0"/>
              <w:rPr>
                <w:rFonts w:ascii="宋体" w:eastAsia="宋体" w:hAnsi="宋体" w:cs="宋体" w:hint="eastAsia"/>
                <w:sz w:val="21"/>
                <w:szCs w:val="21"/>
              </w:rPr>
            </w:pPr>
          </w:p>
        </w:tc>
      </w:tr>
      <w:tr w:rsidR="005A1A44" w14:paraId="18E6CEA0" w14:textId="77777777">
        <w:trPr>
          <w:cantSplit/>
          <w:trHeight w:val="397"/>
        </w:trPr>
        <w:tc>
          <w:tcPr>
            <w:tcW w:w="740" w:type="dxa"/>
            <w:vMerge/>
            <w:tcBorders>
              <w:tl2br w:val="nil"/>
              <w:tr2bl w:val="nil"/>
            </w:tcBorders>
            <w:vAlign w:val="center"/>
          </w:tcPr>
          <w:p w14:paraId="6C91CAD7"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301F949D" w14:textId="77777777" w:rsidR="005A1A44" w:rsidRDefault="0008059E">
            <w:pPr>
              <w:spacing w:line="240" w:lineRule="auto"/>
              <w:ind w:firstLineChars="0" w:firstLine="0"/>
              <w:rPr>
                <w:rFonts w:ascii="宋体" w:eastAsia="宋体" w:hAnsi="宋体" w:cs="宋体" w:hint="eastAsia"/>
                <w:kern w:val="0"/>
                <w:sz w:val="21"/>
                <w:szCs w:val="21"/>
              </w:rPr>
            </w:pPr>
            <w:r>
              <w:rPr>
                <w:rFonts w:ascii="宋体" w:eastAsia="宋体" w:hAnsi="宋体" w:cs="宋体" w:hint="eastAsia"/>
                <w:sz w:val="21"/>
                <w:szCs w:val="21"/>
              </w:rPr>
              <w:t>和田地区技工学校</w:t>
            </w:r>
          </w:p>
        </w:tc>
        <w:tc>
          <w:tcPr>
            <w:tcW w:w="2100" w:type="dxa"/>
            <w:tcBorders>
              <w:tl2br w:val="nil"/>
              <w:tr2bl w:val="nil"/>
            </w:tcBorders>
            <w:vAlign w:val="center"/>
          </w:tcPr>
          <w:p w14:paraId="46952446"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河道右岸（东侧）</w:t>
            </w:r>
          </w:p>
        </w:tc>
        <w:tc>
          <w:tcPr>
            <w:tcW w:w="930" w:type="dxa"/>
            <w:tcBorders>
              <w:tl2br w:val="nil"/>
              <w:tr2bl w:val="nil"/>
            </w:tcBorders>
            <w:vAlign w:val="center"/>
          </w:tcPr>
          <w:p w14:paraId="629D781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510</w:t>
            </w:r>
          </w:p>
        </w:tc>
        <w:tc>
          <w:tcPr>
            <w:tcW w:w="1320" w:type="dxa"/>
            <w:tcBorders>
              <w:tl2br w:val="nil"/>
              <w:tr2bl w:val="nil"/>
            </w:tcBorders>
            <w:vAlign w:val="center"/>
          </w:tcPr>
          <w:p w14:paraId="4E14919F"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vMerge/>
            <w:tcBorders>
              <w:tl2br w:val="nil"/>
              <w:tr2bl w:val="nil"/>
            </w:tcBorders>
            <w:vAlign w:val="center"/>
          </w:tcPr>
          <w:p w14:paraId="0623725B" w14:textId="77777777" w:rsidR="005A1A44" w:rsidRDefault="005A1A44">
            <w:pPr>
              <w:spacing w:line="240" w:lineRule="auto"/>
              <w:ind w:firstLineChars="0" w:firstLine="0"/>
              <w:rPr>
                <w:rFonts w:ascii="宋体" w:eastAsia="宋体" w:hAnsi="宋体" w:cs="宋体" w:hint="eastAsia"/>
                <w:sz w:val="21"/>
                <w:szCs w:val="21"/>
              </w:rPr>
            </w:pPr>
          </w:p>
        </w:tc>
      </w:tr>
      <w:tr w:rsidR="005A1A44" w14:paraId="6F4B3D2F" w14:textId="77777777">
        <w:trPr>
          <w:cantSplit/>
          <w:trHeight w:val="397"/>
        </w:trPr>
        <w:tc>
          <w:tcPr>
            <w:tcW w:w="740" w:type="dxa"/>
            <w:vMerge/>
            <w:tcBorders>
              <w:tl2br w:val="nil"/>
              <w:tr2bl w:val="nil"/>
            </w:tcBorders>
            <w:vAlign w:val="center"/>
          </w:tcPr>
          <w:p w14:paraId="69918120"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055" w:type="dxa"/>
            <w:tcBorders>
              <w:tl2br w:val="nil"/>
              <w:tr2bl w:val="nil"/>
            </w:tcBorders>
            <w:vAlign w:val="center"/>
          </w:tcPr>
          <w:p w14:paraId="0E13A0E3"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和田地区传染病医院</w:t>
            </w:r>
          </w:p>
        </w:tc>
        <w:tc>
          <w:tcPr>
            <w:tcW w:w="2100" w:type="dxa"/>
            <w:tcBorders>
              <w:tl2br w:val="nil"/>
              <w:tr2bl w:val="nil"/>
            </w:tcBorders>
            <w:vAlign w:val="center"/>
          </w:tcPr>
          <w:p w14:paraId="220FEC66"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河道右岸（东侧）</w:t>
            </w:r>
          </w:p>
        </w:tc>
        <w:tc>
          <w:tcPr>
            <w:tcW w:w="930" w:type="dxa"/>
            <w:tcBorders>
              <w:tl2br w:val="nil"/>
              <w:tr2bl w:val="nil"/>
            </w:tcBorders>
            <w:vAlign w:val="center"/>
          </w:tcPr>
          <w:p w14:paraId="57ECC6E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570</w:t>
            </w:r>
          </w:p>
        </w:tc>
        <w:tc>
          <w:tcPr>
            <w:tcW w:w="1320" w:type="dxa"/>
            <w:tcBorders>
              <w:tl2br w:val="nil"/>
              <w:tr2bl w:val="nil"/>
            </w:tcBorders>
            <w:vAlign w:val="center"/>
          </w:tcPr>
          <w:p w14:paraId="3197F240"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677" w:type="dxa"/>
            <w:tcBorders>
              <w:tl2br w:val="nil"/>
              <w:tr2bl w:val="nil"/>
            </w:tcBorders>
            <w:vAlign w:val="center"/>
          </w:tcPr>
          <w:p w14:paraId="2D3542AA" w14:textId="77777777" w:rsidR="005A1A44" w:rsidRDefault="005A1A44">
            <w:pPr>
              <w:spacing w:line="240" w:lineRule="auto"/>
              <w:ind w:firstLineChars="0" w:firstLine="0"/>
              <w:rPr>
                <w:rFonts w:ascii="宋体" w:eastAsia="宋体" w:hAnsi="宋体" w:cs="宋体" w:hint="eastAsia"/>
                <w:sz w:val="21"/>
                <w:szCs w:val="21"/>
              </w:rPr>
            </w:pPr>
          </w:p>
        </w:tc>
      </w:tr>
      <w:tr w:rsidR="005A1A44" w14:paraId="1AACD414" w14:textId="77777777">
        <w:trPr>
          <w:cantSplit/>
          <w:trHeight w:val="397"/>
        </w:trPr>
        <w:tc>
          <w:tcPr>
            <w:tcW w:w="740" w:type="dxa"/>
            <w:tcBorders>
              <w:tl2br w:val="nil"/>
              <w:tr2bl w:val="nil"/>
            </w:tcBorders>
            <w:vAlign w:val="center"/>
          </w:tcPr>
          <w:p w14:paraId="3477349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生态</w:t>
            </w:r>
          </w:p>
          <w:p w14:paraId="5C28D90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环境</w:t>
            </w:r>
          </w:p>
        </w:tc>
        <w:tc>
          <w:tcPr>
            <w:tcW w:w="2055" w:type="dxa"/>
            <w:tcBorders>
              <w:tl2br w:val="nil"/>
              <w:tr2bl w:val="nil"/>
            </w:tcBorders>
            <w:vAlign w:val="center"/>
          </w:tcPr>
          <w:p w14:paraId="261A8B0E"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植被、动物、景观等</w:t>
            </w:r>
          </w:p>
        </w:tc>
        <w:tc>
          <w:tcPr>
            <w:tcW w:w="2100" w:type="dxa"/>
            <w:tcBorders>
              <w:tl2br w:val="nil"/>
              <w:tr2bl w:val="nil"/>
            </w:tcBorders>
            <w:vAlign w:val="center"/>
          </w:tcPr>
          <w:p w14:paraId="635563B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kern w:val="0"/>
                <w:sz w:val="21"/>
                <w:szCs w:val="21"/>
              </w:rPr>
              <w:t>评价范围</w:t>
            </w:r>
          </w:p>
        </w:tc>
        <w:tc>
          <w:tcPr>
            <w:tcW w:w="930" w:type="dxa"/>
            <w:tcBorders>
              <w:tl2br w:val="nil"/>
              <w:tr2bl w:val="nil"/>
            </w:tcBorders>
            <w:vAlign w:val="center"/>
          </w:tcPr>
          <w:p w14:paraId="5DDE3B57"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w:t>
            </w:r>
          </w:p>
        </w:tc>
        <w:tc>
          <w:tcPr>
            <w:tcW w:w="1320" w:type="dxa"/>
            <w:tcBorders>
              <w:tl2br w:val="nil"/>
              <w:tr2bl w:val="nil"/>
            </w:tcBorders>
            <w:vAlign w:val="center"/>
          </w:tcPr>
          <w:p w14:paraId="319761BB"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以人工植被为主，河岸有少量芦苇、柽柳等植被。</w:t>
            </w:r>
          </w:p>
        </w:tc>
        <w:tc>
          <w:tcPr>
            <w:tcW w:w="1677" w:type="dxa"/>
            <w:tcBorders>
              <w:tl2br w:val="nil"/>
              <w:tr2bl w:val="nil"/>
            </w:tcBorders>
            <w:vAlign w:val="center"/>
          </w:tcPr>
          <w:p w14:paraId="178D16B5"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保护工程区域的景观生态体系其生物资源，使因工程建设造成的景观破坏得以尽快恢复</w:t>
            </w:r>
          </w:p>
        </w:tc>
      </w:tr>
      <w:tr w:rsidR="005A1A44" w14:paraId="1D6F5EE6" w14:textId="77777777">
        <w:trPr>
          <w:cantSplit/>
          <w:trHeight w:val="397"/>
        </w:trPr>
        <w:tc>
          <w:tcPr>
            <w:tcW w:w="740" w:type="dxa"/>
            <w:tcBorders>
              <w:tl2br w:val="nil"/>
              <w:tr2bl w:val="nil"/>
            </w:tcBorders>
            <w:vAlign w:val="center"/>
          </w:tcPr>
          <w:p w14:paraId="7350D13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地表水环境</w:t>
            </w:r>
          </w:p>
        </w:tc>
        <w:tc>
          <w:tcPr>
            <w:tcW w:w="2055" w:type="dxa"/>
            <w:tcBorders>
              <w:tl2br w:val="nil"/>
              <w:tr2bl w:val="nil"/>
            </w:tcBorders>
            <w:vAlign w:val="center"/>
          </w:tcPr>
          <w:p w14:paraId="7E761B0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玉龙喀什河</w:t>
            </w:r>
          </w:p>
        </w:tc>
        <w:tc>
          <w:tcPr>
            <w:tcW w:w="2100" w:type="dxa"/>
            <w:tcBorders>
              <w:tl2br w:val="nil"/>
              <w:tr2bl w:val="nil"/>
            </w:tcBorders>
            <w:vAlign w:val="center"/>
          </w:tcPr>
          <w:p w14:paraId="13F85189"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项目区及其上下游</w:t>
            </w:r>
          </w:p>
        </w:tc>
        <w:tc>
          <w:tcPr>
            <w:tcW w:w="930" w:type="dxa"/>
            <w:tcBorders>
              <w:tl2br w:val="nil"/>
              <w:tr2bl w:val="nil"/>
            </w:tcBorders>
            <w:vAlign w:val="center"/>
          </w:tcPr>
          <w:p w14:paraId="385CB4D6"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穿越</w:t>
            </w:r>
          </w:p>
        </w:tc>
        <w:tc>
          <w:tcPr>
            <w:tcW w:w="1320" w:type="dxa"/>
            <w:tcBorders>
              <w:tl2br w:val="nil"/>
              <w:tr2bl w:val="nil"/>
            </w:tcBorders>
            <w:vAlign w:val="center"/>
          </w:tcPr>
          <w:p w14:paraId="579234D5"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w:t>
            </w:r>
          </w:p>
        </w:tc>
        <w:tc>
          <w:tcPr>
            <w:tcW w:w="1677" w:type="dxa"/>
            <w:tcBorders>
              <w:tl2br w:val="nil"/>
              <w:tr2bl w:val="nil"/>
            </w:tcBorders>
            <w:vAlign w:val="center"/>
          </w:tcPr>
          <w:p w14:paraId="1F01A6F9"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《地表水环境质量标准》（GB3838-2002）Ⅱ类标准</w:t>
            </w:r>
          </w:p>
        </w:tc>
      </w:tr>
      <w:tr w:rsidR="005A1A44" w14:paraId="19BED2EA" w14:textId="77777777">
        <w:trPr>
          <w:cantSplit/>
          <w:trHeight w:val="397"/>
        </w:trPr>
        <w:tc>
          <w:tcPr>
            <w:tcW w:w="740" w:type="dxa"/>
            <w:tcBorders>
              <w:tl2br w:val="nil"/>
              <w:tr2bl w:val="nil"/>
            </w:tcBorders>
            <w:vAlign w:val="center"/>
          </w:tcPr>
          <w:p w14:paraId="5498591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lastRenderedPageBreak/>
              <w:t>地下水环境</w:t>
            </w:r>
          </w:p>
        </w:tc>
        <w:tc>
          <w:tcPr>
            <w:tcW w:w="2055" w:type="dxa"/>
            <w:tcBorders>
              <w:tl2br w:val="nil"/>
              <w:tr2bl w:val="nil"/>
            </w:tcBorders>
            <w:vAlign w:val="center"/>
          </w:tcPr>
          <w:p w14:paraId="739FE39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区域地下水</w:t>
            </w:r>
          </w:p>
        </w:tc>
        <w:tc>
          <w:tcPr>
            <w:tcW w:w="2100" w:type="dxa"/>
            <w:tcBorders>
              <w:tl2br w:val="nil"/>
              <w:tr2bl w:val="nil"/>
            </w:tcBorders>
            <w:vAlign w:val="center"/>
          </w:tcPr>
          <w:p w14:paraId="57EBC058"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项目区及周边</w:t>
            </w:r>
          </w:p>
        </w:tc>
        <w:tc>
          <w:tcPr>
            <w:tcW w:w="930" w:type="dxa"/>
            <w:tcBorders>
              <w:tl2br w:val="nil"/>
              <w:tr2bl w:val="nil"/>
            </w:tcBorders>
            <w:vAlign w:val="center"/>
          </w:tcPr>
          <w:p w14:paraId="0A3EE6BC"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w:t>
            </w:r>
          </w:p>
        </w:tc>
        <w:tc>
          <w:tcPr>
            <w:tcW w:w="1320" w:type="dxa"/>
            <w:tcBorders>
              <w:tl2br w:val="nil"/>
              <w:tr2bl w:val="nil"/>
            </w:tcBorders>
            <w:vAlign w:val="center"/>
          </w:tcPr>
          <w:p w14:paraId="2A2669F4"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w:t>
            </w:r>
          </w:p>
        </w:tc>
        <w:tc>
          <w:tcPr>
            <w:tcW w:w="1677" w:type="dxa"/>
            <w:tcBorders>
              <w:tl2br w:val="nil"/>
              <w:tr2bl w:val="nil"/>
            </w:tcBorders>
            <w:vAlign w:val="center"/>
          </w:tcPr>
          <w:p w14:paraId="1EBB7D33"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《地下水质量标准》（GB/T14848-2017）中的Ⅲ类标准</w:t>
            </w:r>
          </w:p>
        </w:tc>
      </w:tr>
      <w:tr w:rsidR="005A1A44" w14:paraId="1147C21D" w14:textId="77777777">
        <w:trPr>
          <w:cantSplit/>
          <w:trHeight w:val="397"/>
        </w:trPr>
        <w:tc>
          <w:tcPr>
            <w:tcW w:w="740" w:type="dxa"/>
            <w:tcBorders>
              <w:tl2br w:val="nil"/>
              <w:tr2bl w:val="nil"/>
            </w:tcBorders>
            <w:vAlign w:val="center"/>
          </w:tcPr>
          <w:p w14:paraId="48AE162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城镇饮用水水源保护区</w:t>
            </w:r>
          </w:p>
        </w:tc>
        <w:tc>
          <w:tcPr>
            <w:tcW w:w="2055" w:type="dxa"/>
            <w:tcBorders>
              <w:tl2br w:val="nil"/>
              <w:tr2bl w:val="nil"/>
            </w:tcBorders>
            <w:vAlign w:val="center"/>
          </w:tcPr>
          <w:p w14:paraId="5993AF8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和田市玉河东部一乡一镇水厂水源地（地下水）、和田市吐沙拉乡厂水源地（地下水）、和田市三乡一镇水厂水源地、洛浦县西片区三乡联合水厂地下水源地</w:t>
            </w:r>
          </w:p>
        </w:tc>
        <w:tc>
          <w:tcPr>
            <w:tcW w:w="2100" w:type="dxa"/>
            <w:tcBorders>
              <w:tl2br w:val="nil"/>
              <w:tr2bl w:val="nil"/>
            </w:tcBorders>
            <w:vAlign w:val="center"/>
          </w:tcPr>
          <w:p w14:paraId="11C1A916" w14:textId="77777777" w:rsidR="005A1A44" w:rsidRDefault="0008059E">
            <w:pPr>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sz w:val="21"/>
                <w:szCs w:val="21"/>
              </w:rPr>
              <w:t>项目区涉及的城镇集中式饮用水水源区</w:t>
            </w:r>
          </w:p>
        </w:tc>
        <w:tc>
          <w:tcPr>
            <w:tcW w:w="930" w:type="dxa"/>
            <w:tcBorders>
              <w:tl2br w:val="nil"/>
              <w:tr2bl w:val="nil"/>
            </w:tcBorders>
            <w:vAlign w:val="center"/>
          </w:tcPr>
          <w:p w14:paraId="4D8058B4" w14:textId="77777777" w:rsidR="005A1A44" w:rsidRDefault="005A1A44">
            <w:pPr>
              <w:spacing w:line="240" w:lineRule="auto"/>
              <w:ind w:firstLineChars="0" w:firstLine="0"/>
              <w:rPr>
                <w:rFonts w:ascii="宋体" w:eastAsia="宋体" w:hAnsi="宋体" w:cs="宋体" w:hint="eastAsia"/>
                <w:sz w:val="21"/>
                <w:szCs w:val="21"/>
              </w:rPr>
            </w:pPr>
          </w:p>
        </w:tc>
        <w:tc>
          <w:tcPr>
            <w:tcW w:w="1320" w:type="dxa"/>
            <w:tcBorders>
              <w:tl2br w:val="nil"/>
              <w:tr2bl w:val="nil"/>
            </w:tcBorders>
            <w:vAlign w:val="center"/>
          </w:tcPr>
          <w:p w14:paraId="4FD7D592" w14:textId="77777777" w:rsidR="005A1A44" w:rsidRDefault="005A1A44">
            <w:pPr>
              <w:spacing w:line="240" w:lineRule="auto"/>
              <w:ind w:firstLineChars="0" w:firstLine="0"/>
              <w:rPr>
                <w:rFonts w:ascii="宋体" w:eastAsia="宋体" w:hAnsi="宋体" w:cs="宋体" w:hint="eastAsia"/>
                <w:sz w:val="21"/>
                <w:szCs w:val="21"/>
              </w:rPr>
            </w:pPr>
          </w:p>
        </w:tc>
        <w:tc>
          <w:tcPr>
            <w:tcW w:w="1677" w:type="dxa"/>
            <w:tcBorders>
              <w:tl2br w:val="nil"/>
              <w:tr2bl w:val="nil"/>
            </w:tcBorders>
            <w:vAlign w:val="center"/>
          </w:tcPr>
          <w:p w14:paraId="26291643"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饮用水源要水质求，不受项目影响</w:t>
            </w:r>
          </w:p>
        </w:tc>
      </w:tr>
    </w:tbl>
    <w:p w14:paraId="08EE87BD" w14:textId="77777777" w:rsidR="005A1A44" w:rsidRDefault="005A1A44">
      <w:pPr>
        <w:ind w:leftChars="-200" w:hangingChars="200" w:hanging="480"/>
      </w:pPr>
    </w:p>
    <w:p w14:paraId="41DA0FCA" w14:textId="77777777" w:rsidR="005A1A44" w:rsidRDefault="0008059E">
      <w:pPr>
        <w:ind w:firstLine="480"/>
      </w:pPr>
      <w:r>
        <w:rPr>
          <w:rFonts w:hint="eastAsia"/>
        </w:rPr>
        <w:t>（</w:t>
      </w:r>
      <w:r>
        <w:rPr>
          <w:rFonts w:hint="eastAsia"/>
        </w:rPr>
        <w:t>2</w:t>
      </w:r>
      <w:r>
        <w:rPr>
          <w:rFonts w:hint="eastAsia"/>
        </w:rPr>
        <w:t>）评价重点</w:t>
      </w:r>
    </w:p>
    <w:p w14:paraId="659C7FB6" w14:textId="77777777" w:rsidR="005A1A44" w:rsidRDefault="0008059E">
      <w:pPr>
        <w:ind w:firstLine="480"/>
        <w:sectPr w:rsidR="005A1A44">
          <w:pgSz w:w="12240" w:h="15840"/>
          <w:pgMar w:top="1440" w:right="1803" w:bottom="1440" w:left="1803" w:header="720" w:footer="720" w:gutter="0"/>
          <w:cols w:space="0"/>
          <w:docGrid w:linePitch="312"/>
        </w:sectPr>
      </w:pPr>
      <w:r>
        <w:rPr>
          <w:rFonts w:hint="eastAsia"/>
        </w:rPr>
        <w:t>根据本项目污染物排放性质及其排放方式、排放特点，结合项目区周围环境特征，确定本次评价的重点是工程分析、生态环境影响评价、大气环境影响评价及预测、固体废物环境影响预测及评价、水环境影响预测及评价、环保措施方案分析、工程环境风险分析等内容。</w:t>
      </w:r>
    </w:p>
    <w:p w14:paraId="3FDC6653" w14:textId="77777777" w:rsidR="005A1A44" w:rsidRDefault="0008059E">
      <w:pPr>
        <w:pStyle w:val="1"/>
        <w:numPr>
          <w:ilvl w:val="0"/>
          <w:numId w:val="2"/>
        </w:numPr>
      </w:pPr>
      <w:bookmarkStart w:id="124" w:name="_Toc15925_WPSOffice_Level1"/>
      <w:r>
        <w:rPr>
          <w:rFonts w:hint="eastAsia"/>
        </w:rPr>
        <w:lastRenderedPageBreak/>
        <w:t xml:space="preserve"> </w:t>
      </w:r>
      <w:bookmarkStart w:id="125" w:name="_Toc2486_WPSOffice_Level1"/>
      <w:bookmarkStart w:id="126" w:name="_Toc6059_WPSOffice_Level1"/>
      <w:bookmarkStart w:id="127" w:name="_Toc27598_WPSOffice_Level1"/>
      <w:r>
        <w:rPr>
          <w:rFonts w:hint="eastAsia"/>
        </w:rPr>
        <w:t>工程概况与工程分析</w:t>
      </w:r>
      <w:bookmarkEnd w:id="124"/>
      <w:bookmarkEnd w:id="125"/>
      <w:bookmarkEnd w:id="126"/>
      <w:bookmarkEnd w:id="127"/>
    </w:p>
    <w:p w14:paraId="054E45A3" w14:textId="77777777" w:rsidR="005A1A44" w:rsidRDefault="0008059E">
      <w:pPr>
        <w:pStyle w:val="2"/>
        <w:numPr>
          <w:ilvl w:val="1"/>
          <w:numId w:val="2"/>
        </w:numPr>
      </w:pPr>
      <w:r>
        <w:rPr>
          <w:rFonts w:hint="eastAsia"/>
        </w:rPr>
        <w:t xml:space="preserve"> </w:t>
      </w:r>
      <w:bookmarkStart w:id="128" w:name="_Toc25143_WPSOffice_Level2"/>
      <w:bookmarkStart w:id="129" w:name="_Toc29947_WPSOffice_Level2"/>
      <w:bookmarkStart w:id="130" w:name="_Toc10258_WPSOffice_Level2"/>
      <w:r>
        <w:rPr>
          <w:rFonts w:hint="eastAsia"/>
        </w:rPr>
        <w:t>项目地理位置</w:t>
      </w:r>
      <w:bookmarkEnd w:id="128"/>
      <w:bookmarkEnd w:id="129"/>
      <w:bookmarkEnd w:id="130"/>
    </w:p>
    <w:p w14:paraId="26D23CA2" w14:textId="77777777" w:rsidR="005A1A44" w:rsidRDefault="0008059E">
      <w:pPr>
        <w:ind w:firstLine="480"/>
      </w:pPr>
      <w:r>
        <w:rPr>
          <w:rFonts w:hint="eastAsia"/>
        </w:rPr>
        <w:t>项目选址所在地位于和田市。和田市地处喀喇昆仑山北麓，塔克拉玛干沙漠南缘、玉龙喀什河与喀拉喀什河之间，东经</w:t>
      </w:r>
      <w:r>
        <w:rPr>
          <w:rFonts w:hint="eastAsia"/>
        </w:rPr>
        <w:t xml:space="preserve"> 79</w:t>
      </w:r>
      <w:r>
        <w:rPr>
          <w:rFonts w:hint="eastAsia"/>
        </w:rPr>
        <w:t>°至</w:t>
      </w:r>
      <w:r>
        <w:rPr>
          <w:rFonts w:hint="eastAsia"/>
        </w:rPr>
        <w:t>80</w:t>
      </w:r>
      <w:r>
        <w:rPr>
          <w:rFonts w:hint="eastAsia"/>
        </w:rPr>
        <w:t>°</w:t>
      </w:r>
      <w:r>
        <w:rPr>
          <w:rFonts w:hint="eastAsia"/>
        </w:rPr>
        <w:t>30</w:t>
      </w:r>
      <w:r>
        <w:rPr>
          <w:rFonts w:hint="eastAsia"/>
        </w:rPr>
        <w:t>′，北纬</w:t>
      </w:r>
      <w:r>
        <w:rPr>
          <w:rFonts w:hint="eastAsia"/>
        </w:rPr>
        <w:t xml:space="preserve"> 34</w:t>
      </w:r>
      <w:r>
        <w:rPr>
          <w:rFonts w:hint="eastAsia"/>
        </w:rPr>
        <w:t>°</w:t>
      </w:r>
      <w:r>
        <w:rPr>
          <w:rFonts w:hint="eastAsia"/>
        </w:rPr>
        <w:t>20</w:t>
      </w:r>
      <w:r>
        <w:rPr>
          <w:rFonts w:hint="eastAsia"/>
        </w:rPr>
        <w:t>′至</w:t>
      </w:r>
      <w:r>
        <w:rPr>
          <w:rFonts w:hint="eastAsia"/>
        </w:rPr>
        <w:t>38</w:t>
      </w:r>
      <w:r>
        <w:rPr>
          <w:rFonts w:hint="eastAsia"/>
        </w:rPr>
        <w:t>°</w:t>
      </w:r>
      <w:r>
        <w:rPr>
          <w:rFonts w:hint="eastAsia"/>
        </w:rPr>
        <w:t>07</w:t>
      </w:r>
      <w:r>
        <w:rPr>
          <w:rFonts w:hint="eastAsia"/>
        </w:rPr>
        <w:t>′。地形南高北低，南宽北窄，南北长约</w:t>
      </w:r>
      <w:r>
        <w:rPr>
          <w:rFonts w:hint="eastAsia"/>
        </w:rPr>
        <w:t xml:space="preserve"> 500km</w:t>
      </w:r>
      <w:r>
        <w:rPr>
          <w:rFonts w:hint="eastAsia"/>
        </w:rPr>
        <w:t>，东西宽</w:t>
      </w:r>
      <w:r>
        <w:rPr>
          <w:rFonts w:hint="eastAsia"/>
        </w:rPr>
        <w:t xml:space="preserve"> 20-150km</w:t>
      </w:r>
      <w:r>
        <w:rPr>
          <w:rFonts w:hint="eastAsia"/>
        </w:rPr>
        <w:t>，总面积</w:t>
      </w:r>
      <w:r>
        <w:rPr>
          <w:rFonts w:hint="eastAsia"/>
        </w:rPr>
        <w:t xml:space="preserve"> 42754.5km</w:t>
      </w:r>
      <w:r>
        <w:rPr>
          <w:rFonts w:hint="eastAsia"/>
          <w:vertAlign w:val="superscript"/>
        </w:rPr>
        <w:t>2</w:t>
      </w:r>
      <w:r>
        <w:rPr>
          <w:rFonts w:hint="eastAsia"/>
        </w:rPr>
        <w:t>。</w:t>
      </w:r>
    </w:p>
    <w:p w14:paraId="6A6CD217" w14:textId="77777777" w:rsidR="005A1A44" w:rsidRDefault="0008059E">
      <w:pPr>
        <w:ind w:firstLine="480"/>
      </w:pPr>
      <w:r>
        <w:rPr>
          <w:rFonts w:hint="eastAsia"/>
        </w:rPr>
        <w:t>本项目建设地点位于和田市玉龙喀什河河道及两岸，涉及治理河道长度</w:t>
      </w:r>
      <w:r>
        <w:rPr>
          <w:rFonts w:hint="eastAsia"/>
        </w:rPr>
        <w:t>27.125km</w:t>
      </w:r>
      <w:r>
        <w:rPr>
          <w:rFonts w:hint="eastAsia"/>
        </w:rPr>
        <w:t>。起点桩号为</w:t>
      </w:r>
      <w:r>
        <w:rPr>
          <w:rFonts w:hint="eastAsia"/>
        </w:rPr>
        <w:t>8+725</w:t>
      </w:r>
      <w:r>
        <w:rPr>
          <w:rFonts w:hint="eastAsia"/>
        </w:rPr>
        <w:t>（高速公路跨河大桥），终点桩号</w:t>
      </w:r>
      <w:r>
        <w:rPr>
          <w:rFonts w:hint="eastAsia"/>
        </w:rPr>
        <w:t xml:space="preserve"> 35+850</w:t>
      </w:r>
      <w:r>
        <w:rPr>
          <w:rFonts w:hint="eastAsia"/>
        </w:rPr>
        <w:t>，为玉龙喀什河</w:t>
      </w:r>
      <w:r>
        <w:rPr>
          <w:rFonts w:hint="eastAsia"/>
        </w:rPr>
        <w:t xml:space="preserve"> 4</w:t>
      </w:r>
      <w:r>
        <w:rPr>
          <w:rFonts w:hint="eastAsia"/>
        </w:rPr>
        <w:t>桥下游</w:t>
      </w:r>
      <w:r>
        <w:rPr>
          <w:rFonts w:hint="eastAsia"/>
        </w:rPr>
        <w:t xml:space="preserve"> 500m</w:t>
      </w:r>
      <w:r>
        <w:rPr>
          <w:rFonts w:hint="eastAsia"/>
        </w:rPr>
        <w:t>，占地总面积</w:t>
      </w:r>
      <w:r>
        <w:rPr>
          <w:rFonts w:hint="eastAsia"/>
        </w:rPr>
        <w:t>2540.75hm</w:t>
      </w:r>
      <w:r>
        <w:rPr>
          <w:rFonts w:hint="eastAsia"/>
          <w:vertAlign w:val="superscript"/>
        </w:rPr>
        <w:t>2</w:t>
      </w:r>
      <w:r>
        <w:rPr>
          <w:rFonts w:hint="eastAsia"/>
        </w:rPr>
        <w:t>，项目区位置图见图</w:t>
      </w:r>
      <w:r>
        <w:rPr>
          <w:rFonts w:hint="eastAsia"/>
        </w:rPr>
        <w:t>3.1-1</w:t>
      </w:r>
      <w:r>
        <w:rPr>
          <w:rFonts w:hint="eastAsia"/>
        </w:rPr>
        <w:t>。</w:t>
      </w:r>
    </w:p>
    <w:p w14:paraId="6BC4A1E2" w14:textId="77777777" w:rsidR="005A1A44" w:rsidRDefault="0008059E">
      <w:pPr>
        <w:pStyle w:val="2"/>
        <w:numPr>
          <w:ilvl w:val="1"/>
          <w:numId w:val="2"/>
        </w:numPr>
      </w:pPr>
      <w:r>
        <w:rPr>
          <w:rFonts w:hint="eastAsia"/>
        </w:rPr>
        <w:t xml:space="preserve"> </w:t>
      </w:r>
      <w:bookmarkStart w:id="131" w:name="_Toc19134_WPSOffice_Level2"/>
      <w:bookmarkStart w:id="132" w:name="_Toc9764_WPSOffice_Level2"/>
      <w:bookmarkStart w:id="133" w:name="_Toc32682_WPSOffice_Level2"/>
      <w:r>
        <w:rPr>
          <w:rFonts w:hint="eastAsia"/>
        </w:rPr>
        <w:t>玉龙喀什河和田市段现状及存在的主要问题</w:t>
      </w:r>
      <w:bookmarkEnd w:id="131"/>
      <w:bookmarkEnd w:id="132"/>
      <w:bookmarkEnd w:id="133"/>
    </w:p>
    <w:p w14:paraId="718339A9" w14:textId="77777777" w:rsidR="005A1A44" w:rsidRDefault="0008059E">
      <w:pPr>
        <w:pStyle w:val="3"/>
        <w:numPr>
          <w:ilvl w:val="2"/>
          <w:numId w:val="2"/>
        </w:numPr>
      </w:pPr>
      <w:r>
        <w:rPr>
          <w:rFonts w:hint="eastAsia"/>
        </w:rPr>
        <w:t xml:space="preserve"> </w:t>
      </w:r>
      <w:r>
        <w:rPr>
          <w:rFonts w:hint="eastAsia"/>
        </w:rPr>
        <w:t>河流现状</w:t>
      </w:r>
    </w:p>
    <w:p w14:paraId="5247EB39" w14:textId="77777777" w:rsidR="005A1A44" w:rsidRDefault="0008059E">
      <w:pPr>
        <w:ind w:firstLine="480"/>
      </w:pPr>
      <w:r>
        <w:rPr>
          <w:rFonts w:hint="eastAsia"/>
        </w:rPr>
        <w:t>玉龙喀什河河流长</w:t>
      </w:r>
      <w:r>
        <w:rPr>
          <w:rFonts w:hint="eastAsia"/>
        </w:rPr>
        <w:t xml:space="preserve"> 504 </w:t>
      </w:r>
      <w:r>
        <w:rPr>
          <w:rFonts w:hint="eastAsia"/>
        </w:rPr>
        <w:t>公里，宽</w:t>
      </w:r>
      <w:r>
        <w:rPr>
          <w:rFonts w:hint="eastAsia"/>
        </w:rPr>
        <w:t xml:space="preserve"> 60 </w:t>
      </w:r>
      <w:r>
        <w:rPr>
          <w:rFonts w:hint="eastAsia"/>
        </w:rPr>
        <w:t>米～</w:t>
      </w:r>
      <w:r>
        <w:rPr>
          <w:rFonts w:hint="eastAsia"/>
        </w:rPr>
        <w:t xml:space="preserve">1400 </w:t>
      </w:r>
      <w:r>
        <w:rPr>
          <w:rFonts w:hint="eastAsia"/>
        </w:rPr>
        <w:t>米，南北流向，有不少支流，依自然地势差异分高、中、低山区，扇积平原绿州，沙漠径流域。海拔</w:t>
      </w:r>
      <w:r>
        <w:rPr>
          <w:rFonts w:hint="eastAsia"/>
        </w:rPr>
        <w:t xml:space="preserve"> 1220 </w:t>
      </w:r>
      <w:r>
        <w:rPr>
          <w:rFonts w:hint="eastAsia"/>
        </w:rPr>
        <w:t>米～</w:t>
      </w:r>
      <w:r>
        <w:rPr>
          <w:rFonts w:hint="eastAsia"/>
        </w:rPr>
        <w:t xml:space="preserve">6646 </w:t>
      </w:r>
      <w:r>
        <w:rPr>
          <w:rFonts w:hint="eastAsia"/>
        </w:rPr>
        <w:t>米，自然落差</w:t>
      </w:r>
      <w:r>
        <w:rPr>
          <w:rFonts w:hint="eastAsia"/>
        </w:rPr>
        <w:t xml:space="preserve"> 5426 </w:t>
      </w:r>
      <w:r>
        <w:rPr>
          <w:rFonts w:hint="eastAsia"/>
        </w:rPr>
        <w:t>米，集水面积</w:t>
      </w:r>
      <w:r>
        <w:rPr>
          <w:rFonts w:hint="eastAsia"/>
        </w:rPr>
        <w:t xml:space="preserve"> 14575</w:t>
      </w:r>
      <w:r>
        <w:rPr>
          <w:rFonts w:hint="eastAsia"/>
        </w:rPr>
        <w:t>平方公里，流域面积</w:t>
      </w:r>
      <w:r>
        <w:rPr>
          <w:rFonts w:hint="eastAsia"/>
        </w:rPr>
        <w:t xml:space="preserve"> 1.46 </w:t>
      </w:r>
      <w:r>
        <w:rPr>
          <w:rFonts w:hint="eastAsia"/>
        </w:rPr>
        <w:t>万平方公里。年均径流量</w:t>
      </w:r>
      <w:r>
        <w:rPr>
          <w:rFonts w:hint="eastAsia"/>
        </w:rPr>
        <w:t xml:space="preserve"> 21.83 </w:t>
      </w:r>
      <w:r>
        <w:rPr>
          <w:rFonts w:hint="eastAsia"/>
        </w:rPr>
        <w:t>亿立方米，年均输沙量</w:t>
      </w:r>
      <w:r>
        <w:rPr>
          <w:rFonts w:hint="eastAsia"/>
        </w:rPr>
        <w:t xml:space="preserve"> 1100 </w:t>
      </w:r>
      <w:r>
        <w:rPr>
          <w:rFonts w:hint="eastAsia"/>
        </w:rPr>
        <w:t>万吨。习惯上将同古孜洛克以上称上游段，同古孜洛克至英阿拉克为中游段，英阿拉克至喀拉喀什河相汇合的阔什拉什为下游段。玉龙喀什河中游贯穿和田市东缘，流径玉龙喀什镇、吉亚等乡镇的西部边缘。</w:t>
      </w:r>
    </w:p>
    <w:p w14:paraId="2C17DA07" w14:textId="77777777" w:rsidR="005A1A44" w:rsidRDefault="0008059E">
      <w:pPr>
        <w:ind w:firstLine="480"/>
      </w:pPr>
      <w:r>
        <w:rPr>
          <w:rFonts w:hint="eastAsia"/>
        </w:rPr>
        <w:t>如今，玉龙喀什河水量逐年减少，随着绿洲人口承载的不断增加，人们的生产生活条件不断改善，和田地区的生态环境质量却在不断下降，全地区</w:t>
      </w:r>
      <w:r>
        <w:rPr>
          <w:rFonts w:hint="eastAsia"/>
        </w:rPr>
        <w:t xml:space="preserve">9730 </w:t>
      </w:r>
      <w:r>
        <w:rPr>
          <w:rFonts w:hint="eastAsia"/>
        </w:rPr>
        <w:t>平方公</w:t>
      </w:r>
      <w:r>
        <w:rPr>
          <w:rFonts w:hint="eastAsia"/>
        </w:rPr>
        <w:lastRenderedPageBreak/>
        <w:t>里的绿洲面积受到土地沙漠化的直接威胁，给绿洲的边缘农牧业生产和人民的生活带来直接危害。显而易见，和田绿洲有水则兴缺水则亡。</w:t>
      </w:r>
    </w:p>
    <w:p w14:paraId="2A13FCBC" w14:textId="77777777" w:rsidR="005A1A44" w:rsidRDefault="0008059E">
      <w:pPr>
        <w:pStyle w:val="3"/>
        <w:numPr>
          <w:ilvl w:val="2"/>
          <w:numId w:val="2"/>
        </w:numPr>
      </w:pPr>
      <w:r>
        <w:rPr>
          <w:rFonts w:hint="eastAsia"/>
        </w:rPr>
        <w:t xml:space="preserve"> </w:t>
      </w:r>
      <w:r>
        <w:rPr>
          <w:rFonts w:hint="eastAsia"/>
        </w:rPr>
        <w:t>存在的主要问题</w:t>
      </w:r>
    </w:p>
    <w:p w14:paraId="5BD388FE" w14:textId="77777777" w:rsidR="005A1A44" w:rsidRDefault="0008059E">
      <w:pPr>
        <w:ind w:firstLine="480"/>
      </w:pPr>
      <w:r>
        <w:rPr>
          <w:rFonts w:hint="eastAsia"/>
        </w:rPr>
        <w:t>（</w:t>
      </w:r>
      <w:r>
        <w:rPr>
          <w:rFonts w:hint="eastAsia"/>
        </w:rPr>
        <w:t>1</w:t>
      </w:r>
      <w:r>
        <w:rPr>
          <w:rFonts w:hint="eastAsia"/>
        </w:rPr>
        <w:t>）</w:t>
      </w:r>
      <w:r>
        <w:t>玉龙喀什河河道淤塞严重，防洪能力严重下降，河道沿线植被覆盖率低，景观效果差，生态系统差。</w:t>
      </w:r>
    </w:p>
    <w:p w14:paraId="5D3B6A2A" w14:textId="77777777" w:rsidR="005A1A44" w:rsidRDefault="0008059E">
      <w:pPr>
        <w:ind w:firstLine="480"/>
      </w:pPr>
      <w:r>
        <w:rPr>
          <w:rFonts w:hint="eastAsia"/>
        </w:rPr>
        <w:t>（</w:t>
      </w:r>
      <w:r>
        <w:rPr>
          <w:rFonts w:hint="eastAsia"/>
        </w:rPr>
        <w:t>2</w:t>
      </w:r>
      <w:r>
        <w:rPr>
          <w:rFonts w:hint="eastAsia"/>
        </w:rPr>
        <w:t>）项目段河槽淤积严重，对河道的清淤工作，提高了河道的安全行洪能力，但受工程投资限制，清淤的土方没有完全按照防洪规划要求堆放，也没有对行洪通道进行平整。</w:t>
      </w:r>
    </w:p>
    <w:p w14:paraId="4B64AAB1" w14:textId="77777777" w:rsidR="005A1A44" w:rsidRDefault="0008059E">
      <w:pPr>
        <w:ind w:firstLine="480"/>
      </w:pPr>
      <w:r>
        <w:rPr>
          <w:rFonts w:hint="eastAsia"/>
        </w:rPr>
        <w:t>（</w:t>
      </w:r>
      <w:r>
        <w:rPr>
          <w:rFonts w:hint="eastAsia"/>
        </w:rPr>
        <w:t>3</w:t>
      </w:r>
      <w:r>
        <w:rPr>
          <w:rFonts w:hint="eastAsia"/>
        </w:rPr>
        <w:t>）在河左岸修建永久性防洪工程之后，堤防到对岸的宽度只有</w:t>
      </w:r>
      <w:r>
        <w:rPr>
          <w:rFonts w:hint="eastAsia"/>
        </w:rPr>
        <w:t>300m</w:t>
      </w:r>
      <w:r>
        <w:rPr>
          <w:rFonts w:hint="eastAsia"/>
        </w:rPr>
        <w:t>左右，小于规划行洪宽度，行洪通道处于依靠洪水冲淤达到自然平衡状态。经过</w:t>
      </w:r>
      <w:r>
        <w:rPr>
          <w:rFonts w:hint="eastAsia"/>
        </w:rPr>
        <w:t>5</w:t>
      </w:r>
      <w:r>
        <w:rPr>
          <w:rFonts w:hint="eastAsia"/>
        </w:rPr>
        <w:t>年的自然平衡，河道洪水主流横向摆动，对两岸防洪堤带来威胁。</w:t>
      </w:r>
    </w:p>
    <w:p w14:paraId="6FF5358B" w14:textId="77777777" w:rsidR="005A1A44" w:rsidRDefault="0008059E">
      <w:pPr>
        <w:ind w:firstLine="480"/>
        <w:rPr>
          <w:rFonts w:ascii="Arial" w:hAnsi="Arial"/>
        </w:rPr>
      </w:pPr>
      <w:r>
        <w:rPr>
          <w:rFonts w:hint="eastAsia"/>
        </w:rPr>
        <w:t>（</w:t>
      </w:r>
      <w:r>
        <w:rPr>
          <w:rFonts w:hint="eastAsia"/>
        </w:rPr>
        <w:t>4</w:t>
      </w:r>
      <w:r>
        <w:rPr>
          <w:rFonts w:hint="eastAsia"/>
        </w:rPr>
        <w:t>）</w:t>
      </w:r>
      <w:r>
        <w:t>由于河水在河道左岸集中，加大了单宽流量和水流流速，出现行洪通道的下切，从而左岸防洪堤基础埋置深度不够，对左岸防洪堤安全带来威胁，并且冲毁了近</w:t>
      </w:r>
      <w:r>
        <w:t>400m</w:t>
      </w:r>
      <w:r>
        <w:t>的防洪堤，造成较大的经济损失。</w:t>
      </w:r>
    </w:p>
    <w:p w14:paraId="2D140F42" w14:textId="77777777" w:rsidR="005A1A44" w:rsidRDefault="0008059E">
      <w:pPr>
        <w:ind w:firstLine="480"/>
        <w:rPr>
          <w:rFonts w:ascii="Arial" w:hAnsi="Arial"/>
        </w:rPr>
      </w:pPr>
      <w:r>
        <w:rPr>
          <w:rFonts w:ascii="Arial" w:hAnsi="Arial" w:hint="eastAsia"/>
        </w:rPr>
        <w:t>项目区河段位于和田市地带，因挖玉翻动，沿河植被被严重损毁，两岸阶地、农田严重沙化，原本被固定的下游干涸的河床，有的区域成了流动沙丘。城市周边的湿地因植被的破坏性翻动也面临沙化的危险。</w:t>
      </w:r>
    </w:p>
    <w:p w14:paraId="759A10E5" w14:textId="77777777" w:rsidR="005A1A44" w:rsidRDefault="0008059E">
      <w:pPr>
        <w:ind w:firstLineChars="0" w:firstLine="0"/>
        <w:jc w:val="center"/>
      </w:pPr>
      <w:r>
        <w:rPr>
          <w:rFonts w:ascii="微软雅黑" w:eastAsia="微软雅黑" w:hAnsi="微软雅黑" w:hint="eastAsia"/>
          <w:noProof/>
          <w:color w:val="004080"/>
          <w:sz w:val="16"/>
        </w:rPr>
        <w:drawing>
          <wp:inline distT="0" distB="0" distL="114300" distR="114300" wp14:anchorId="6F151103" wp14:editId="163A9F3F">
            <wp:extent cx="4911725" cy="2571750"/>
            <wp:effectExtent l="0" t="0" r="317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cstate="print"/>
                    <a:srcRect b="11303"/>
                    <a:stretch>
                      <a:fillRect/>
                    </a:stretch>
                  </pic:blipFill>
                  <pic:spPr>
                    <a:xfrm>
                      <a:off x="0" y="0"/>
                      <a:ext cx="4911725" cy="2571750"/>
                    </a:xfrm>
                    <a:prstGeom prst="rect">
                      <a:avLst/>
                    </a:prstGeom>
                    <a:noFill/>
                    <a:ln>
                      <a:noFill/>
                    </a:ln>
                  </pic:spPr>
                </pic:pic>
              </a:graphicData>
            </a:graphic>
          </wp:inline>
        </w:drawing>
      </w:r>
      <w:r>
        <w:rPr>
          <w:rFonts w:hint="eastAsia"/>
          <w:noProof/>
        </w:rPr>
        <w:lastRenderedPageBreak/>
        <w:drawing>
          <wp:inline distT="0" distB="0" distL="114300" distR="114300" wp14:anchorId="61FBF0CD" wp14:editId="1951DC2A">
            <wp:extent cx="2390140" cy="2567940"/>
            <wp:effectExtent l="0" t="0" r="10160" b="3810"/>
            <wp:docPr id="8" name="图片 8" descr="IMG_20190308_10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90308_103143"/>
                    <pic:cNvPicPr>
                      <a:picLocks noChangeAspect="1"/>
                    </pic:cNvPicPr>
                  </pic:nvPicPr>
                  <pic:blipFill>
                    <a:blip r:embed="rId18" cstate="print"/>
                    <a:stretch>
                      <a:fillRect/>
                    </a:stretch>
                  </pic:blipFill>
                  <pic:spPr>
                    <a:xfrm>
                      <a:off x="0" y="0"/>
                      <a:ext cx="2390140" cy="2567940"/>
                    </a:xfrm>
                    <a:prstGeom prst="rect">
                      <a:avLst/>
                    </a:prstGeom>
                  </pic:spPr>
                </pic:pic>
              </a:graphicData>
            </a:graphic>
          </wp:inline>
        </w:drawing>
      </w:r>
      <w:r>
        <w:rPr>
          <w:rFonts w:hint="eastAsia"/>
        </w:rPr>
        <w:t xml:space="preserve"> </w:t>
      </w:r>
      <w:r>
        <w:rPr>
          <w:rFonts w:hint="eastAsia"/>
          <w:noProof/>
        </w:rPr>
        <w:drawing>
          <wp:inline distT="0" distB="0" distL="114300" distR="114300" wp14:anchorId="7477FC1D" wp14:editId="3A0FE1F7">
            <wp:extent cx="2268855" cy="2566035"/>
            <wp:effectExtent l="0" t="0" r="17145" b="5715"/>
            <wp:docPr id="9" name="图片 9" descr="IMG_20190308_13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190308_131320"/>
                    <pic:cNvPicPr>
                      <a:picLocks noChangeAspect="1"/>
                    </pic:cNvPicPr>
                  </pic:nvPicPr>
                  <pic:blipFill>
                    <a:blip r:embed="rId19" cstate="print"/>
                    <a:stretch>
                      <a:fillRect/>
                    </a:stretch>
                  </pic:blipFill>
                  <pic:spPr>
                    <a:xfrm>
                      <a:off x="0" y="0"/>
                      <a:ext cx="2268855" cy="2566035"/>
                    </a:xfrm>
                    <a:prstGeom prst="rect">
                      <a:avLst/>
                    </a:prstGeom>
                  </pic:spPr>
                </pic:pic>
              </a:graphicData>
            </a:graphic>
          </wp:inline>
        </w:drawing>
      </w:r>
    </w:p>
    <w:p w14:paraId="32870AB1" w14:textId="77777777" w:rsidR="005A1A44" w:rsidRDefault="0008059E">
      <w:pPr>
        <w:ind w:firstLineChars="0" w:firstLine="0"/>
        <w:jc w:val="center"/>
      </w:pPr>
      <w:r>
        <w:rPr>
          <w:rFonts w:hint="eastAsia"/>
          <w:noProof/>
        </w:rPr>
        <w:drawing>
          <wp:inline distT="0" distB="0" distL="114300" distR="114300" wp14:anchorId="0E5C9D45" wp14:editId="120A200F">
            <wp:extent cx="2355215" cy="2562860"/>
            <wp:effectExtent l="0" t="0" r="6985" b="8890"/>
            <wp:docPr id="11" name="图片 11" descr="IMG_20190308_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190308_135308"/>
                    <pic:cNvPicPr>
                      <a:picLocks noChangeAspect="1"/>
                    </pic:cNvPicPr>
                  </pic:nvPicPr>
                  <pic:blipFill>
                    <a:blip r:embed="rId20" cstate="print"/>
                    <a:stretch>
                      <a:fillRect/>
                    </a:stretch>
                  </pic:blipFill>
                  <pic:spPr>
                    <a:xfrm>
                      <a:off x="0" y="0"/>
                      <a:ext cx="2355215" cy="2562860"/>
                    </a:xfrm>
                    <a:prstGeom prst="rect">
                      <a:avLst/>
                    </a:prstGeom>
                  </pic:spPr>
                </pic:pic>
              </a:graphicData>
            </a:graphic>
          </wp:inline>
        </w:drawing>
      </w:r>
      <w:r>
        <w:rPr>
          <w:rFonts w:hint="eastAsia"/>
        </w:rPr>
        <w:t xml:space="preserve"> </w:t>
      </w:r>
      <w:r>
        <w:rPr>
          <w:rFonts w:hint="eastAsia"/>
          <w:noProof/>
        </w:rPr>
        <w:drawing>
          <wp:inline distT="0" distB="0" distL="114300" distR="114300" wp14:anchorId="297C9792" wp14:editId="2BCF97C1">
            <wp:extent cx="2315210" cy="2545080"/>
            <wp:effectExtent l="0" t="0" r="8890" b="7620"/>
            <wp:docPr id="12" name="图片 12" descr="IMG_20190308_13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190308_131436"/>
                    <pic:cNvPicPr>
                      <a:picLocks noChangeAspect="1"/>
                    </pic:cNvPicPr>
                  </pic:nvPicPr>
                  <pic:blipFill>
                    <a:blip r:embed="rId21" cstate="print"/>
                    <a:stretch>
                      <a:fillRect/>
                    </a:stretch>
                  </pic:blipFill>
                  <pic:spPr>
                    <a:xfrm>
                      <a:off x="0" y="0"/>
                      <a:ext cx="2315210" cy="2545080"/>
                    </a:xfrm>
                    <a:prstGeom prst="rect">
                      <a:avLst/>
                    </a:prstGeom>
                  </pic:spPr>
                </pic:pic>
              </a:graphicData>
            </a:graphic>
          </wp:inline>
        </w:drawing>
      </w:r>
    </w:p>
    <w:p w14:paraId="01B1F88E" w14:textId="77777777" w:rsidR="005A1A44" w:rsidRDefault="0008059E">
      <w:pPr>
        <w:ind w:firstLineChars="0" w:firstLine="0"/>
        <w:jc w:val="center"/>
        <w:rPr>
          <w:rFonts w:ascii="Arial" w:hAnsi="Arial"/>
        </w:rPr>
      </w:pPr>
      <w:r>
        <w:rPr>
          <w:rFonts w:ascii="黑体" w:eastAsia="黑体" w:hAnsi="黑体" w:cs="黑体" w:hint="eastAsia"/>
        </w:rPr>
        <w:t>图3.2-1 玉龙喀什河环境现状图</w:t>
      </w:r>
    </w:p>
    <w:p w14:paraId="2399014E" w14:textId="77777777" w:rsidR="005A1A44" w:rsidRDefault="0008059E">
      <w:pPr>
        <w:pStyle w:val="2"/>
        <w:numPr>
          <w:ilvl w:val="1"/>
          <w:numId w:val="2"/>
        </w:numPr>
      </w:pPr>
      <w:bookmarkStart w:id="134" w:name="_Toc1387_WPSOffice_Level2"/>
      <w:r>
        <w:rPr>
          <w:rFonts w:hint="eastAsia"/>
        </w:rPr>
        <w:t xml:space="preserve"> </w:t>
      </w:r>
      <w:bookmarkStart w:id="135" w:name="_Toc13013_WPSOffice_Level2"/>
      <w:bookmarkStart w:id="136" w:name="_Toc23693_WPSOffice_Level2"/>
      <w:r>
        <w:rPr>
          <w:rFonts w:hint="eastAsia"/>
        </w:rPr>
        <w:t>项目基本情况</w:t>
      </w:r>
      <w:bookmarkEnd w:id="134"/>
      <w:bookmarkEnd w:id="135"/>
      <w:bookmarkEnd w:id="136"/>
    </w:p>
    <w:p w14:paraId="3FD3DD23" w14:textId="77777777" w:rsidR="005A1A44" w:rsidRDefault="0008059E">
      <w:pPr>
        <w:numPr>
          <w:ilvl w:val="0"/>
          <w:numId w:val="7"/>
        </w:numPr>
        <w:ind w:firstLine="480"/>
      </w:pPr>
      <w:r>
        <w:rPr>
          <w:rFonts w:hint="eastAsia"/>
        </w:rPr>
        <w:t>项目名称：玉龙喀什河和田市段河道治理及两岸生态修复项目。</w:t>
      </w:r>
    </w:p>
    <w:p w14:paraId="3DD7635A" w14:textId="77777777" w:rsidR="005A1A44" w:rsidRDefault="0008059E">
      <w:pPr>
        <w:numPr>
          <w:ilvl w:val="0"/>
          <w:numId w:val="7"/>
        </w:numPr>
        <w:ind w:firstLine="480"/>
      </w:pPr>
      <w:r>
        <w:rPr>
          <w:rFonts w:hint="eastAsia"/>
        </w:rPr>
        <w:t>建设性质：新建。</w:t>
      </w:r>
    </w:p>
    <w:p w14:paraId="0B0B5328" w14:textId="77777777" w:rsidR="005A1A44" w:rsidRDefault="0008059E">
      <w:pPr>
        <w:numPr>
          <w:ilvl w:val="0"/>
          <w:numId w:val="7"/>
        </w:numPr>
        <w:ind w:firstLine="480"/>
      </w:pPr>
      <w:r>
        <w:rPr>
          <w:rFonts w:hint="eastAsia"/>
        </w:rPr>
        <w:t>项目类别：农林水利。</w:t>
      </w:r>
    </w:p>
    <w:p w14:paraId="4C81E8BE" w14:textId="77777777" w:rsidR="005A1A44" w:rsidRDefault="0008059E">
      <w:pPr>
        <w:numPr>
          <w:ilvl w:val="0"/>
          <w:numId w:val="7"/>
        </w:numPr>
        <w:ind w:firstLine="480"/>
      </w:pPr>
      <w:r>
        <w:rPr>
          <w:rFonts w:hint="eastAsia"/>
        </w:rPr>
        <w:t>建设地点：和田市玉龙喀什河河段，长度</w:t>
      </w:r>
      <w:r>
        <w:rPr>
          <w:rFonts w:hint="eastAsia"/>
        </w:rPr>
        <w:t>27.125km</w:t>
      </w:r>
      <w:r>
        <w:rPr>
          <w:rFonts w:hint="eastAsia"/>
        </w:rPr>
        <w:t>，治理面积</w:t>
      </w:r>
      <w:r>
        <w:rPr>
          <w:rFonts w:hint="eastAsia"/>
        </w:rPr>
        <w:t>2540.75hm</w:t>
      </w:r>
      <w:r>
        <w:rPr>
          <w:rFonts w:hint="eastAsia"/>
          <w:vertAlign w:val="superscript"/>
        </w:rPr>
        <w:t>2</w:t>
      </w:r>
      <w:r>
        <w:rPr>
          <w:rFonts w:hint="eastAsia"/>
        </w:rPr>
        <w:t>，行政区域属于和田地区和田市。</w:t>
      </w:r>
    </w:p>
    <w:p w14:paraId="2ECA983E" w14:textId="77777777" w:rsidR="005A1A44" w:rsidRDefault="0008059E">
      <w:pPr>
        <w:ind w:firstLine="480"/>
      </w:pPr>
      <w:r>
        <w:rPr>
          <w:rFonts w:hint="eastAsia"/>
        </w:rPr>
        <w:t>（</w:t>
      </w:r>
      <w:r>
        <w:rPr>
          <w:rFonts w:hint="eastAsia"/>
        </w:rPr>
        <w:t>5</w:t>
      </w:r>
      <w:r>
        <w:rPr>
          <w:rFonts w:hint="eastAsia"/>
        </w:rPr>
        <w:t>）工程内容及规模：河道疏浚清障、河道堤防建设，两岸生态修复，堤顶</w:t>
      </w:r>
      <w:r>
        <w:rPr>
          <w:rFonts w:hint="eastAsia"/>
        </w:rPr>
        <w:lastRenderedPageBreak/>
        <w:t>慢道建设，文化设施建设，给排水、公共厕所、垃圾收集等。</w:t>
      </w:r>
    </w:p>
    <w:p w14:paraId="2D3F467C" w14:textId="77777777" w:rsidR="005A1A44" w:rsidRDefault="0008059E">
      <w:pPr>
        <w:ind w:firstLine="480"/>
      </w:pPr>
      <w:r>
        <w:rPr>
          <w:rFonts w:hint="eastAsia"/>
        </w:rPr>
        <w:t>（</w:t>
      </w:r>
      <w:r>
        <w:rPr>
          <w:rFonts w:hint="eastAsia"/>
        </w:rPr>
        <w:t>6</w:t>
      </w:r>
      <w:r>
        <w:rPr>
          <w:rFonts w:hint="eastAsia"/>
        </w:rPr>
        <w:t>）移民安置及专项设施补偿：本项目实施区域均在河道及两岸景观范围内，不涉及征地拆迁事宜。</w:t>
      </w:r>
    </w:p>
    <w:p w14:paraId="6F7FD338" w14:textId="77777777" w:rsidR="005A1A44" w:rsidRDefault="0008059E">
      <w:pPr>
        <w:ind w:firstLine="480"/>
      </w:pPr>
      <w:r>
        <w:rPr>
          <w:rFonts w:hint="eastAsia"/>
        </w:rPr>
        <w:t>（</w:t>
      </w:r>
      <w:r>
        <w:rPr>
          <w:rFonts w:hint="eastAsia"/>
        </w:rPr>
        <w:t>7</w:t>
      </w:r>
      <w:r>
        <w:rPr>
          <w:rFonts w:hint="eastAsia"/>
        </w:rPr>
        <w:t>）工程投资：本项目总投资</w:t>
      </w:r>
      <w:r>
        <w:rPr>
          <w:rFonts w:hint="eastAsia"/>
        </w:rPr>
        <w:t>300000.00</w:t>
      </w:r>
      <w:r>
        <w:rPr>
          <w:rFonts w:hint="eastAsia"/>
        </w:rPr>
        <w:t>万元，其中工程费用</w:t>
      </w:r>
      <w:r>
        <w:rPr>
          <w:rFonts w:hint="eastAsia"/>
        </w:rPr>
        <w:t>259751.06</w:t>
      </w:r>
      <w:r>
        <w:rPr>
          <w:rFonts w:hint="eastAsia"/>
        </w:rPr>
        <w:t>万元，其他费用</w:t>
      </w:r>
      <w:r>
        <w:rPr>
          <w:rFonts w:hint="eastAsia"/>
        </w:rPr>
        <w:t>18391.71</w:t>
      </w:r>
      <w:r>
        <w:rPr>
          <w:rFonts w:hint="eastAsia"/>
        </w:rPr>
        <w:t>万元，预备费</w:t>
      </w:r>
      <w:r>
        <w:rPr>
          <w:rFonts w:hint="eastAsia"/>
        </w:rPr>
        <w:t>21857.23</w:t>
      </w:r>
      <w:r>
        <w:rPr>
          <w:rFonts w:hint="eastAsia"/>
        </w:rPr>
        <w:t>万元。</w:t>
      </w:r>
    </w:p>
    <w:p w14:paraId="15D6F2D3" w14:textId="77777777" w:rsidR="005A1A44" w:rsidRDefault="0008059E">
      <w:pPr>
        <w:ind w:firstLine="480"/>
      </w:pPr>
      <w:r>
        <w:rPr>
          <w:rFonts w:hint="eastAsia"/>
        </w:rPr>
        <w:t>（</w:t>
      </w:r>
      <w:r>
        <w:rPr>
          <w:rFonts w:hint="eastAsia"/>
        </w:rPr>
        <w:t>8</w:t>
      </w:r>
      <w:r>
        <w:rPr>
          <w:rFonts w:hint="eastAsia"/>
        </w:rPr>
        <w:t>）建设工期：项目建设期</w:t>
      </w:r>
      <w:r>
        <w:rPr>
          <w:rFonts w:hint="eastAsia"/>
        </w:rPr>
        <w:t xml:space="preserve"> 3 </w:t>
      </w:r>
      <w:r>
        <w:rPr>
          <w:rFonts w:hint="eastAsia"/>
        </w:rPr>
        <w:t>年，计划于</w:t>
      </w:r>
      <w:r>
        <w:rPr>
          <w:rFonts w:hint="eastAsia"/>
        </w:rPr>
        <w:t xml:space="preserve"> 2019 </w:t>
      </w:r>
      <w:r>
        <w:rPr>
          <w:rFonts w:hint="eastAsia"/>
        </w:rPr>
        <w:t>年</w:t>
      </w:r>
      <w:r>
        <w:rPr>
          <w:rFonts w:hint="eastAsia"/>
        </w:rPr>
        <w:t xml:space="preserve"> 3 </w:t>
      </w:r>
      <w:r>
        <w:rPr>
          <w:rFonts w:hint="eastAsia"/>
        </w:rPr>
        <w:t>月份开工建设，预计</w:t>
      </w:r>
      <w:r>
        <w:rPr>
          <w:rFonts w:hint="eastAsia"/>
        </w:rPr>
        <w:t xml:space="preserve"> 2022</w:t>
      </w:r>
      <w:r>
        <w:rPr>
          <w:rFonts w:hint="eastAsia"/>
        </w:rPr>
        <w:t>年</w:t>
      </w:r>
      <w:r>
        <w:rPr>
          <w:rFonts w:hint="eastAsia"/>
        </w:rPr>
        <w:t xml:space="preserve"> 2 </w:t>
      </w:r>
      <w:r>
        <w:rPr>
          <w:rFonts w:hint="eastAsia"/>
        </w:rPr>
        <w:t>月工程全部竣工。</w:t>
      </w:r>
    </w:p>
    <w:p w14:paraId="722E3648" w14:textId="77777777" w:rsidR="005A1A44" w:rsidRDefault="0008059E">
      <w:pPr>
        <w:pStyle w:val="2"/>
        <w:numPr>
          <w:ilvl w:val="1"/>
          <w:numId w:val="2"/>
        </w:numPr>
      </w:pPr>
      <w:r>
        <w:rPr>
          <w:rFonts w:hint="eastAsia"/>
        </w:rPr>
        <w:t xml:space="preserve"> </w:t>
      </w:r>
      <w:bookmarkStart w:id="137" w:name="_Toc5090_WPSOffice_Level2"/>
      <w:bookmarkStart w:id="138" w:name="_Toc9308_WPSOffice_Level2"/>
      <w:bookmarkStart w:id="139" w:name="_Toc29842_WPSOffice_Level2"/>
      <w:r>
        <w:rPr>
          <w:rFonts w:hint="eastAsia"/>
        </w:rPr>
        <w:t>项目组成及工程</w:t>
      </w:r>
      <w:bookmarkEnd w:id="137"/>
      <w:r>
        <w:rPr>
          <w:rFonts w:hint="eastAsia"/>
        </w:rPr>
        <w:t>内容</w:t>
      </w:r>
      <w:bookmarkEnd w:id="138"/>
      <w:bookmarkEnd w:id="139"/>
    </w:p>
    <w:p w14:paraId="71E559BF" w14:textId="77777777" w:rsidR="005A1A44" w:rsidRDefault="0008059E">
      <w:pPr>
        <w:pStyle w:val="3"/>
        <w:numPr>
          <w:ilvl w:val="2"/>
          <w:numId w:val="2"/>
        </w:numPr>
      </w:pPr>
      <w:r>
        <w:rPr>
          <w:rFonts w:hint="eastAsia"/>
        </w:rPr>
        <w:t xml:space="preserve"> </w:t>
      </w:r>
      <w:r>
        <w:rPr>
          <w:rFonts w:hint="eastAsia"/>
        </w:rPr>
        <w:t>项目组成</w:t>
      </w:r>
    </w:p>
    <w:p w14:paraId="06B0DC51" w14:textId="77777777" w:rsidR="005A1A44" w:rsidRDefault="0008059E">
      <w:pPr>
        <w:ind w:firstLine="480"/>
      </w:pPr>
      <w:r>
        <w:rPr>
          <w:rFonts w:hint="eastAsia"/>
        </w:rPr>
        <w:t>本工程重点对玉龙喀什河和田市段河道进行治理及两岸生态进行修复，长度</w:t>
      </w:r>
      <w:r>
        <w:rPr>
          <w:rFonts w:hint="eastAsia"/>
        </w:rPr>
        <w:t>27.125km</w:t>
      </w:r>
      <w:r>
        <w:rPr>
          <w:rFonts w:hint="eastAsia"/>
        </w:rPr>
        <w:t>，本工程设计内容主要包括玉龙喀什河两岸防洪堤建设、堤岸外侧景观绿化以及河道的疏浚清淤等内容。具体内容如下：</w:t>
      </w:r>
    </w:p>
    <w:p w14:paraId="4A00C081" w14:textId="77777777" w:rsidR="005A1A44" w:rsidRDefault="0008059E">
      <w:pPr>
        <w:ind w:firstLine="480"/>
      </w:pPr>
      <w:r>
        <w:rPr>
          <w:rFonts w:hint="eastAsia"/>
        </w:rPr>
        <w:t>（</w:t>
      </w:r>
      <w:r>
        <w:rPr>
          <w:rFonts w:hint="eastAsia"/>
        </w:rPr>
        <w:t>1</w:t>
      </w:r>
      <w:r>
        <w:rPr>
          <w:rFonts w:hint="eastAsia"/>
        </w:rPr>
        <w:t>）河道治理工程</w:t>
      </w:r>
    </w:p>
    <w:p w14:paraId="19E5EDBB" w14:textId="77777777" w:rsidR="005A1A44" w:rsidRDefault="0008059E">
      <w:pPr>
        <w:ind w:firstLine="480"/>
      </w:pPr>
      <w:r>
        <w:rPr>
          <w:rFonts w:hint="eastAsia"/>
        </w:rPr>
        <w:t>通过河道疏浚清障、生态驳岸建设、河道堤防等工程措施，使玉龙喀什河既满足城市防洪和排涝的要求，又满足生态环境、休闲的要求。本项目河道清障量</w:t>
      </w:r>
      <w:r>
        <w:rPr>
          <w:rFonts w:hint="eastAsia"/>
        </w:rPr>
        <w:t>806.54</w:t>
      </w:r>
      <w:r>
        <w:rPr>
          <w:rFonts w:hint="eastAsia"/>
        </w:rPr>
        <w:t>万</w:t>
      </w:r>
      <w:r>
        <w:rPr>
          <w:rFonts w:hint="eastAsia"/>
        </w:rPr>
        <w:t>m</w:t>
      </w:r>
      <w:r>
        <w:rPr>
          <w:rFonts w:hint="eastAsia"/>
        </w:rPr>
        <w:t>³，河道堤防总长</w:t>
      </w:r>
      <w:r>
        <w:rPr>
          <w:rFonts w:hint="eastAsia"/>
        </w:rPr>
        <w:t>45.797km</w:t>
      </w:r>
      <w:r>
        <w:rPr>
          <w:rFonts w:hint="eastAsia"/>
        </w:rPr>
        <w:t>（左右岸总计），其中新建堤防</w:t>
      </w:r>
      <w:r>
        <w:rPr>
          <w:rFonts w:hint="eastAsia"/>
        </w:rPr>
        <w:t>18.605km</w:t>
      </w:r>
      <w:r>
        <w:rPr>
          <w:rFonts w:hint="eastAsia"/>
        </w:rPr>
        <w:t>（左岸</w:t>
      </w:r>
      <w:r>
        <w:rPr>
          <w:rFonts w:hint="eastAsia"/>
        </w:rPr>
        <w:t>9.709km</w:t>
      </w:r>
      <w:r>
        <w:rPr>
          <w:rFonts w:hint="eastAsia"/>
        </w:rPr>
        <w:t>、右岸</w:t>
      </w:r>
      <w:r>
        <w:rPr>
          <w:rFonts w:hint="eastAsia"/>
        </w:rPr>
        <w:t>8.896km</w:t>
      </w:r>
      <w:r>
        <w:rPr>
          <w:rFonts w:hint="eastAsia"/>
        </w:rPr>
        <w:t>）。</w:t>
      </w:r>
    </w:p>
    <w:p w14:paraId="24DDE2BF" w14:textId="77777777" w:rsidR="005A1A44" w:rsidRDefault="0008059E">
      <w:pPr>
        <w:ind w:firstLine="480"/>
      </w:pPr>
      <w:r>
        <w:rPr>
          <w:rFonts w:hint="eastAsia"/>
        </w:rPr>
        <w:t>（</w:t>
      </w:r>
      <w:r>
        <w:rPr>
          <w:rFonts w:hint="eastAsia"/>
        </w:rPr>
        <w:t>2</w:t>
      </w:r>
      <w:r>
        <w:rPr>
          <w:rFonts w:hint="eastAsia"/>
        </w:rPr>
        <w:t>）两岸生态修复</w:t>
      </w:r>
    </w:p>
    <w:p w14:paraId="6F507B9F" w14:textId="77777777" w:rsidR="005A1A44" w:rsidRDefault="0008059E">
      <w:pPr>
        <w:ind w:firstLine="480"/>
      </w:pPr>
      <w:r>
        <w:rPr>
          <w:rFonts w:hint="eastAsia"/>
        </w:rPr>
        <w:t>在满足河道安全行洪的前提下，沿河道两岸进行景观绿化，整个景观带顺河流方向分成三段，从上游至一桥为“体育休闲公园、城市湿地公园”，一桥至三桥之间为“文化休闲公园”，三桥至四桥之间为“滨河休闲公园、生态休闲公园”</w:t>
      </w:r>
      <w:r>
        <w:rPr>
          <w:rFonts w:ascii="Times New Roman" w:eastAsia="宋体" w:hAnsi="Times New Roman" w:hint="eastAsia"/>
        </w:rPr>
        <w:t>，</w:t>
      </w:r>
      <w:r>
        <w:rPr>
          <w:rFonts w:hint="eastAsia"/>
        </w:rPr>
        <w:t>构建立体生态长廊，设计绿化面积</w:t>
      </w:r>
      <w:r>
        <w:rPr>
          <w:rFonts w:hint="eastAsia"/>
        </w:rPr>
        <w:t>667.241hm</w:t>
      </w:r>
      <w:r>
        <w:rPr>
          <w:rFonts w:hint="eastAsia"/>
          <w:vertAlign w:val="superscript"/>
        </w:rPr>
        <w:t>2</w:t>
      </w:r>
      <w:r>
        <w:rPr>
          <w:rFonts w:hint="eastAsia"/>
        </w:rPr>
        <w:t>。</w:t>
      </w:r>
    </w:p>
    <w:p w14:paraId="7DA3727A" w14:textId="77777777" w:rsidR="005A1A44" w:rsidRDefault="0008059E">
      <w:pPr>
        <w:ind w:firstLine="480"/>
      </w:pPr>
      <w:r>
        <w:rPr>
          <w:rFonts w:hint="eastAsia"/>
        </w:rPr>
        <w:t>项目段河两岸防护对象有和田市区吉亚总干渠、东风干渠、沿河岸形成的农田及居民区。根据《防洪标准》（</w:t>
      </w:r>
      <w:r>
        <w:rPr>
          <w:rFonts w:hint="eastAsia"/>
        </w:rPr>
        <w:t>GB50201-2014</w:t>
      </w:r>
      <w:r>
        <w:rPr>
          <w:rFonts w:hint="eastAsia"/>
        </w:rPr>
        <w:t>）、《和田河（玉龙喀什河）防洪规划（修编）》（</w:t>
      </w:r>
      <w:r>
        <w:rPr>
          <w:rFonts w:hint="eastAsia"/>
        </w:rPr>
        <w:t>2018.1</w:t>
      </w:r>
      <w:r>
        <w:rPr>
          <w:rFonts w:hint="eastAsia"/>
        </w:rPr>
        <w:t>）、《水利水电工程等级划分及洪水标准》（</w:t>
      </w:r>
      <w:r>
        <w:rPr>
          <w:rFonts w:hint="eastAsia"/>
        </w:rPr>
        <w:t>SL252-2017</w:t>
      </w:r>
      <w:r>
        <w:rPr>
          <w:rFonts w:hint="eastAsia"/>
        </w:rPr>
        <w:t>）</w:t>
      </w:r>
      <w:r>
        <w:rPr>
          <w:rFonts w:hint="eastAsia"/>
        </w:rPr>
        <w:lastRenderedPageBreak/>
        <w:t>和《堤防工程设计规范》（</w:t>
      </w:r>
      <w:r>
        <w:rPr>
          <w:rFonts w:hint="eastAsia"/>
        </w:rPr>
        <w:t>GB50286-2013</w:t>
      </w:r>
      <w:r>
        <w:rPr>
          <w:rFonts w:hint="eastAsia"/>
        </w:rPr>
        <w:t>），确定玉龙喀什河河道治理及两岸生态修复项目的工程等级为Ⅱ等，主要建筑物级别按</w:t>
      </w:r>
      <w:r>
        <w:rPr>
          <w:rFonts w:hint="eastAsia"/>
        </w:rPr>
        <w:t>2</w:t>
      </w:r>
      <w:r>
        <w:rPr>
          <w:rFonts w:hint="eastAsia"/>
        </w:rPr>
        <w:t>级设计，防洪标准采用</w:t>
      </w:r>
      <w:r>
        <w:rPr>
          <w:rFonts w:hint="eastAsia"/>
        </w:rPr>
        <w:t>50</w:t>
      </w:r>
      <w:r>
        <w:rPr>
          <w:rFonts w:hint="eastAsia"/>
        </w:rPr>
        <w:t>年一遇；临时建筑物级别为</w:t>
      </w:r>
      <w:r>
        <w:rPr>
          <w:rFonts w:hint="eastAsia"/>
        </w:rPr>
        <w:t>4</w:t>
      </w:r>
      <w:r>
        <w:rPr>
          <w:rFonts w:hint="eastAsia"/>
        </w:rPr>
        <w:t>级，防洪标准采用</w:t>
      </w:r>
      <w:r>
        <w:rPr>
          <w:rFonts w:hint="eastAsia"/>
        </w:rPr>
        <w:t>10</w:t>
      </w:r>
      <w:r>
        <w:rPr>
          <w:rFonts w:hint="eastAsia"/>
        </w:rPr>
        <w:t>年一遇洪水。</w:t>
      </w:r>
    </w:p>
    <w:p w14:paraId="026BABEF" w14:textId="77777777" w:rsidR="005A1A44" w:rsidRDefault="0008059E">
      <w:pPr>
        <w:ind w:firstLine="480"/>
      </w:pPr>
      <w:r>
        <w:rPr>
          <w:rFonts w:hint="eastAsia"/>
        </w:rPr>
        <w:t>玉龙喀什河河道治理及两岸生态修复项目总平面布置图见图</w:t>
      </w:r>
      <w:r>
        <w:rPr>
          <w:rFonts w:hint="eastAsia"/>
        </w:rPr>
        <w:t>3.4-1</w:t>
      </w:r>
      <w:r>
        <w:rPr>
          <w:rFonts w:hint="eastAsia"/>
        </w:rPr>
        <w:t>。</w:t>
      </w:r>
    </w:p>
    <w:p w14:paraId="77AF9BCE" w14:textId="77777777" w:rsidR="005A1A44" w:rsidRDefault="0008059E">
      <w:pPr>
        <w:pStyle w:val="3"/>
        <w:numPr>
          <w:ilvl w:val="2"/>
          <w:numId w:val="2"/>
        </w:numPr>
      </w:pPr>
      <w:r>
        <w:rPr>
          <w:rFonts w:hint="eastAsia"/>
        </w:rPr>
        <w:t xml:space="preserve"> </w:t>
      </w:r>
      <w:r>
        <w:rPr>
          <w:rFonts w:hint="eastAsia"/>
        </w:rPr>
        <w:t>工程总体布置</w:t>
      </w:r>
    </w:p>
    <w:p w14:paraId="26F91F95" w14:textId="77777777" w:rsidR="005A1A44" w:rsidRDefault="0008059E">
      <w:pPr>
        <w:ind w:firstLine="480"/>
      </w:pPr>
      <w:r>
        <w:rPr>
          <w:rFonts w:hint="eastAsia"/>
        </w:rPr>
        <w:t>（</w:t>
      </w:r>
      <w:r>
        <w:rPr>
          <w:rFonts w:hint="eastAsia"/>
        </w:rPr>
        <w:t>1</w:t>
      </w:r>
      <w:r>
        <w:rPr>
          <w:rFonts w:hint="eastAsia"/>
        </w:rPr>
        <w:t>）</w:t>
      </w:r>
      <w:r>
        <w:rPr>
          <w:rFonts w:hint="eastAsia"/>
        </w:rPr>
        <w:t xml:space="preserve"> </w:t>
      </w:r>
      <w:r>
        <w:rPr>
          <w:rFonts w:hint="eastAsia"/>
        </w:rPr>
        <w:t>左岸</w:t>
      </w:r>
    </w:p>
    <w:p w14:paraId="3E3D5758" w14:textId="77777777" w:rsidR="005A1A44" w:rsidRDefault="0008059E">
      <w:pPr>
        <w:ind w:firstLine="480"/>
      </w:pPr>
      <w:r>
        <w:rPr>
          <w:rFonts w:hint="eastAsia"/>
        </w:rPr>
        <w:t>纵向范围：以土和高速公路桥（桩号</w:t>
      </w:r>
      <w:r>
        <w:rPr>
          <w:rFonts w:hint="eastAsia"/>
        </w:rPr>
        <w:t xml:space="preserve"> 8+725</w:t>
      </w:r>
      <w:r>
        <w:rPr>
          <w:rFonts w:hint="eastAsia"/>
        </w:rPr>
        <w:t>）至玉龙喀什河</w:t>
      </w:r>
      <w:r>
        <w:rPr>
          <w:rFonts w:hint="eastAsia"/>
        </w:rPr>
        <w:t xml:space="preserve"> 4</w:t>
      </w:r>
      <w:r>
        <w:rPr>
          <w:rFonts w:hint="eastAsia"/>
        </w:rPr>
        <w:t>桥下游</w:t>
      </w:r>
      <w:r>
        <w:rPr>
          <w:rFonts w:hint="eastAsia"/>
        </w:rPr>
        <w:t xml:space="preserve"> 500m</w:t>
      </w:r>
      <w:r>
        <w:rPr>
          <w:rFonts w:hint="eastAsia"/>
        </w:rPr>
        <w:t>（桩号</w:t>
      </w:r>
      <w:r>
        <w:rPr>
          <w:rFonts w:hint="eastAsia"/>
        </w:rPr>
        <w:t xml:space="preserve"> 35+850</w:t>
      </w:r>
      <w:r>
        <w:rPr>
          <w:rFonts w:hint="eastAsia"/>
        </w:rPr>
        <w:t>）为界；</w:t>
      </w:r>
    </w:p>
    <w:p w14:paraId="524C97FF" w14:textId="77777777" w:rsidR="005A1A44" w:rsidRDefault="0008059E">
      <w:pPr>
        <w:ind w:firstLine="480"/>
      </w:pPr>
      <w:r>
        <w:rPr>
          <w:rFonts w:hint="eastAsia"/>
        </w:rPr>
        <w:t>横向范围：一桥上游和三桥下游市区外以《和田市总体规划》绿线为基础确定，一桥至三桥市区范围以已建防洪堤至滨河路为界。</w:t>
      </w:r>
    </w:p>
    <w:p w14:paraId="5F6FE0FC" w14:textId="77777777" w:rsidR="005A1A44" w:rsidRDefault="0008059E">
      <w:pPr>
        <w:ind w:firstLine="480"/>
      </w:pPr>
      <w:r>
        <w:rPr>
          <w:rFonts w:hint="eastAsia"/>
        </w:rPr>
        <w:t>（</w:t>
      </w:r>
      <w:r>
        <w:rPr>
          <w:rFonts w:hint="eastAsia"/>
        </w:rPr>
        <w:t>2</w:t>
      </w:r>
      <w:r>
        <w:rPr>
          <w:rFonts w:hint="eastAsia"/>
        </w:rPr>
        <w:t>）右岸</w:t>
      </w:r>
    </w:p>
    <w:p w14:paraId="62170B19" w14:textId="77777777" w:rsidR="005A1A44" w:rsidRDefault="0008059E">
      <w:pPr>
        <w:ind w:firstLine="480"/>
      </w:pPr>
      <w:r>
        <w:rPr>
          <w:rFonts w:hint="eastAsia"/>
        </w:rPr>
        <w:t>纵向范围：以和田市与洛浦县交界（桩号</w:t>
      </w:r>
      <w:r>
        <w:rPr>
          <w:rFonts w:hint="eastAsia"/>
        </w:rPr>
        <w:t xml:space="preserve"> 17+229</w:t>
      </w:r>
      <w:r>
        <w:rPr>
          <w:rFonts w:hint="eastAsia"/>
        </w:rPr>
        <w:t>）至玉龙喀什河</w:t>
      </w:r>
      <w:r>
        <w:rPr>
          <w:rFonts w:hint="eastAsia"/>
        </w:rPr>
        <w:t xml:space="preserve"> 4 </w:t>
      </w:r>
      <w:r>
        <w:rPr>
          <w:rFonts w:hint="eastAsia"/>
        </w:rPr>
        <w:t>桥下游</w:t>
      </w:r>
      <w:r>
        <w:rPr>
          <w:rFonts w:hint="eastAsia"/>
        </w:rPr>
        <w:t xml:space="preserve"> 500m</w:t>
      </w:r>
      <w:r>
        <w:rPr>
          <w:rFonts w:hint="eastAsia"/>
        </w:rPr>
        <w:t>（桩号</w:t>
      </w:r>
      <w:r>
        <w:rPr>
          <w:rFonts w:hint="eastAsia"/>
        </w:rPr>
        <w:t xml:space="preserve"> 35+850</w:t>
      </w:r>
      <w:r>
        <w:rPr>
          <w:rFonts w:hint="eastAsia"/>
        </w:rPr>
        <w:t>）为界；</w:t>
      </w:r>
    </w:p>
    <w:p w14:paraId="291198F9" w14:textId="77777777" w:rsidR="005A1A44" w:rsidRDefault="0008059E">
      <w:pPr>
        <w:ind w:firstLine="480"/>
      </w:pPr>
      <w:r>
        <w:rPr>
          <w:rFonts w:hint="eastAsia"/>
        </w:rPr>
        <w:t>横向范围：一桥上游和三桥下游市区外以《和田市总体规划》绿线为基础确定，一桥至三桥市区范围以已建防洪堤至京怀大道为界。</w:t>
      </w:r>
    </w:p>
    <w:p w14:paraId="23264899" w14:textId="77777777" w:rsidR="005A1A44" w:rsidRDefault="0008059E">
      <w:pPr>
        <w:ind w:firstLine="480"/>
      </w:pPr>
      <w:r>
        <w:rPr>
          <w:rFonts w:hint="eastAsia"/>
        </w:rPr>
        <w:t>设计范围内河道总长度约</w:t>
      </w:r>
      <w:r>
        <w:rPr>
          <w:rFonts w:hint="eastAsia"/>
        </w:rPr>
        <w:t xml:space="preserve"> 27.125km</w:t>
      </w:r>
      <w:r>
        <w:rPr>
          <w:rFonts w:hint="eastAsia"/>
        </w:rPr>
        <w:t>；拟建防洪堤总长度为</w:t>
      </w:r>
      <w:r>
        <w:rPr>
          <w:rFonts w:hint="eastAsia"/>
        </w:rPr>
        <w:t>18.605km</w:t>
      </w:r>
      <w:r>
        <w:rPr>
          <w:rFonts w:hint="eastAsia"/>
        </w:rPr>
        <w:t>，其中左岸长度为</w:t>
      </w:r>
      <w:r>
        <w:rPr>
          <w:rFonts w:hint="eastAsia"/>
        </w:rPr>
        <w:t xml:space="preserve"> 9.709km</w:t>
      </w:r>
      <w:r>
        <w:rPr>
          <w:rFonts w:hint="eastAsia"/>
        </w:rPr>
        <w:t>，右岸长度为</w:t>
      </w:r>
      <w:r>
        <w:rPr>
          <w:rFonts w:hint="eastAsia"/>
        </w:rPr>
        <w:t xml:space="preserve"> 8.896km</w:t>
      </w:r>
      <w:r>
        <w:rPr>
          <w:rFonts w:hint="eastAsia"/>
        </w:rPr>
        <w:t>；两岸生态修复及绿化面积约</w:t>
      </w:r>
      <w:r>
        <w:rPr>
          <w:rFonts w:hint="eastAsia"/>
        </w:rPr>
        <w:t xml:space="preserve">662.241 </w:t>
      </w:r>
      <w:r>
        <w:rPr>
          <w:rFonts w:hint="eastAsia"/>
        </w:rPr>
        <w:t>公顷。</w:t>
      </w:r>
    </w:p>
    <w:p w14:paraId="0EBBDBA5" w14:textId="77777777" w:rsidR="005A1A44" w:rsidRDefault="0008059E">
      <w:pPr>
        <w:pStyle w:val="3"/>
        <w:numPr>
          <w:ilvl w:val="2"/>
          <w:numId w:val="2"/>
        </w:numPr>
      </w:pPr>
      <w:r>
        <w:rPr>
          <w:rFonts w:hint="eastAsia"/>
        </w:rPr>
        <w:t xml:space="preserve"> </w:t>
      </w:r>
      <w:r>
        <w:rPr>
          <w:rFonts w:hint="eastAsia"/>
        </w:rPr>
        <w:t>工程内容</w:t>
      </w:r>
    </w:p>
    <w:p w14:paraId="57E5F60C" w14:textId="77777777" w:rsidR="005A1A44" w:rsidRDefault="0008059E">
      <w:pPr>
        <w:pStyle w:val="4"/>
        <w:numPr>
          <w:ilvl w:val="3"/>
          <w:numId w:val="2"/>
        </w:numPr>
      </w:pPr>
      <w:r>
        <w:rPr>
          <w:rFonts w:hint="eastAsia"/>
        </w:rPr>
        <w:t xml:space="preserve"> </w:t>
      </w:r>
      <w:r>
        <w:rPr>
          <w:rFonts w:hint="eastAsia"/>
        </w:rPr>
        <w:t>河道整治宽度</w:t>
      </w:r>
    </w:p>
    <w:p w14:paraId="2C1D118A" w14:textId="77777777" w:rsidR="005A1A44" w:rsidRDefault="0008059E">
      <w:pPr>
        <w:ind w:firstLine="480"/>
      </w:pPr>
      <w:r>
        <w:rPr>
          <w:rFonts w:hint="eastAsia"/>
        </w:rPr>
        <w:t>本次项目段</w:t>
      </w:r>
      <w:r>
        <w:rPr>
          <w:rFonts w:hint="eastAsia"/>
        </w:rPr>
        <w:t>8+725</w:t>
      </w:r>
      <w:r>
        <w:rPr>
          <w:rFonts w:hint="eastAsia"/>
        </w:rPr>
        <w:t>（高速公路跨河大桥）至</w:t>
      </w:r>
      <w:r>
        <w:rPr>
          <w:rFonts w:hint="eastAsia"/>
        </w:rPr>
        <w:t>32+000</w:t>
      </w:r>
      <w:r>
        <w:rPr>
          <w:rFonts w:hint="eastAsia"/>
        </w:rPr>
        <w:t>段，该河段长度为</w:t>
      </w:r>
      <w:r>
        <w:rPr>
          <w:rFonts w:hint="eastAsia"/>
        </w:rPr>
        <w:t>23.275km</w:t>
      </w:r>
      <w:r>
        <w:rPr>
          <w:rFonts w:hint="eastAsia"/>
        </w:rPr>
        <w:t>，河槽宽度大，河床宽度在</w:t>
      </w:r>
      <w:r>
        <w:rPr>
          <w:rFonts w:hint="eastAsia"/>
        </w:rPr>
        <w:t>229-867m</w:t>
      </w:r>
      <w:r>
        <w:rPr>
          <w:rFonts w:hint="eastAsia"/>
        </w:rPr>
        <w:t>，而计算的稳定河槽宽度为</w:t>
      </w:r>
      <w:r>
        <w:rPr>
          <w:rFonts w:hint="eastAsia"/>
        </w:rPr>
        <w:t>156-310m</w:t>
      </w:r>
      <w:r>
        <w:rPr>
          <w:rFonts w:hint="eastAsia"/>
        </w:rPr>
        <w:t>；</w:t>
      </w:r>
      <w:r>
        <w:rPr>
          <w:rFonts w:hint="eastAsia"/>
        </w:rPr>
        <w:t>32+000</w:t>
      </w:r>
      <w:r>
        <w:rPr>
          <w:rFonts w:hint="eastAsia"/>
        </w:rPr>
        <w:t>至</w:t>
      </w:r>
      <w:r>
        <w:rPr>
          <w:rFonts w:hint="eastAsia"/>
        </w:rPr>
        <w:t>35+850</w:t>
      </w:r>
      <w:r>
        <w:rPr>
          <w:rFonts w:hint="eastAsia"/>
        </w:rPr>
        <w:t>河段长度为</w:t>
      </w:r>
      <w:r>
        <w:rPr>
          <w:rFonts w:hint="eastAsia"/>
        </w:rPr>
        <w:t>3.850km</w:t>
      </w:r>
      <w:r>
        <w:rPr>
          <w:rFonts w:hint="eastAsia"/>
        </w:rPr>
        <w:t>，河槽宽度大，主流左右摆动而且汊流多，河床总宽度在</w:t>
      </w:r>
      <w:r>
        <w:rPr>
          <w:rFonts w:hint="eastAsia"/>
        </w:rPr>
        <w:t>650-1800m</w:t>
      </w:r>
      <w:r>
        <w:rPr>
          <w:rFonts w:hint="eastAsia"/>
        </w:rPr>
        <w:t>，而计算的稳定河槽宽度为</w:t>
      </w:r>
      <w:r>
        <w:rPr>
          <w:rFonts w:hint="eastAsia"/>
        </w:rPr>
        <w:t>310-545m</w:t>
      </w:r>
      <w:r>
        <w:rPr>
          <w:rFonts w:hint="eastAsia"/>
        </w:rPr>
        <w:t>，两岸河段基本没有永久性防</w:t>
      </w:r>
      <w:r>
        <w:rPr>
          <w:rFonts w:hint="eastAsia"/>
        </w:rPr>
        <w:lastRenderedPageBreak/>
        <w:t>洪工程。因此，直线河段沿自然河岸布置，在弯曲河段，根据河道内的自然趋势用微弯治导线衔接，防止河道左右摆动，控制河床宽度在</w:t>
      </w:r>
      <w:r>
        <w:rPr>
          <w:rFonts w:hint="eastAsia"/>
        </w:rPr>
        <w:t>600m</w:t>
      </w:r>
      <w:r>
        <w:rPr>
          <w:rFonts w:hint="eastAsia"/>
        </w:rPr>
        <w:t>。</w:t>
      </w:r>
    </w:p>
    <w:p w14:paraId="7236932D" w14:textId="77777777" w:rsidR="005A1A44" w:rsidRDefault="0008059E">
      <w:pPr>
        <w:ind w:firstLine="480"/>
      </w:pPr>
      <w:r>
        <w:rPr>
          <w:rFonts w:hint="eastAsia"/>
        </w:rPr>
        <w:t>同时，和田市桩号</w:t>
      </w:r>
      <w:r>
        <w:rPr>
          <w:rFonts w:hint="eastAsia"/>
        </w:rPr>
        <w:t>21+050-22+900</w:t>
      </w:r>
      <w:r>
        <w:rPr>
          <w:rFonts w:hint="eastAsia"/>
        </w:rPr>
        <w:t>（一桥）河道治导线宽度</w:t>
      </w:r>
      <w:r>
        <w:rPr>
          <w:rFonts w:hint="eastAsia"/>
        </w:rPr>
        <w:t>299</w:t>
      </w:r>
      <w:r>
        <w:rPr>
          <w:rFonts w:hint="eastAsia"/>
        </w:rPr>
        <w:t>米；桩号</w:t>
      </w:r>
      <w:r>
        <w:rPr>
          <w:rFonts w:hint="eastAsia"/>
        </w:rPr>
        <w:t>22+900-23+800</w:t>
      </w:r>
      <w:r>
        <w:rPr>
          <w:rFonts w:hint="eastAsia"/>
        </w:rPr>
        <w:t>（二号桥）河道治导线宽度</w:t>
      </w:r>
      <w:r>
        <w:rPr>
          <w:rFonts w:hint="eastAsia"/>
        </w:rPr>
        <w:t>309m</w:t>
      </w:r>
      <w:r>
        <w:rPr>
          <w:rFonts w:hint="eastAsia"/>
        </w:rPr>
        <w:t>；桩号</w:t>
      </w:r>
      <w:r>
        <w:rPr>
          <w:rFonts w:hint="eastAsia"/>
        </w:rPr>
        <w:t>23+800-31+971</w:t>
      </w:r>
      <w:r>
        <w:rPr>
          <w:rFonts w:hint="eastAsia"/>
        </w:rPr>
        <w:t>（三号桥）河道治导线宽度</w:t>
      </w:r>
      <w:r>
        <w:rPr>
          <w:rFonts w:hint="eastAsia"/>
        </w:rPr>
        <w:t>310m</w:t>
      </w:r>
      <w:r>
        <w:rPr>
          <w:rFonts w:hint="eastAsia"/>
        </w:rPr>
        <w:t>；桩号</w:t>
      </w:r>
      <w:r>
        <w:rPr>
          <w:rFonts w:hint="eastAsia"/>
        </w:rPr>
        <w:t>31+971-35+625</w:t>
      </w:r>
      <w:r>
        <w:rPr>
          <w:rFonts w:hint="eastAsia"/>
        </w:rPr>
        <w:t>河道治导线宽度</w:t>
      </w:r>
      <w:r>
        <w:rPr>
          <w:rFonts w:hint="eastAsia"/>
        </w:rPr>
        <w:t>395m</w:t>
      </w:r>
      <w:r>
        <w:rPr>
          <w:rFonts w:hint="eastAsia"/>
        </w:rPr>
        <w:t>。</w:t>
      </w:r>
    </w:p>
    <w:p w14:paraId="32B92075" w14:textId="77777777" w:rsidR="005A1A44" w:rsidRDefault="0008059E">
      <w:pPr>
        <w:pStyle w:val="4"/>
        <w:numPr>
          <w:ilvl w:val="3"/>
          <w:numId w:val="2"/>
        </w:numPr>
      </w:pPr>
      <w:r>
        <w:rPr>
          <w:rFonts w:hint="eastAsia"/>
        </w:rPr>
        <w:t xml:space="preserve"> </w:t>
      </w:r>
      <w:r>
        <w:rPr>
          <w:rFonts w:hint="eastAsia"/>
        </w:rPr>
        <w:t>河道整治工程</w:t>
      </w:r>
    </w:p>
    <w:p w14:paraId="031EECC5" w14:textId="77777777" w:rsidR="005A1A44" w:rsidRDefault="0008059E">
      <w:pPr>
        <w:ind w:firstLine="480"/>
      </w:pPr>
      <w:r>
        <w:rPr>
          <w:rFonts w:hint="eastAsia"/>
        </w:rPr>
        <w:t>本工程设计内容重点内容包括玉龙喀什河两岸防洪堤建设、堤岸外侧景观绿化以及河道的疏浚清淤等内容。</w:t>
      </w:r>
    </w:p>
    <w:p w14:paraId="546DE0E3" w14:textId="77777777" w:rsidR="005A1A44" w:rsidRDefault="0008059E">
      <w:pPr>
        <w:numPr>
          <w:ilvl w:val="0"/>
          <w:numId w:val="8"/>
        </w:numPr>
        <w:ind w:firstLine="480"/>
      </w:pPr>
      <w:r>
        <w:rPr>
          <w:rFonts w:hint="eastAsia"/>
        </w:rPr>
        <w:t>防洪堤工程</w:t>
      </w:r>
    </w:p>
    <w:p w14:paraId="16593B76" w14:textId="77777777" w:rsidR="005A1A44" w:rsidRDefault="0008059E">
      <w:pPr>
        <w:ind w:firstLine="480"/>
      </w:pPr>
      <w:r>
        <w:rPr>
          <w:rFonts w:hint="eastAsia"/>
        </w:rPr>
        <w:t>左岸防洪堤从土和高速公路桥（桩号</w:t>
      </w:r>
      <w:r>
        <w:rPr>
          <w:rFonts w:hint="eastAsia"/>
        </w:rPr>
        <w:t>K8+725</w:t>
      </w:r>
      <w:r>
        <w:rPr>
          <w:rFonts w:hint="eastAsia"/>
        </w:rPr>
        <w:t>）起，沿玉龙喀什河左岸往下游延伸，止于玉龙喀什河</w:t>
      </w:r>
      <w:r>
        <w:rPr>
          <w:rFonts w:hint="eastAsia"/>
        </w:rPr>
        <w:t>4</w:t>
      </w:r>
      <w:r>
        <w:rPr>
          <w:rFonts w:hint="eastAsia"/>
        </w:rPr>
        <w:t>桥下游</w:t>
      </w:r>
      <w:r>
        <w:rPr>
          <w:rFonts w:hint="eastAsia"/>
        </w:rPr>
        <w:t>500m</w:t>
      </w:r>
      <w:r>
        <w:rPr>
          <w:rFonts w:hint="eastAsia"/>
        </w:rPr>
        <w:t>处（桩号</w:t>
      </w:r>
      <w:r>
        <w:rPr>
          <w:rFonts w:hint="eastAsia"/>
        </w:rPr>
        <w:t>K35+850</w:t>
      </w:r>
      <w:r>
        <w:rPr>
          <w:rFonts w:hint="eastAsia"/>
        </w:rPr>
        <w:t>），防洪堤总长</w:t>
      </w:r>
      <w:r>
        <w:rPr>
          <w:rFonts w:hint="eastAsia"/>
        </w:rPr>
        <w:t xml:space="preserve"> 26.92km</w:t>
      </w:r>
      <w:r>
        <w:rPr>
          <w:rFonts w:hint="eastAsia"/>
        </w:rPr>
        <w:t>，防洪堤桩号为</w:t>
      </w:r>
      <w:r>
        <w:rPr>
          <w:rFonts w:hint="eastAsia"/>
        </w:rPr>
        <w:t xml:space="preserve"> K8+725</w:t>
      </w:r>
      <w:r>
        <w:rPr>
          <w:rFonts w:hint="eastAsia"/>
        </w:rPr>
        <w:t>～</w:t>
      </w:r>
      <w:r>
        <w:rPr>
          <w:rFonts w:hint="eastAsia"/>
        </w:rPr>
        <w:t>K35+850</w:t>
      </w:r>
      <w:r>
        <w:rPr>
          <w:rFonts w:hint="eastAsia"/>
        </w:rPr>
        <w:t>。其中桩号</w:t>
      </w:r>
      <w:r>
        <w:rPr>
          <w:rFonts w:hint="eastAsia"/>
        </w:rPr>
        <w:t>K12+031~K14+305</w:t>
      </w:r>
      <w:r>
        <w:rPr>
          <w:rFonts w:hint="eastAsia"/>
        </w:rPr>
        <w:t>、</w:t>
      </w:r>
      <w:r>
        <w:rPr>
          <w:rFonts w:hint="eastAsia"/>
        </w:rPr>
        <w:t>K15+678~K29+053</w:t>
      </w:r>
      <w:r>
        <w:rPr>
          <w:rFonts w:hint="eastAsia"/>
        </w:rPr>
        <w:t>、</w:t>
      </w:r>
      <w:r>
        <w:rPr>
          <w:rFonts w:hint="eastAsia"/>
        </w:rPr>
        <w:t xml:space="preserve">K29+259~K30+800 </w:t>
      </w:r>
      <w:r>
        <w:rPr>
          <w:rFonts w:hint="eastAsia"/>
        </w:rPr>
        <w:t>三段为已建，其余为新建。新建防洪堤段同时设置下河步级</w:t>
      </w:r>
      <w:r>
        <w:rPr>
          <w:rFonts w:hint="eastAsia"/>
        </w:rPr>
        <w:t xml:space="preserve"> 35 </w:t>
      </w:r>
      <w:r>
        <w:rPr>
          <w:rFonts w:hint="eastAsia"/>
        </w:rPr>
        <w:t>座。</w:t>
      </w:r>
    </w:p>
    <w:p w14:paraId="784AE3EC" w14:textId="77777777" w:rsidR="005A1A44" w:rsidRDefault="0008059E">
      <w:pPr>
        <w:ind w:firstLine="480"/>
      </w:pPr>
      <w:r>
        <w:rPr>
          <w:rFonts w:hint="eastAsia"/>
        </w:rPr>
        <w:t>右岸防洪堤从和田市与洛浦县的交界处（桩号</w:t>
      </w:r>
      <w:r>
        <w:rPr>
          <w:rFonts w:hint="eastAsia"/>
        </w:rPr>
        <w:t>K17+229</w:t>
      </w:r>
      <w:r>
        <w:rPr>
          <w:rFonts w:hint="eastAsia"/>
        </w:rPr>
        <w:t>）起，沿玉龙喀什河右岸往下游延伸，止于玉龙喀什河四桥下游</w:t>
      </w:r>
      <w:r>
        <w:rPr>
          <w:rFonts w:hint="eastAsia"/>
        </w:rPr>
        <w:t>500m</w:t>
      </w:r>
      <w:r>
        <w:rPr>
          <w:rFonts w:hint="eastAsia"/>
        </w:rPr>
        <w:t>处（桩号</w:t>
      </w:r>
      <w:r>
        <w:rPr>
          <w:rFonts w:hint="eastAsia"/>
        </w:rPr>
        <w:t>K35+850</w:t>
      </w:r>
      <w:r>
        <w:rPr>
          <w:rFonts w:hint="eastAsia"/>
        </w:rPr>
        <w:t>），防洪堤总长</w:t>
      </w:r>
      <w:r>
        <w:rPr>
          <w:rFonts w:hint="eastAsia"/>
        </w:rPr>
        <w:t xml:space="preserve"> 18.797km</w:t>
      </w:r>
      <w:r>
        <w:rPr>
          <w:rFonts w:hint="eastAsia"/>
        </w:rPr>
        <w:t>，防洪堤桩号为</w:t>
      </w:r>
      <w:r>
        <w:rPr>
          <w:rFonts w:hint="eastAsia"/>
        </w:rPr>
        <w:t>K17+229</w:t>
      </w:r>
      <w:r>
        <w:rPr>
          <w:rFonts w:hint="eastAsia"/>
        </w:rPr>
        <w:t>～</w:t>
      </w:r>
      <w:r>
        <w:rPr>
          <w:rFonts w:hint="eastAsia"/>
        </w:rPr>
        <w:t>K35+850</w:t>
      </w:r>
      <w:r>
        <w:rPr>
          <w:rFonts w:hint="eastAsia"/>
        </w:rPr>
        <w:t>。其中桩号</w:t>
      </w:r>
      <w:r>
        <w:rPr>
          <w:rFonts w:hint="eastAsia"/>
        </w:rPr>
        <w:t>K21+000~K26+146</w:t>
      </w:r>
      <w:r>
        <w:rPr>
          <w:rFonts w:hint="eastAsia"/>
        </w:rPr>
        <w:t>、</w:t>
      </w:r>
      <w:r>
        <w:rPr>
          <w:rFonts w:hint="eastAsia"/>
        </w:rPr>
        <w:t>K26+245~K31+545</w:t>
      </w:r>
      <w:r>
        <w:rPr>
          <w:rFonts w:hint="eastAsia"/>
        </w:rPr>
        <w:t>两段为已建，其余为新建。新建防洪堤段同时设置下河步级</w:t>
      </w:r>
      <w:r>
        <w:rPr>
          <w:rFonts w:hint="eastAsia"/>
        </w:rPr>
        <w:t xml:space="preserve">30 </w:t>
      </w:r>
      <w:r>
        <w:rPr>
          <w:rFonts w:hint="eastAsia"/>
        </w:rPr>
        <w:t>座。</w:t>
      </w:r>
    </w:p>
    <w:p w14:paraId="6C16CE91" w14:textId="77777777" w:rsidR="005A1A44" w:rsidRDefault="0008059E">
      <w:pPr>
        <w:ind w:firstLine="480"/>
      </w:pPr>
      <w:r>
        <w:rPr>
          <w:rFonts w:hint="eastAsia"/>
        </w:rPr>
        <w:t>根据实际地形，土和高速公路桥（桩号</w:t>
      </w:r>
      <w:r>
        <w:rPr>
          <w:rFonts w:hint="eastAsia"/>
        </w:rPr>
        <w:t xml:space="preserve"> K8+725</w:t>
      </w:r>
      <w:r>
        <w:rPr>
          <w:rFonts w:hint="eastAsia"/>
        </w:rPr>
        <w:t>）处桥面高程</w:t>
      </w:r>
      <w:r>
        <w:rPr>
          <w:rFonts w:hint="eastAsia"/>
        </w:rPr>
        <w:t xml:space="preserve"> 1495.36m</w:t>
      </w:r>
      <w:r>
        <w:rPr>
          <w:rFonts w:hint="eastAsia"/>
        </w:rPr>
        <w:t>，玉龙喀什河四桥左岸桥面高程约为</w:t>
      </w:r>
      <w:r>
        <w:rPr>
          <w:rFonts w:hint="eastAsia"/>
        </w:rPr>
        <w:t xml:space="preserve"> 1314.00m</w:t>
      </w:r>
      <w:r>
        <w:rPr>
          <w:rFonts w:hint="eastAsia"/>
        </w:rPr>
        <w:t>，而防洪堤始端要求堤顶高程为</w:t>
      </w:r>
      <w:r>
        <w:rPr>
          <w:rFonts w:hint="eastAsia"/>
        </w:rPr>
        <w:t>1481.62m</w:t>
      </w:r>
      <w:r>
        <w:rPr>
          <w:rFonts w:hint="eastAsia"/>
        </w:rPr>
        <w:t>，末端要求堤顶高程为</w:t>
      </w:r>
      <w:r>
        <w:rPr>
          <w:rFonts w:hint="eastAsia"/>
        </w:rPr>
        <w:t xml:space="preserve"> 1309.16m</w:t>
      </w:r>
      <w:r>
        <w:rPr>
          <w:rFonts w:hint="eastAsia"/>
        </w:rPr>
        <w:t>，所以防洪堤始端封闭于玉龙喀什河左岸土和高速公路桥（桩号</w:t>
      </w:r>
      <w:r>
        <w:rPr>
          <w:rFonts w:hint="eastAsia"/>
        </w:rPr>
        <w:t>K8+725</w:t>
      </w:r>
      <w:r>
        <w:rPr>
          <w:rFonts w:hint="eastAsia"/>
        </w:rPr>
        <w:t>）处，下游封闭于玉龙喀什河四桥左岸，可使左岸防洪堤段形成封闭的防洪区域，满足防洪要求。对于玉龙喀什河四桥下游的</w:t>
      </w:r>
      <w:r>
        <w:rPr>
          <w:rFonts w:hint="eastAsia"/>
        </w:rPr>
        <w:t xml:space="preserve"> 500m</w:t>
      </w:r>
      <w:r>
        <w:rPr>
          <w:rFonts w:hint="eastAsia"/>
        </w:rPr>
        <w:t>，暂时不进行封闭，待后续防洪堤建设时再统筹封闭。</w:t>
      </w:r>
    </w:p>
    <w:p w14:paraId="41FF7801" w14:textId="77777777" w:rsidR="005A1A44" w:rsidRDefault="0008059E">
      <w:pPr>
        <w:ind w:firstLine="480"/>
      </w:pPr>
      <w:r>
        <w:rPr>
          <w:rFonts w:hint="eastAsia"/>
        </w:rPr>
        <w:t>防洪堤采用土堤型式，断面采用防洪规划中设计断面，面板采用斜插混凝土板结构，堤顶采用卵石路面。</w:t>
      </w:r>
    </w:p>
    <w:p w14:paraId="00AB846D" w14:textId="77777777" w:rsidR="005A1A44" w:rsidRDefault="0008059E">
      <w:pPr>
        <w:ind w:firstLine="480"/>
      </w:pPr>
      <w:r>
        <w:rPr>
          <w:rFonts w:hint="eastAsia"/>
        </w:rPr>
        <w:lastRenderedPageBreak/>
        <w:t>1</w:t>
      </w:r>
      <w:r>
        <w:rPr>
          <w:rFonts w:hint="eastAsia"/>
        </w:rPr>
        <w:t>）新建防洪堤结构设计</w:t>
      </w:r>
      <w:r>
        <w:rPr>
          <w:rFonts w:hint="eastAsia"/>
        </w:rPr>
        <w:t xml:space="preserve"> </w:t>
      </w:r>
    </w:p>
    <w:p w14:paraId="4F03F6B4" w14:textId="77777777" w:rsidR="005A1A44" w:rsidRDefault="0008059E">
      <w:pPr>
        <w:ind w:firstLine="480"/>
      </w:pPr>
      <w:r>
        <w:rPr>
          <w:rFonts w:hint="eastAsia"/>
        </w:rPr>
        <w:t>新建防洪堤堤顶高程取</w:t>
      </w:r>
      <w:r>
        <w:rPr>
          <w:rFonts w:hint="eastAsia"/>
        </w:rPr>
        <w:t xml:space="preserve"> 50 </w:t>
      </w:r>
      <w:r>
        <w:rPr>
          <w:rFonts w:hint="eastAsia"/>
        </w:rPr>
        <w:t>年一遇设计洪水位加超高</w:t>
      </w:r>
      <w:r>
        <w:rPr>
          <w:rFonts w:hint="eastAsia"/>
        </w:rPr>
        <w:t xml:space="preserve"> 1.43m</w:t>
      </w:r>
      <w:r>
        <w:rPr>
          <w:rFonts w:hint="eastAsia"/>
        </w:rPr>
        <w:t>，计算堤高在</w:t>
      </w:r>
      <w:r>
        <w:rPr>
          <w:rFonts w:hint="eastAsia"/>
        </w:rPr>
        <w:t xml:space="preserve"> 3.68m~4.21m </w:t>
      </w:r>
      <w:r>
        <w:rPr>
          <w:rFonts w:hint="eastAsia"/>
        </w:rPr>
        <w:t>之间，本次设计统一取堤高为</w:t>
      </w:r>
      <w:r>
        <w:rPr>
          <w:rFonts w:hint="eastAsia"/>
        </w:rPr>
        <w:t xml:space="preserve"> 4.20m</w:t>
      </w:r>
      <w:r>
        <w:rPr>
          <w:rFonts w:hint="eastAsia"/>
        </w:rPr>
        <w:t>。防洪堤堤顶宽度取</w:t>
      </w:r>
      <w:r>
        <w:rPr>
          <w:rFonts w:hint="eastAsia"/>
        </w:rPr>
        <w:t xml:space="preserve"> 6.0m</w:t>
      </w:r>
      <w:r>
        <w:rPr>
          <w:rFonts w:hint="eastAsia"/>
        </w:rPr>
        <w:t>，两侧均设置</w:t>
      </w:r>
      <w:r>
        <w:rPr>
          <w:rFonts w:hint="eastAsia"/>
        </w:rPr>
        <w:t xml:space="preserve"> C20 </w:t>
      </w:r>
      <w:r>
        <w:rPr>
          <w:rFonts w:hint="eastAsia"/>
        </w:rPr>
        <w:t>砼护肩，断面尺寸为</w:t>
      </w:r>
      <w:r>
        <w:rPr>
          <w:rFonts w:hint="eastAsia"/>
        </w:rPr>
        <w:t xml:space="preserve"> 0.40m</w:t>
      </w:r>
      <w:r>
        <w:rPr>
          <w:rFonts w:hint="eastAsia"/>
        </w:rPr>
        <w:t>×</w:t>
      </w:r>
      <w:r>
        <w:rPr>
          <w:rFonts w:hint="eastAsia"/>
        </w:rPr>
        <w:t>0.60m</w:t>
      </w:r>
      <w:r>
        <w:rPr>
          <w:rFonts w:hint="eastAsia"/>
        </w:rPr>
        <w:t>（宽×高），临水侧护肩顶部设仿大理石栏杆，高</w:t>
      </w:r>
      <w:r>
        <w:rPr>
          <w:rFonts w:hint="eastAsia"/>
        </w:rPr>
        <w:t xml:space="preserve"> 1.2m</w:t>
      </w:r>
      <w:r>
        <w:rPr>
          <w:rFonts w:hint="eastAsia"/>
        </w:rPr>
        <w:t>，护肩之间作堤顶路使用。</w:t>
      </w:r>
    </w:p>
    <w:p w14:paraId="661C3E91" w14:textId="77777777" w:rsidR="005A1A44" w:rsidRDefault="0008059E">
      <w:pPr>
        <w:ind w:leftChars="-200" w:left="-96" w:hangingChars="160" w:hanging="384"/>
        <w:jc w:val="center"/>
        <w:rPr>
          <w:rFonts w:ascii="黑体" w:eastAsia="黑体" w:hAnsi="黑体" w:cs="黑体" w:hint="eastAsia"/>
          <w:bCs/>
        </w:rPr>
      </w:pPr>
      <w:r>
        <w:rPr>
          <w:noProof/>
        </w:rPr>
        <w:drawing>
          <wp:inline distT="0" distB="0" distL="114300" distR="114300" wp14:anchorId="55FD872D" wp14:editId="7A37AECC">
            <wp:extent cx="6031865" cy="1936750"/>
            <wp:effectExtent l="0" t="0" r="6985" b="635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2" cstate="print"/>
                    <a:srcRect l="18997" t="31918" r="2993" b="26333"/>
                    <a:stretch>
                      <a:fillRect/>
                    </a:stretch>
                  </pic:blipFill>
                  <pic:spPr>
                    <a:xfrm>
                      <a:off x="0" y="0"/>
                      <a:ext cx="6031865" cy="1936750"/>
                    </a:xfrm>
                    <a:prstGeom prst="rect">
                      <a:avLst/>
                    </a:prstGeom>
                    <a:noFill/>
                    <a:ln>
                      <a:noFill/>
                    </a:ln>
                  </pic:spPr>
                </pic:pic>
              </a:graphicData>
            </a:graphic>
          </wp:inline>
        </w:drawing>
      </w:r>
    </w:p>
    <w:p w14:paraId="64992A8C" w14:textId="77777777" w:rsidR="005A1A44" w:rsidRDefault="0008059E">
      <w:pPr>
        <w:ind w:firstLineChars="0" w:firstLine="0"/>
        <w:jc w:val="center"/>
        <w:rPr>
          <w:rFonts w:ascii="黑体" w:eastAsia="黑体" w:hAnsi="黑体" w:cs="黑体" w:hint="eastAsia"/>
          <w:bCs/>
        </w:rPr>
      </w:pPr>
      <w:r>
        <w:rPr>
          <w:rFonts w:ascii="黑体" w:eastAsia="黑体" w:hAnsi="黑体" w:cs="黑体" w:hint="eastAsia"/>
          <w:bCs/>
        </w:rPr>
        <w:t>图3.4-2  新建防洪堤代表断面</w:t>
      </w:r>
    </w:p>
    <w:p w14:paraId="63022FF3" w14:textId="77777777" w:rsidR="005A1A44" w:rsidRDefault="0008059E">
      <w:pPr>
        <w:ind w:firstLine="480"/>
      </w:pPr>
      <w:r>
        <w:rPr>
          <w:rFonts w:hint="eastAsia"/>
        </w:rPr>
        <w:t>2</w:t>
      </w:r>
      <w:r>
        <w:rPr>
          <w:rFonts w:hint="eastAsia"/>
        </w:rPr>
        <w:t>）已建防洪堤结构</w:t>
      </w:r>
    </w:p>
    <w:p w14:paraId="65F6571D" w14:textId="77777777" w:rsidR="005A1A44" w:rsidRDefault="0008059E">
      <w:pPr>
        <w:ind w:firstLine="480"/>
      </w:pPr>
      <w:r>
        <w:t>已建防洪堤堤顶高程经复核除桩号</w:t>
      </w:r>
      <w:r>
        <w:t xml:space="preserve"> K12+031~K14+305 </w:t>
      </w:r>
      <w:r>
        <w:t>段</w:t>
      </w:r>
      <w:r>
        <w:t xml:space="preserve"> 2311m </w:t>
      </w:r>
      <w:r>
        <w:t>需要局部加高外，其余均满足要求。防洪堤堤顶宽度取</w:t>
      </w:r>
      <w:r>
        <w:t xml:space="preserve"> 6.0m</w:t>
      </w:r>
      <w:r>
        <w:t>，两侧均设置</w:t>
      </w:r>
      <w:r>
        <w:t xml:space="preserve"> C20 </w:t>
      </w:r>
      <w:r>
        <w:t>砼护肩，断面尺寸为</w:t>
      </w:r>
      <w:r>
        <w:t xml:space="preserve"> 0.40m×0.60~1.0m</w:t>
      </w:r>
      <w:r>
        <w:t>（宽</w:t>
      </w:r>
      <w:r>
        <w:t>×</w:t>
      </w:r>
      <w:r>
        <w:t>高），临水侧护肩顶部设仿大理石栏杆，高</w:t>
      </w:r>
      <w:r>
        <w:t xml:space="preserve"> 1.2m</w:t>
      </w:r>
      <w:r>
        <w:t>，护肩之间作堤顶路使用</w:t>
      </w:r>
      <w:r>
        <w:rPr>
          <w:rFonts w:hint="eastAsia"/>
        </w:rPr>
        <w:t>。</w:t>
      </w:r>
    </w:p>
    <w:p w14:paraId="3678EB92" w14:textId="77777777" w:rsidR="005A1A44" w:rsidRDefault="0008059E">
      <w:pPr>
        <w:ind w:firstLineChars="0" w:firstLine="0"/>
      </w:pPr>
      <w:r>
        <w:rPr>
          <w:noProof/>
        </w:rPr>
        <w:drawing>
          <wp:inline distT="0" distB="0" distL="114300" distR="114300" wp14:anchorId="4539C610" wp14:editId="54703AB0">
            <wp:extent cx="5542915" cy="2491740"/>
            <wp:effectExtent l="0" t="0" r="635" b="381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3" cstate="print"/>
                    <a:srcRect l="25693" t="32635" r="18254" b="25367"/>
                    <a:stretch>
                      <a:fillRect/>
                    </a:stretch>
                  </pic:blipFill>
                  <pic:spPr>
                    <a:xfrm>
                      <a:off x="0" y="0"/>
                      <a:ext cx="5542915" cy="2491740"/>
                    </a:xfrm>
                    <a:prstGeom prst="rect">
                      <a:avLst/>
                    </a:prstGeom>
                    <a:noFill/>
                    <a:ln>
                      <a:noFill/>
                    </a:ln>
                  </pic:spPr>
                </pic:pic>
              </a:graphicData>
            </a:graphic>
          </wp:inline>
        </w:drawing>
      </w:r>
    </w:p>
    <w:p w14:paraId="57F2196D" w14:textId="77777777" w:rsidR="005A1A44" w:rsidRDefault="0008059E">
      <w:pPr>
        <w:ind w:firstLineChars="0" w:firstLine="0"/>
        <w:jc w:val="center"/>
        <w:rPr>
          <w:rFonts w:ascii="黑体" w:eastAsia="黑体" w:hAnsi="黑体" w:cs="黑体" w:hint="eastAsia"/>
          <w:bCs/>
        </w:rPr>
      </w:pPr>
      <w:r>
        <w:rPr>
          <w:rFonts w:ascii="黑体" w:eastAsia="黑体" w:hAnsi="黑体" w:cs="黑体" w:hint="eastAsia"/>
          <w:bCs/>
        </w:rPr>
        <w:t>图3.4-3  已建防洪堤代表断面</w:t>
      </w:r>
    </w:p>
    <w:p w14:paraId="7DC65F2F" w14:textId="77777777" w:rsidR="005A1A44" w:rsidRDefault="0008059E">
      <w:pPr>
        <w:ind w:firstLineChars="0" w:firstLine="0"/>
        <w:jc w:val="center"/>
        <w:rPr>
          <w:rFonts w:ascii="黑体" w:eastAsia="黑体" w:hAnsi="黑体" w:cs="黑体" w:hint="eastAsia"/>
          <w:bCs/>
        </w:rPr>
      </w:pPr>
      <w:r>
        <w:rPr>
          <w:rFonts w:ascii="黑体" w:eastAsia="黑体" w:hAnsi="黑体" w:cs="黑体" w:hint="eastAsia"/>
          <w:bCs/>
        </w:rPr>
        <w:lastRenderedPageBreak/>
        <w:t>表3.4-1  项目防洪堤工程分布表</w:t>
      </w:r>
    </w:p>
    <w:tbl>
      <w:tblPr>
        <w:tblW w:w="8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1"/>
        <w:gridCol w:w="882"/>
        <w:gridCol w:w="3457"/>
        <w:gridCol w:w="1010"/>
        <w:gridCol w:w="1061"/>
        <w:gridCol w:w="1059"/>
      </w:tblGrid>
      <w:tr w:rsidR="005A1A44" w14:paraId="6C73CD57" w14:textId="77777777">
        <w:trPr>
          <w:trHeight w:val="728"/>
          <w:tblHeader/>
        </w:trPr>
        <w:tc>
          <w:tcPr>
            <w:tcW w:w="1381" w:type="dxa"/>
            <w:vAlign w:val="center"/>
          </w:tcPr>
          <w:p w14:paraId="3E3E8031"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整治类型</w:t>
            </w:r>
          </w:p>
        </w:tc>
        <w:tc>
          <w:tcPr>
            <w:tcW w:w="882" w:type="dxa"/>
            <w:vAlign w:val="center"/>
          </w:tcPr>
          <w:p w14:paraId="7EC8A3D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位置</w:t>
            </w:r>
          </w:p>
        </w:tc>
        <w:tc>
          <w:tcPr>
            <w:tcW w:w="3457" w:type="dxa"/>
            <w:vAlign w:val="center"/>
          </w:tcPr>
          <w:p w14:paraId="7242CA0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桩号</w:t>
            </w:r>
          </w:p>
        </w:tc>
        <w:tc>
          <w:tcPr>
            <w:tcW w:w="1010" w:type="dxa"/>
            <w:vAlign w:val="center"/>
          </w:tcPr>
          <w:p w14:paraId="074DFEE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长度（m）</w:t>
            </w:r>
          </w:p>
        </w:tc>
        <w:tc>
          <w:tcPr>
            <w:tcW w:w="1061" w:type="dxa"/>
            <w:vAlign w:val="center"/>
          </w:tcPr>
          <w:p w14:paraId="5638EE4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小计（m）</w:t>
            </w:r>
          </w:p>
        </w:tc>
        <w:tc>
          <w:tcPr>
            <w:tcW w:w="1059" w:type="dxa"/>
          </w:tcPr>
          <w:p w14:paraId="611B395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合计（m）</w:t>
            </w:r>
          </w:p>
        </w:tc>
      </w:tr>
      <w:tr w:rsidR="005A1A44" w14:paraId="67B1C077" w14:textId="77777777">
        <w:trPr>
          <w:trHeight w:val="376"/>
        </w:trPr>
        <w:tc>
          <w:tcPr>
            <w:tcW w:w="1381" w:type="dxa"/>
            <w:vMerge w:val="restart"/>
            <w:vAlign w:val="center"/>
          </w:tcPr>
          <w:p w14:paraId="319983C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新建堤防</w:t>
            </w:r>
          </w:p>
        </w:tc>
        <w:tc>
          <w:tcPr>
            <w:tcW w:w="882" w:type="dxa"/>
            <w:vMerge w:val="restart"/>
            <w:vAlign w:val="center"/>
          </w:tcPr>
          <w:p w14:paraId="69616F3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左岸</w:t>
            </w:r>
          </w:p>
        </w:tc>
        <w:tc>
          <w:tcPr>
            <w:tcW w:w="3457" w:type="dxa"/>
            <w:vAlign w:val="center"/>
          </w:tcPr>
          <w:p w14:paraId="59F374FB"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左K8+725～K12+030</w:t>
            </w:r>
          </w:p>
        </w:tc>
        <w:tc>
          <w:tcPr>
            <w:tcW w:w="1010" w:type="dxa"/>
            <w:vAlign w:val="center"/>
          </w:tcPr>
          <w:p w14:paraId="6BDB944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3305</w:t>
            </w:r>
          </w:p>
        </w:tc>
        <w:tc>
          <w:tcPr>
            <w:tcW w:w="1061" w:type="dxa"/>
            <w:vMerge w:val="restart"/>
            <w:vAlign w:val="center"/>
          </w:tcPr>
          <w:p w14:paraId="61D4527D" w14:textId="77777777" w:rsidR="005A1A44" w:rsidRDefault="0008059E">
            <w:pPr>
              <w:tabs>
                <w:tab w:val="left" w:pos="302"/>
              </w:tabs>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9709</w:t>
            </w:r>
          </w:p>
        </w:tc>
        <w:tc>
          <w:tcPr>
            <w:tcW w:w="1059" w:type="dxa"/>
            <w:vMerge w:val="restart"/>
            <w:vAlign w:val="center"/>
          </w:tcPr>
          <w:p w14:paraId="296D786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18104</w:t>
            </w:r>
          </w:p>
        </w:tc>
      </w:tr>
      <w:tr w:rsidR="005A1A44" w14:paraId="1EAB97F3" w14:textId="77777777">
        <w:trPr>
          <w:trHeight w:val="376"/>
        </w:trPr>
        <w:tc>
          <w:tcPr>
            <w:tcW w:w="1381" w:type="dxa"/>
            <w:vMerge/>
            <w:vAlign w:val="center"/>
          </w:tcPr>
          <w:p w14:paraId="29319163" w14:textId="77777777" w:rsidR="005A1A44" w:rsidRDefault="005A1A44">
            <w:pPr>
              <w:spacing w:line="240" w:lineRule="auto"/>
              <w:ind w:firstLineChars="0" w:firstLine="0"/>
              <w:jc w:val="center"/>
              <w:rPr>
                <w:rFonts w:ascii="宋体" w:eastAsia="宋体" w:hAnsi="宋体" w:cs="宋体" w:hint="eastAsia"/>
                <w:sz w:val="21"/>
                <w:szCs w:val="21"/>
              </w:rPr>
            </w:pPr>
          </w:p>
        </w:tc>
        <w:tc>
          <w:tcPr>
            <w:tcW w:w="882" w:type="dxa"/>
            <w:vMerge/>
            <w:vAlign w:val="center"/>
          </w:tcPr>
          <w:p w14:paraId="6DA35BFA" w14:textId="77777777" w:rsidR="005A1A44" w:rsidRDefault="005A1A44">
            <w:pPr>
              <w:spacing w:line="240" w:lineRule="auto"/>
              <w:ind w:firstLineChars="0" w:firstLine="0"/>
              <w:jc w:val="center"/>
              <w:rPr>
                <w:rFonts w:ascii="宋体" w:eastAsia="宋体" w:hAnsi="宋体" w:cs="宋体" w:hint="eastAsia"/>
                <w:sz w:val="21"/>
                <w:szCs w:val="21"/>
              </w:rPr>
            </w:pPr>
          </w:p>
        </w:tc>
        <w:tc>
          <w:tcPr>
            <w:tcW w:w="3457" w:type="dxa"/>
            <w:vAlign w:val="center"/>
          </w:tcPr>
          <w:p w14:paraId="2F0C7DEF"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左K14+306～K15+677</w:t>
            </w:r>
          </w:p>
        </w:tc>
        <w:tc>
          <w:tcPr>
            <w:tcW w:w="1010" w:type="dxa"/>
            <w:vAlign w:val="center"/>
          </w:tcPr>
          <w:p w14:paraId="0D47F3E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1371</w:t>
            </w:r>
          </w:p>
        </w:tc>
        <w:tc>
          <w:tcPr>
            <w:tcW w:w="1061" w:type="dxa"/>
            <w:vMerge/>
            <w:vAlign w:val="center"/>
          </w:tcPr>
          <w:p w14:paraId="1C646944"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059" w:type="dxa"/>
            <w:vMerge/>
            <w:vAlign w:val="center"/>
          </w:tcPr>
          <w:p w14:paraId="53271DB5"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7FC52ED3" w14:textId="77777777">
        <w:trPr>
          <w:trHeight w:val="376"/>
        </w:trPr>
        <w:tc>
          <w:tcPr>
            <w:tcW w:w="1381" w:type="dxa"/>
            <w:vMerge/>
            <w:vAlign w:val="center"/>
          </w:tcPr>
          <w:p w14:paraId="37F10E09" w14:textId="77777777" w:rsidR="005A1A44" w:rsidRDefault="005A1A44">
            <w:pPr>
              <w:spacing w:line="240" w:lineRule="auto"/>
              <w:ind w:firstLineChars="0" w:firstLine="0"/>
              <w:jc w:val="center"/>
              <w:rPr>
                <w:rFonts w:ascii="宋体" w:eastAsia="宋体" w:hAnsi="宋体" w:cs="宋体" w:hint="eastAsia"/>
                <w:sz w:val="21"/>
                <w:szCs w:val="21"/>
              </w:rPr>
            </w:pPr>
          </w:p>
        </w:tc>
        <w:tc>
          <w:tcPr>
            <w:tcW w:w="882" w:type="dxa"/>
            <w:vMerge/>
            <w:vAlign w:val="center"/>
          </w:tcPr>
          <w:p w14:paraId="35B4310F" w14:textId="77777777" w:rsidR="005A1A44" w:rsidRDefault="005A1A44">
            <w:pPr>
              <w:spacing w:line="240" w:lineRule="auto"/>
              <w:ind w:firstLineChars="0" w:firstLine="0"/>
              <w:jc w:val="center"/>
              <w:rPr>
                <w:rFonts w:ascii="宋体" w:eastAsia="宋体" w:hAnsi="宋体" w:cs="宋体" w:hint="eastAsia"/>
                <w:sz w:val="21"/>
                <w:szCs w:val="21"/>
              </w:rPr>
            </w:pPr>
          </w:p>
        </w:tc>
        <w:tc>
          <w:tcPr>
            <w:tcW w:w="3457" w:type="dxa"/>
            <w:vAlign w:val="center"/>
          </w:tcPr>
          <w:p w14:paraId="5CCAD25B"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左K29+054～K29+260</w:t>
            </w:r>
          </w:p>
        </w:tc>
        <w:tc>
          <w:tcPr>
            <w:tcW w:w="1010" w:type="dxa"/>
            <w:vAlign w:val="center"/>
          </w:tcPr>
          <w:p w14:paraId="6BF4D8F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206</w:t>
            </w:r>
          </w:p>
        </w:tc>
        <w:tc>
          <w:tcPr>
            <w:tcW w:w="1061" w:type="dxa"/>
            <w:vMerge/>
            <w:vAlign w:val="center"/>
          </w:tcPr>
          <w:p w14:paraId="2B33F810"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059" w:type="dxa"/>
            <w:vMerge/>
            <w:vAlign w:val="center"/>
          </w:tcPr>
          <w:p w14:paraId="03C03530"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477F245B" w14:textId="77777777">
        <w:trPr>
          <w:trHeight w:val="376"/>
        </w:trPr>
        <w:tc>
          <w:tcPr>
            <w:tcW w:w="1381" w:type="dxa"/>
            <w:vMerge/>
            <w:vAlign w:val="center"/>
          </w:tcPr>
          <w:p w14:paraId="4AA2644A" w14:textId="77777777" w:rsidR="005A1A44" w:rsidRDefault="005A1A44">
            <w:pPr>
              <w:spacing w:line="240" w:lineRule="auto"/>
              <w:ind w:firstLineChars="0" w:firstLine="0"/>
              <w:jc w:val="center"/>
              <w:rPr>
                <w:rFonts w:ascii="宋体" w:eastAsia="宋体" w:hAnsi="宋体" w:cs="宋体" w:hint="eastAsia"/>
                <w:sz w:val="21"/>
                <w:szCs w:val="21"/>
              </w:rPr>
            </w:pPr>
          </w:p>
        </w:tc>
        <w:tc>
          <w:tcPr>
            <w:tcW w:w="882" w:type="dxa"/>
            <w:vMerge/>
            <w:vAlign w:val="center"/>
          </w:tcPr>
          <w:p w14:paraId="52EE4CAA" w14:textId="77777777" w:rsidR="005A1A44" w:rsidRDefault="005A1A44">
            <w:pPr>
              <w:spacing w:line="240" w:lineRule="auto"/>
              <w:ind w:firstLineChars="0" w:firstLine="0"/>
              <w:jc w:val="center"/>
              <w:rPr>
                <w:rFonts w:ascii="宋体" w:eastAsia="宋体" w:hAnsi="宋体" w:cs="宋体" w:hint="eastAsia"/>
                <w:sz w:val="21"/>
                <w:szCs w:val="21"/>
              </w:rPr>
            </w:pPr>
          </w:p>
        </w:tc>
        <w:tc>
          <w:tcPr>
            <w:tcW w:w="3457" w:type="dxa"/>
            <w:vAlign w:val="center"/>
          </w:tcPr>
          <w:p w14:paraId="1AFFF12C"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左K30+801～K35+850</w:t>
            </w:r>
          </w:p>
        </w:tc>
        <w:tc>
          <w:tcPr>
            <w:tcW w:w="1010" w:type="dxa"/>
            <w:vAlign w:val="center"/>
          </w:tcPr>
          <w:p w14:paraId="67D3EF8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5049</w:t>
            </w:r>
          </w:p>
        </w:tc>
        <w:tc>
          <w:tcPr>
            <w:tcW w:w="1061" w:type="dxa"/>
            <w:vMerge/>
            <w:vAlign w:val="center"/>
          </w:tcPr>
          <w:p w14:paraId="489950B5"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059" w:type="dxa"/>
            <w:vMerge/>
            <w:vAlign w:val="center"/>
          </w:tcPr>
          <w:p w14:paraId="3CBA05D9"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21D11604" w14:textId="77777777">
        <w:trPr>
          <w:trHeight w:val="376"/>
        </w:trPr>
        <w:tc>
          <w:tcPr>
            <w:tcW w:w="1381" w:type="dxa"/>
            <w:vMerge/>
            <w:vAlign w:val="center"/>
          </w:tcPr>
          <w:p w14:paraId="73A29EAE" w14:textId="77777777" w:rsidR="005A1A44" w:rsidRDefault="005A1A44">
            <w:pPr>
              <w:spacing w:line="240" w:lineRule="auto"/>
              <w:ind w:firstLineChars="0" w:firstLine="0"/>
              <w:jc w:val="center"/>
              <w:rPr>
                <w:rFonts w:ascii="宋体" w:eastAsia="宋体" w:hAnsi="宋体" w:cs="宋体" w:hint="eastAsia"/>
                <w:sz w:val="21"/>
                <w:szCs w:val="21"/>
              </w:rPr>
            </w:pPr>
          </w:p>
        </w:tc>
        <w:tc>
          <w:tcPr>
            <w:tcW w:w="882" w:type="dxa"/>
            <w:vMerge w:val="restart"/>
            <w:vAlign w:val="center"/>
          </w:tcPr>
          <w:p w14:paraId="40AE816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右岸</w:t>
            </w:r>
          </w:p>
        </w:tc>
        <w:tc>
          <w:tcPr>
            <w:tcW w:w="3457" w:type="dxa"/>
            <w:vAlign w:val="center"/>
          </w:tcPr>
          <w:p w14:paraId="01A83B7F"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右K17+229～K20+999</w:t>
            </w:r>
          </w:p>
        </w:tc>
        <w:tc>
          <w:tcPr>
            <w:tcW w:w="1010" w:type="dxa"/>
            <w:vAlign w:val="center"/>
          </w:tcPr>
          <w:p w14:paraId="2DFF252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3770</w:t>
            </w:r>
          </w:p>
        </w:tc>
        <w:tc>
          <w:tcPr>
            <w:tcW w:w="1061" w:type="dxa"/>
            <w:vMerge w:val="restart"/>
            <w:vAlign w:val="center"/>
          </w:tcPr>
          <w:p w14:paraId="3040C42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8896</w:t>
            </w:r>
          </w:p>
        </w:tc>
        <w:tc>
          <w:tcPr>
            <w:tcW w:w="1059" w:type="dxa"/>
            <w:vMerge/>
            <w:vAlign w:val="center"/>
          </w:tcPr>
          <w:p w14:paraId="3FB1C4A0"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2A316C33" w14:textId="77777777">
        <w:trPr>
          <w:trHeight w:val="376"/>
        </w:trPr>
        <w:tc>
          <w:tcPr>
            <w:tcW w:w="1381" w:type="dxa"/>
            <w:vMerge/>
            <w:vAlign w:val="center"/>
          </w:tcPr>
          <w:p w14:paraId="6D465830" w14:textId="77777777" w:rsidR="005A1A44" w:rsidRDefault="005A1A44">
            <w:pPr>
              <w:spacing w:line="240" w:lineRule="auto"/>
              <w:ind w:firstLineChars="0" w:firstLine="0"/>
              <w:jc w:val="center"/>
              <w:rPr>
                <w:rFonts w:ascii="宋体" w:eastAsia="宋体" w:hAnsi="宋体" w:cs="宋体" w:hint="eastAsia"/>
                <w:sz w:val="21"/>
                <w:szCs w:val="21"/>
              </w:rPr>
            </w:pPr>
          </w:p>
        </w:tc>
        <w:tc>
          <w:tcPr>
            <w:tcW w:w="882" w:type="dxa"/>
            <w:vMerge/>
            <w:vAlign w:val="center"/>
          </w:tcPr>
          <w:p w14:paraId="3EB2273E" w14:textId="77777777" w:rsidR="005A1A44" w:rsidRDefault="005A1A44">
            <w:pPr>
              <w:spacing w:line="240" w:lineRule="auto"/>
              <w:ind w:firstLineChars="0" w:firstLine="0"/>
              <w:jc w:val="center"/>
              <w:rPr>
                <w:rFonts w:ascii="宋体" w:eastAsia="宋体" w:hAnsi="宋体" w:cs="宋体" w:hint="eastAsia"/>
                <w:sz w:val="21"/>
                <w:szCs w:val="21"/>
              </w:rPr>
            </w:pPr>
          </w:p>
        </w:tc>
        <w:tc>
          <w:tcPr>
            <w:tcW w:w="3457" w:type="dxa"/>
            <w:vAlign w:val="center"/>
          </w:tcPr>
          <w:p w14:paraId="53984E76"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右K26+147～K26+246</w:t>
            </w:r>
          </w:p>
        </w:tc>
        <w:tc>
          <w:tcPr>
            <w:tcW w:w="1010" w:type="dxa"/>
            <w:vAlign w:val="center"/>
          </w:tcPr>
          <w:p w14:paraId="1506F60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99</w:t>
            </w:r>
          </w:p>
        </w:tc>
        <w:tc>
          <w:tcPr>
            <w:tcW w:w="1061" w:type="dxa"/>
            <w:vMerge/>
            <w:vAlign w:val="center"/>
          </w:tcPr>
          <w:p w14:paraId="47188F35"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059" w:type="dxa"/>
            <w:vMerge/>
            <w:vAlign w:val="center"/>
          </w:tcPr>
          <w:p w14:paraId="143AADFD"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3FB392FC" w14:textId="77777777">
        <w:trPr>
          <w:trHeight w:val="376"/>
        </w:trPr>
        <w:tc>
          <w:tcPr>
            <w:tcW w:w="1381" w:type="dxa"/>
            <w:vMerge/>
            <w:vAlign w:val="center"/>
          </w:tcPr>
          <w:p w14:paraId="4510973A" w14:textId="77777777" w:rsidR="005A1A44" w:rsidRDefault="005A1A44">
            <w:pPr>
              <w:spacing w:line="240" w:lineRule="auto"/>
              <w:ind w:firstLineChars="0" w:firstLine="0"/>
              <w:jc w:val="center"/>
              <w:rPr>
                <w:rFonts w:ascii="宋体" w:eastAsia="宋体" w:hAnsi="宋体" w:cs="宋体" w:hint="eastAsia"/>
                <w:sz w:val="21"/>
                <w:szCs w:val="21"/>
              </w:rPr>
            </w:pPr>
          </w:p>
        </w:tc>
        <w:tc>
          <w:tcPr>
            <w:tcW w:w="882" w:type="dxa"/>
            <w:vMerge/>
            <w:vAlign w:val="center"/>
          </w:tcPr>
          <w:p w14:paraId="2886567A" w14:textId="77777777" w:rsidR="005A1A44" w:rsidRDefault="005A1A44">
            <w:pPr>
              <w:spacing w:line="240" w:lineRule="auto"/>
              <w:ind w:firstLineChars="0" w:firstLine="0"/>
              <w:jc w:val="center"/>
              <w:rPr>
                <w:rFonts w:ascii="宋体" w:eastAsia="宋体" w:hAnsi="宋体" w:cs="宋体" w:hint="eastAsia"/>
                <w:sz w:val="21"/>
                <w:szCs w:val="21"/>
              </w:rPr>
            </w:pPr>
          </w:p>
        </w:tc>
        <w:tc>
          <w:tcPr>
            <w:tcW w:w="3457" w:type="dxa"/>
            <w:vAlign w:val="center"/>
          </w:tcPr>
          <w:p w14:paraId="44B047F5"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右K31+546～K35+850</w:t>
            </w:r>
          </w:p>
        </w:tc>
        <w:tc>
          <w:tcPr>
            <w:tcW w:w="1010" w:type="dxa"/>
            <w:vAlign w:val="center"/>
          </w:tcPr>
          <w:p w14:paraId="39C5605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4304</w:t>
            </w:r>
          </w:p>
        </w:tc>
        <w:tc>
          <w:tcPr>
            <w:tcW w:w="1061" w:type="dxa"/>
            <w:vMerge/>
            <w:vAlign w:val="center"/>
          </w:tcPr>
          <w:p w14:paraId="640DB761"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059" w:type="dxa"/>
            <w:vMerge/>
            <w:vAlign w:val="center"/>
          </w:tcPr>
          <w:p w14:paraId="7D40F2E7"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050CDACD" w14:textId="77777777">
        <w:trPr>
          <w:trHeight w:val="376"/>
        </w:trPr>
        <w:tc>
          <w:tcPr>
            <w:tcW w:w="1381" w:type="dxa"/>
            <w:vAlign w:val="center"/>
          </w:tcPr>
          <w:p w14:paraId="671AAC2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加高堤防</w:t>
            </w:r>
          </w:p>
        </w:tc>
        <w:tc>
          <w:tcPr>
            <w:tcW w:w="882" w:type="dxa"/>
            <w:vAlign w:val="center"/>
          </w:tcPr>
          <w:p w14:paraId="054C4A5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左岸</w:t>
            </w:r>
          </w:p>
        </w:tc>
        <w:tc>
          <w:tcPr>
            <w:tcW w:w="3457" w:type="dxa"/>
            <w:vAlign w:val="center"/>
          </w:tcPr>
          <w:p w14:paraId="5ACD899B"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左</w:t>
            </w:r>
            <w:r>
              <w:rPr>
                <w:rFonts w:ascii="宋体" w:eastAsia="宋体" w:hAnsi="宋体" w:cs="宋体"/>
                <w:sz w:val="21"/>
                <w:szCs w:val="21"/>
              </w:rPr>
              <w:t>K12+031</w:t>
            </w:r>
            <w:r>
              <w:rPr>
                <w:rFonts w:ascii="宋体" w:eastAsia="宋体" w:hAnsi="宋体" w:cs="宋体" w:hint="eastAsia"/>
                <w:sz w:val="21"/>
                <w:szCs w:val="21"/>
              </w:rPr>
              <w:t>～</w:t>
            </w:r>
            <w:r>
              <w:rPr>
                <w:rFonts w:ascii="宋体" w:eastAsia="宋体" w:hAnsi="宋体" w:cs="宋体"/>
                <w:sz w:val="21"/>
                <w:szCs w:val="21"/>
              </w:rPr>
              <w:t>K14+305</w:t>
            </w:r>
          </w:p>
        </w:tc>
        <w:tc>
          <w:tcPr>
            <w:tcW w:w="1010" w:type="dxa"/>
            <w:vAlign w:val="center"/>
          </w:tcPr>
          <w:p w14:paraId="1A24E58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2311</w:t>
            </w:r>
          </w:p>
        </w:tc>
        <w:tc>
          <w:tcPr>
            <w:tcW w:w="1061" w:type="dxa"/>
            <w:vAlign w:val="center"/>
          </w:tcPr>
          <w:p w14:paraId="1485A32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2311</w:t>
            </w:r>
          </w:p>
        </w:tc>
        <w:tc>
          <w:tcPr>
            <w:tcW w:w="1059" w:type="dxa"/>
            <w:vAlign w:val="center"/>
          </w:tcPr>
          <w:p w14:paraId="65D059A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2311</w:t>
            </w:r>
          </w:p>
        </w:tc>
      </w:tr>
      <w:tr w:rsidR="005A1A44" w14:paraId="6C87CB6F" w14:textId="77777777">
        <w:trPr>
          <w:trHeight w:val="376"/>
        </w:trPr>
        <w:tc>
          <w:tcPr>
            <w:tcW w:w="1381" w:type="dxa"/>
            <w:vMerge w:val="restart"/>
            <w:vAlign w:val="center"/>
          </w:tcPr>
          <w:p w14:paraId="5932B09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保留堤防</w:t>
            </w:r>
          </w:p>
        </w:tc>
        <w:tc>
          <w:tcPr>
            <w:tcW w:w="882" w:type="dxa"/>
            <w:vMerge w:val="restart"/>
            <w:vAlign w:val="center"/>
          </w:tcPr>
          <w:p w14:paraId="08AE04C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左岸</w:t>
            </w:r>
          </w:p>
        </w:tc>
        <w:tc>
          <w:tcPr>
            <w:tcW w:w="3457" w:type="dxa"/>
            <w:vAlign w:val="center"/>
          </w:tcPr>
          <w:p w14:paraId="16F8F672"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左K12+031～K14+305</w:t>
            </w:r>
          </w:p>
        </w:tc>
        <w:tc>
          <w:tcPr>
            <w:tcW w:w="1010" w:type="dxa"/>
            <w:vAlign w:val="center"/>
          </w:tcPr>
          <w:p w14:paraId="68132BD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2311</w:t>
            </w:r>
          </w:p>
        </w:tc>
        <w:tc>
          <w:tcPr>
            <w:tcW w:w="1061" w:type="dxa"/>
            <w:vMerge w:val="restart"/>
            <w:vAlign w:val="center"/>
          </w:tcPr>
          <w:p w14:paraId="428581F7" w14:textId="77777777" w:rsidR="005A1A44" w:rsidRDefault="0008059E">
            <w:pPr>
              <w:widowControl/>
              <w:ind w:firstLineChars="0" w:firstLine="0"/>
              <w:jc w:val="center"/>
              <w:textAlignment w:val="center"/>
              <w:rPr>
                <w:rFonts w:ascii="宋体" w:eastAsia="宋体" w:hAnsi="宋体" w:cs="宋体" w:hint="eastAsia"/>
                <w:sz w:val="21"/>
                <w:szCs w:val="21"/>
              </w:rPr>
            </w:pPr>
            <w:r>
              <w:rPr>
                <w:rFonts w:ascii="宋体" w:eastAsia="宋体" w:hAnsi="宋体" w:cs="宋体" w:hint="eastAsia"/>
                <w:sz w:val="21"/>
                <w:szCs w:val="21"/>
              </w:rPr>
              <w:t>1722</w:t>
            </w:r>
            <w:r>
              <w:rPr>
                <w:rFonts w:ascii="宋体" w:eastAsia="宋体" w:hAnsi="宋体" w:cs="宋体" w:hint="eastAsia"/>
                <w:color w:val="000000"/>
                <w:kern w:val="0"/>
                <w:sz w:val="22"/>
                <w:szCs w:val="22"/>
              </w:rPr>
              <w:t>7</w:t>
            </w:r>
          </w:p>
        </w:tc>
        <w:tc>
          <w:tcPr>
            <w:tcW w:w="1059" w:type="dxa"/>
            <w:vMerge w:val="restart"/>
            <w:vAlign w:val="center"/>
          </w:tcPr>
          <w:p w14:paraId="16D7B6A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27673</w:t>
            </w:r>
          </w:p>
        </w:tc>
      </w:tr>
      <w:tr w:rsidR="005A1A44" w14:paraId="316BDFBD" w14:textId="77777777">
        <w:trPr>
          <w:trHeight w:val="376"/>
        </w:trPr>
        <w:tc>
          <w:tcPr>
            <w:tcW w:w="1381" w:type="dxa"/>
            <w:vMerge/>
            <w:vAlign w:val="center"/>
          </w:tcPr>
          <w:p w14:paraId="30945132" w14:textId="77777777" w:rsidR="005A1A44" w:rsidRDefault="005A1A44">
            <w:pPr>
              <w:spacing w:line="240" w:lineRule="auto"/>
              <w:ind w:firstLineChars="0" w:firstLine="0"/>
              <w:jc w:val="center"/>
              <w:rPr>
                <w:rFonts w:ascii="宋体" w:eastAsia="宋体" w:hAnsi="宋体" w:cs="宋体" w:hint="eastAsia"/>
                <w:sz w:val="21"/>
                <w:szCs w:val="21"/>
              </w:rPr>
            </w:pPr>
          </w:p>
        </w:tc>
        <w:tc>
          <w:tcPr>
            <w:tcW w:w="882" w:type="dxa"/>
            <w:vMerge/>
            <w:vAlign w:val="center"/>
          </w:tcPr>
          <w:p w14:paraId="44FBA5FC" w14:textId="77777777" w:rsidR="005A1A44" w:rsidRDefault="005A1A44">
            <w:pPr>
              <w:spacing w:line="240" w:lineRule="auto"/>
              <w:ind w:firstLineChars="0" w:firstLine="0"/>
              <w:jc w:val="center"/>
              <w:rPr>
                <w:rFonts w:ascii="宋体" w:eastAsia="宋体" w:hAnsi="宋体" w:cs="宋体" w:hint="eastAsia"/>
                <w:sz w:val="21"/>
                <w:szCs w:val="21"/>
              </w:rPr>
            </w:pPr>
          </w:p>
        </w:tc>
        <w:tc>
          <w:tcPr>
            <w:tcW w:w="3457" w:type="dxa"/>
            <w:vAlign w:val="center"/>
          </w:tcPr>
          <w:p w14:paraId="051B7E94"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左K15+678～K29+053</w:t>
            </w:r>
          </w:p>
        </w:tc>
        <w:tc>
          <w:tcPr>
            <w:tcW w:w="1010" w:type="dxa"/>
            <w:vAlign w:val="center"/>
          </w:tcPr>
          <w:p w14:paraId="0AD3B8E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13375</w:t>
            </w:r>
          </w:p>
        </w:tc>
        <w:tc>
          <w:tcPr>
            <w:tcW w:w="1061" w:type="dxa"/>
            <w:vMerge/>
            <w:vAlign w:val="center"/>
          </w:tcPr>
          <w:p w14:paraId="776A28AC"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059" w:type="dxa"/>
            <w:vMerge/>
            <w:vAlign w:val="center"/>
          </w:tcPr>
          <w:p w14:paraId="3EA740C0"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30AEE188" w14:textId="77777777">
        <w:trPr>
          <w:trHeight w:val="354"/>
        </w:trPr>
        <w:tc>
          <w:tcPr>
            <w:tcW w:w="1381" w:type="dxa"/>
            <w:vMerge/>
            <w:vAlign w:val="center"/>
          </w:tcPr>
          <w:p w14:paraId="12733546" w14:textId="77777777" w:rsidR="005A1A44" w:rsidRDefault="005A1A44">
            <w:pPr>
              <w:spacing w:line="240" w:lineRule="auto"/>
              <w:ind w:firstLineChars="0" w:firstLine="0"/>
              <w:jc w:val="center"/>
              <w:rPr>
                <w:rFonts w:ascii="宋体" w:eastAsia="宋体" w:hAnsi="宋体" w:cs="宋体" w:hint="eastAsia"/>
                <w:sz w:val="21"/>
                <w:szCs w:val="21"/>
              </w:rPr>
            </w:pPr>
          </w:p>
        </w:tc>
        <w:tc>
          <w:tcPr>
            <w:tcW w:w="882" w:type="dxa"/>
            <w:vMerge/>
            <w:vAlign w:val="center"/>
          </w:tcPr>
          <w:p w14:paraId="68CF6936" w14:textId="77777777" w:rsidR="005A1A44" w:rsidRDefault="005A1A44">
            <w:pPr>
              <w:spacing w:line="240" w:lineRule="auto"/>
              <w:ind w:firstLineChars="0" w:firstLine="0"/>
              <w:jc w:val="center"/>
              <w:rPr>
                <w:rFonts w:ascii="宋体" w:eastAsia="宋体" w:hAnsi="宋体" w:cs="宋体" w:hint="eastAsia"/>
                <w:sz w:val="21"/>
                <w:szCs w:val="21"/>
              </w:rPr>
            </w:pPr>
          </w:p>
        </w:tc>
        <w:tc>
          <w:tcPr>
            <w:tcW w:w="3457" w:type="dxa"/>
            <w:vAlign w:val="center"/>
          </w:tcPr>
          <w:p w14:paraId="780431F4"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左K29+259～K30+800</w:t>
            </w:r>
          </w:p>
        </w:tc>
        <w:tc>
          <w:tcPr>
            <w:tcW w:w="1010" w:type="dxa"/>
            <w:vAlign w:val="center"/>
          </w:tcPr>
          <w:p w14:paraId="53FD48B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1541</w:t>
            </w:r>
          </w:p>
        </w:tc>
        <w:tc>
          <w:tcPr>
            <w:tcW w:w="1061" w:type="dxa"/>
            <w:vMerge/>
            <w:vAlign w:val="center"/>
          </w:tcPr>
          <w:p w14:paraId="36DB5DB0"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059" w:type="dxa"/>
            <w:vMerge/>
            <w:vAlign w:val="center"/>
          </w:tcPr>
          <w:p w14:paraId="18A5EE2D"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652E912C" w14:textId="77777777">
        <w:trPr>
          <w:trHeight w:val="408"/>
        </w:trPr>
        <w:tc>
          <w:tcPr>
            <w:tcW w:w="1381" w:type="dxa"/>
            <w:vMerge/>
            <w:vAlign w:val="center"/>
          </w:tcPr>
          <w:p w14:paraId="400EE630" w14:textId="77777777" w:rsidR="005A1A44" w:rsidRDefault="005A1A44">
            <w:pPr>
              <w:spacing w:line="240" w:lineRule="auto"/>
              <w:ind w:firstLineChars="0" w:firstLine="0"/>
              <w:jc w:val="center"/>
              <w:rPr>
                <w:rFonts w:ascii="宋体" w:eastAsia="宋体" w:hAnsi="宋体" w:cs="宋体" w:hint="eastAsia"/>
                <w:sz w:val="21"/>
                <w:szCs w:val="21"/>
              </w:rPr>
            </w:pPr>
          </w:p>
        </w:tc>
        <w:tc>
          <w:tcPr>
            <w:tcW w:w="882" w:type="dxa"/>
            <w:vMerge w:val="restart"/>
            <w:vAlign w:val="center"/>
          </w:tcPr>
          <w:p w14:paraId="16A199B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右岸</w:t>
            </w:r>
          </w:p>
        </w:tc>
        <w:tc>
          <w:tcPr>
            <w:tcW w:w="3457" w:type="dxa"/>
            <w:vAlign w:val="center"/>
          </w:tcPr>
          <w:p w14:paraId="509349B0"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右K21+000～K26+146</w:t>
            </w:r>
          </w:p>
        </w:tc>
        <w:tc>
          <w:tcPr>
            <w:tcW w:w="1010" w:type="dxa"/>
            <w:vAlign w:val="center"/>
          </w:tcPr>
          <w:p w14:paraId="3D7ECBF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5146</w:t>
            </w:r>
          </w:p>
        </w:tc>
        <w:tc>
          <w:tcPr>
            <w:tcW w:w="1061" w:type="dxa"/>
            <w:vMerge w:val="restart"/>
            <w:vAlign w:val="center"/>
          </w:tcPr>
          <w:p w14:paraId="4463933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10446</w:t>
            </w:r>
          </w:p>
        </w:tc>
        <w:tc>
          <w:tcPr>
            <w:tcW w:w="1059" w:type="dxa"/>
            <w:vMerge/>
            <w:vAlign w:val="center"/>
          </w:tcPr>
          <w:p w14:paraId="3B130EE1"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5F2BA089" w14:textId="77777777">
        <w:trPr>
          <w:trHeight w:val="376"/>
        </w:trPr>
        <w:tc>
          <w:tcPr>
            <w:tcW w:w="1381" w:type="dxa"/>
            <w:vMerge/>
            <w:vAlign w:val="center"/>
          </w:tcPr>
          <w:p w14:paraId="4684311B" w14:textId="77777777" w:rsidR="005A1A44" w:rsidRDefault="005A1A44">
            <w:pPr>
              <w:spacing w:line="240" w:lineRule="auto"/>
              <w:ind w:firstLineChars="0" w:firstLine="0"/>
              <w:jc w:val="center"/>
              <w:rPr>
                <w:rFonts w:ascii="宋体" w:eastAsia="宋体" w:hAnsi="宋体" w:cs="宋体" w:hint="eastAsia"/>
                <w:sz w:val="21"/>
                <w:szCs w:val="21"/>
              </w:rPr>
            </w:pPr>
          </w:p>
        </w:tc>
        <w:tc>
          <w:tcPr>
            <w:tcW w:w="882" w:type="dxa"/>
            <w:vMerge/>
            <w:vAlign w:val="center"/>
          </w:tcPr>
          <w:p w14:paraId="585CB6C4" w14:textId="77777777" w:rsidR="005A1A44" w:rsidRDefault="005A1A44">
            <w:pPr>
              <w:spacing w:line="240" w:lineRule="auto"/>
              <w:ind w:firstLineChars="0" w:firstLine="0"/>
              <w:jc w:val="center"/>
              <w:rPr>
                <w:rFonts w:ascii="宋体" w:eastAsia="宋体" w:hAnsi="宋体" w:cs="宋体" w:hint="eastAsia"/>
                <w:sz w:val="21"/>
                <w:szCs w:val="21"/>
              </w:rPr>
            </w:pPr>
          </w:p>
        </w:tc>
        <w:tc>
          <w:tcPr>
            <w:tcW w:w="3457" w:type="dxa"/>
            <w:vAlign w:val="center"/>
          </w:tcPr>
          <w:p w14:paraId="77DC74DC"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右K26+245～K31+545</w:t>
            </w:r>
          </w:p>
        </w:tc>
        <w:tc>
          <w:tcPr>
            <w:tcW w:w="1010" w:type="dxa"/>
            <w:vAlign w:val="center"/>
          </w:tcPr>
          <w:p w14:paraId="5F7C1F3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5300</w:t>
            </w:r>
          </w:p>
        </w:tc>
        <w:tc>
          <w:tcPr>
            <w:tcW w:w="1061" w:type="dxa"/>
            <w:vMerge/>
            <w:vAlign w:val="center"/>
          </w:tcPr>
          <w:p w14:paraId="37C5A3FF"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059" w:type="dxa"/>
            <w:vMerge/>
            <w:vAlign w:val="center"/>
          </w:tcPr>
          <w:p w14:paraId="34313784" w14:textId="77777777" w:rsidR="005A1A44" w:rsidRDefault="005A1A44">
            <w:pPr>
              <w:spacing w:line="240" w:lineRule="auto"/>
              <w:ind w:firstLineChars="0" w:firstLine="0"/>
              <w:jc w:val="center"/>
              <w:rPr>
                <w:rFonts w:ascii="宋体" w:eastAsia="宋体" w:hAnsi="宋体" w:cs="宋体" w:hint="eastAsia"/>
                <w:sz w:val="21"/>
                <w:szCs w:val="21"/>
              </w:rPr>
            </w:pPr>
          </w:p>
        </w:tc>
      </w:tr>
    </w:tbl>
    <w:p w14:paraId="27BAA2F4" w14:textId="77777777" w:rsidR="005A1A44" w:rsidRDefault="0008059E">
      <w:pPr>
        <w:ind w:firstLine="480"/>
      </w:pPr>
      <w:r>
        <w:rPr>
          <w:rFonts w:hint="eastAsia"/>
        </w:rPr>
        <w:t>（</w:t>
      </w:r>
      <w:r>
        <w:rPr>
          <w:rFonts w:hint="eastAsia"/>
        </w:rPr>
        <w:t>2</w:t>
      </w:r>
      <w:r>
        <w:rPr>
          <w:rFonts w:hint="eastAsia"/>
        </w:rPr>
        <w:t>）河道疏浚工程</w:t>
      </w:r>
    </w:p>
    <w:p w14:paraId="3E0A35CB" w14:textId="77777777" w:rsidR="005A1A44" w:rsidRDefault="0008059E">
      <w:pPr>
        <w:ind w:firstLine="480"/>
      </w:pPr>
      <w:r>
        <w:rPr>
          <w:rFonts w:hint="eastAsia"/>
        </w:rPr>
        <w:t>通过河道疏浚可以对污染水体和底泥进行彻底清除，使河道通过治理变深、变宽，河水变清，为重建水体生物群落构建基础。河道底宽按上下游河道底宽平顺连接，河道按设计河底高程进行清障疏浚。部分河段河道底宽满足设计要求，不再进行扩挖，河道按设计河底高程进行清障疏浚。</w:t>
      </w:r>
    </w:p>
    <w:p w14:paraId="28BE8DB4" w14:textId="77777777" w:rsidR="005A1A44" w:rsidRDefault="0008059E">
      <w:pPr>
        <w:ind w:firstLine="480"/>
      </w:pPr>
      <w:r>
        <w:rPr>
          <w:rFonts w:hint="eastAsia"/>
        </w:rPr>
        <w:t>为改善城区水景观，营造良好的水环境，本次整治拟在城区桩号</w:t>
      </w:r>
      <w:r>
        <w:rPr>
          <w:rFonts w:hint="eastAsia"/>
        </w:rPr>
        <w:t xml:space="preserve">21+800 </w:t>
      </w:r>
      <w:r>
        <w:rPr>
          <w:rFonts w:hint="eastAsia"/>
        </w:rPr>
        <w:t>往下游沿河道中心线开挖河槽，河槽沿河道中心线对称布置，左右侧底宽各</w:t>
      </w:r>
      <w:r>
        <w:rPr>
          <w:rFonts w:hint="eastAsia"/>
        </w:rPr>
        <w:t xml:space="preserve"> 25m</w:t>
      </w:r>
      <w:r>
        <w:rPr>
          <w:rFonts w:hint="eastAsia"/>
        </w:rPr>
        <w:t>，河槽底两侧按</w:t>
      </w:r>
      <w:r>
        <w:rPr>
          <w:rFonts w:hint="eastAsia"/>
        </w:rPr>
        <w:t xml:space="preserve"> 1:5.0 </w:t>
      </w:r>
      <w:r>
        <w:rPr>
          <w:rFonts w:hint="eastAsia"/>
        </w:rPr>
        <w:t>向设计河床放坡，河槽深</w:t>
      </w:r>
      <w:r>
        <w:rPr>
          <w:rFonts w:hint="eastAsia"/>
        </w:rPr>
        <w:t xml:space="preserve"> 1m</w:t>
      </w:r>
      <w:r>
        <w:rPr>
          <w:rFonts w:hint="eastAsia"/>
        </w:rPr>
        <w:t>，顶宽</w:t>
      </w:r>
      <w:r>
        <w:rPr>
          <w:rFonts w:hint="eastAsia"/>
        </w:rPr>
        <w:t xml:space="preserve"> 60m</w:t>
      </w:r>
      <w:r>
        <w:rPr>
          <w:rFonts w:hint="eastAsia"/>
        </w:rPr>
        <w:t>，根据河道坡降选取合适的位置设置跌水，跌水结构采用格宾笼结构，顶高程高出河槽底高程</w:t>
      </w:r>
      <w:r>
        <w:rPr>
          <w:rFonts w:hint="eastAsia"/>
        </w:rPr>
        <w:t xml:space="preserve"> 0.80m</w:t>
      </w:r>
      <w:r>
        <w:rPr>
          <w:rFonts w:hint="eastAsia"/>
        </w:rPr>
        <w:t>。</w:t>
      </w:r>
    </w:p>
    <w:p w14:paraId="314F0DE1" w14:textId="77777777" w:rsidR="005A1A44" w:rsidRDefault="0008059E">
      <w:pPr>
        <w:ind w:firstLine="480"/>
      </w:pPr>
      <w:r>
        <w:rPr>
          <w:rFonts w:hint="eastAsia"/>
        </w:rPr>
        <w:t>格宾笼采用溢流堰式，堰高</w:t>
      </w:r>
      <w:r>
        <w:rPr>
          <w:rFonts w:hint="eastAsia"/>
        </w:rPr>
        <w:t xml:space="preserve"> 2.0</w:t>
      </w:r>
      <w:r>
        <w:rPr>
          <w:rFonts w:hint="eastAsia"/>
        </w:rPr>
        <w:t>，堰顶宽</w:t>
      </w:r>
      <w:r>
        <w:rPr>
          <w:rFonts w:hint="eastAsia"/>
        </w:rPr>
        <w:t xml:space="preserve"> 4.0m</w:t>
      </w:r>
      <w:r>
        <w:rPr>
          <w:rFonts w:hint="eastAsia"/>
        </w:rPr>
        <w:t>，底宽</w:t>
      </w:r>
      <w:r>
        <w:rPr>
          <w:rFonts w:hint="eastAsia"/>
        </w:rPr>
        <w:t xml:space="preserve"> 10m</w:t>
      </w:r>
      <w:r>
        <w:rPr>
          <w:rFonts w:hint="eastAsia"/>
        </w:rPr>
        <w:t>，长</w:t>
      </w:r>
      <w:r>
        <w:rPr>
          <w:rFonts w:hint="eastAsia"/>
        </w:rPr>
        <w:t xml:space="preserve"> 70m</w:t>
      </w:r>
      <w:r>
        <w:rPr>
          <w:rFonts w:hint="eastAsia"/>
        </w:rPr>
        <w:t>（河道中心线左右各</w:t>
      </w:r>
      <w:r>
        <w:rPr>
          <w:rFonts w:hint="eastAsia"/>
        </w:rPr>
        <w:t xml:space="preserve"> 35m</w:t>
      </w:r>
      <w:r>
        <w:rPr>
          <w:rFonts w:hint="eastAsia"/>
        </w:rPr>
        <w:t>）。格宾笼堰体下游侧设格宾笼护坦，厚</w:t>
      </w:r>
      <w:r>
        <w:rPr>
          <w:rFonts w:hint="eastAsia"/>
        </w:rPr>
        <w:t xml:space="preserve"> 0.5m</w:t>
      </w:r>
      <w:r>
        <w:rPr>
          <w:rFonts w:hint="eastAsia"/>
        </w:rPr>
        <w:t>，长</w:t>
      </w:r>
      <w:r>
        <w:rPr>
          <w:rFonts w:hint="eastAsia"/>
        </w:rPr>
        <w:t xml:space="preserve"> 20m</w:t>
      </w:r>
      <w:r>
        <w:rPr>
          <w:rFonts w:hint="eastAsia"/>
        </w:rPr>
        <w:t>。格宾笼网眼采用</w:t>
      </w:r>
      <w:r>
        <w:rPr>
          <w:rFonts w:hint="eastAsia"/>
        </w:rPr>
        <w:t>8</w:t>
      </w:r>
      <w:r>
        <w:rPr>
          <w:rFonts w:hint="eastAsia"/>
        </w:rPr>
        <w:t>×</w:t>
      </w:r>
      <w:r>
        <w:rPr>
          <w:rFonts w:hint="eastAsia"/>
        </w:rPr>
        <w:t xml:space="preserve">10 </w:t>
      </w:r>
      <w:r>
        <w:rPr>
          <w:rFonts w:hint="eastAsia"/>
        </w:rPr>
        <w:t>规格，内填直径大于</w:t>
      </w:r>
      <w:r>
        <w:rPr>
          <w:rFonts w:hint="eastAsia"/>
        </w:rPr>
        <w:t xml:space="preserve"> 1.2 </w:t>
      </w:r>
      <w:r>
        <w:rPr>
          <w:rFonts w:hint="eastAsia"/>
        </w:rPr>
        <w:t>倍网径的卵石。本项目河道清障量</w:t>
      </w:r>
      <w:r>
        <w:rPr>
          <w:rFonts w:hint="eastAsia"/>
        </w:rPr>
        <w:t>806.54</w:t>
      </w:r>
      <w:r>
        <w:rPr>
          <w:rFonts w:hint="eastAsia"/>
        </w:rPr>
        <w:t>万</w:t>
      </w:r>
      <w:r>
        <w:rPr>
          <w:rFonts w:hint="eastAsia"/>
        </w:rPr>
        <w:t>m</w:t>
      </w:r>
      <w:r>
        <w:rPr>
          <w:rFonts w:hint="eastAsia"/>
        </w:rPr>
        <w:t>³。</w:t>
      </w:r>
    </w:p>
    <w:p w14:paraId="40D44243" w14:textId="77777777" w:rsidR="005A1A44" w:rsidRDefault="0008059E">
      <w:pPr>
        <w:ind w:firstLine="480"/>
      </w:pPr>
      <w:r>
        <w:rPr>
          <w:rFonts w:hint="eastAsia"/>
        </w:rPr>
        <w:t>本项目玉龙喀什河河床地质主要为砂石，因此对于清理出来的砂石部分进行低</w:t>
      </w:r>
      <w:r>
        <w:rPr>
          <w:rFonts w:hint="eastAsia"/>
        </w:rPr>
        <w:lastRenderedPageBreak/>
        <w:t>洼平整，剩余部分运至指定地点用于本工程建设。</w:t>
      </w:r>
    </w:p>
    <w:p w14:paraId="29FECFCB" w14:textId="77777777" w:rsidR="005A1A44" w:rsidRDefault="0008059E">
      <w:pPr>
        <w:pStyle w:val="4"/>
        <w:numPr>
          <w:ilvl w:val="3"/>
          <w:numId w:val="2"/>
        </w:numPr>
      </w:pPr>
      <w:r>
        <w:rPr>
          <w:rFonts w:hint="eastAsia"/>
        </w:rPr>
        <w:t xml:space="preserve"> </w:t>
      </w:r>
      <w:r>
        <w:rPr>
          <w:rFonts w:hint="eastAsia"/>
        </w:rPr>
        <w:t>特色景观工程</w:t>
      </w:r>
    </w:p>
    <w:p w14:paraId="2F767537" w14:textId="77777777" w:rsidR="005A1A44" w:rsidRDefault="0008059E">
      <w:pPr>
        <w:ind w:firstLine="480"/>
      </w:pPr>
      <w:r>
        <w:rPr>
          <w:rFonts w:hint="eastAsia"/>
        </w:rPr>
        <w:t>（</w:t>
      </w:r>
      <w:r>
        <w:rPr>
          <w:rFonts w:hint="eastAsia"/>
        </w:rPr>
        <w:t>1</w:t>
      </w:r>
      <w:r>
        <w:rPr>
          <w:rFonts w:hint="eastAsia"/>
        </w:rPr>
        <w:t>）景观总体布置</w:t>
      </w:r>
    </w:p>
    <w:p w14:paraId="6E7B89FB" w14:textId="77777777" w:rsidR="005A1A44" w:rsidRDefault="0008059E">
      <w:pPr>
        <w:ind w:firstLine="480"/>
      </w:pPr>
      <w:r>
        <w:rPr>
          <w:rFonts w:hint="eastAsia"/>
        </w:rPr>
        <w:t>根据功能将整个景观带顺河流方向分成三段，从上游至一桥为“体育休闲公园、城市湿地公园”，一桥至三桥之间为“文化休闲公园”，三桥至四桥之间为“滨河休闲公园、生态休闲公园”。</w:t>
      </w:r>
    </w:p>
    <w:p w14:paraId="14695B92" w14:textId="77777777" w:rsidR="005A1A44" w:rsidRDefault="0008059E">
      <w:pPr>
        <w:widowControl/>
        <w:ind w:firstLineChars="0" w:firstLine="0"/>
        <w:jc w:val="left"/>
        <w:rPr>
          <w:rFonts w:ascii="宋体" w:eastAsia="宋体" w:hAnsi="宋体" w:cs="宋体" w:hint="eastAsia"/>
          <w:kern w:val="0"/>
        </w:rPr>
      </w:pPr>
      <w:r>
        <w:rPr>
          <w:rFonts w:ascii="宋体" w:eastAsia="宋体" w:hAnsi="宋体" w:cs="宋体"/>
          <w:noProof/>
          <w:kern w:val="0"/>
        </w:rPr>
        <w:drawing>
          <wp:inline distT="0" distB="0" distL="114300" distR="114300" wp14:anchorId="70885AD6" wp14:editId="3A11A8F9">
            <wp:extent cx="5918200" cy="1492885"/>
            <wp:effectExtent l="0" t="0" r="6350" b="1206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4" cstate="print"/>
                    <a:stretch>
                      <a:fillRect/>
                    </a:stretch>
                  </pic:blipFill>
                  <pic:spPr>
                    <a:xfrm>
                      <a:off x="0" y="0"/>
                      <a:ext cx="5918200" cy="1492885"/>
                    </a:xfrm>
                    <a:prstGeom prst="rect">
                      <a:avLst/>
                    </a:prstGeom>
                    <a:noFill/>
                    <a:ln w="9525">
                      <a:noFill/>
                    </a:ln>
                  </pic:spPr>
                </pic:pic>
              </a:graphicData>
            </a:graphic>
          </wp:inline>
        </w:drawing>
      </w:r>
    </w:p>
    <w:p w14:paraId="28EAAD68" w14:textId="77777777" w:rsidR="005A1A44" w:rsidRDefault="0008059E">
      <w:pPr>
        <w:widowControl/>
        <w:ind w:firstLineChars="0" w:firstLine="0"/>
        <w:jc w:val="center"/>
        <w:rPr>
          <w:rFonts w:ascii="黑体" w:eastAsia="黑体" w:hAnsi="黑体" w:cs="黑体" w:hint="eastAsia"/>
          <w:kern w:val="0"/>
        </w:rPr>
      </w:pPr>
      <w:r>
        <w:rPr>
          <w:rFonts w:ascii="黑体" w:eastAsia="黑体" w:hAnsi="黑体" w:cs="黑体" w:hint="eastAsia"/>
          <w:kern w:val="0"/>
        </w:rPr>
        <w:t>图3.4-4  区域景观带总体布置</w:t>
      </w:r>
    </w:p>
    <w:p w14:paraId="4E0B3F8E" w14:textId="77777777" w:rsidR="005A1A44" w:rsidRDefault="0008059E">
      <w:pPr>
        <w:ind w:firstLine="480"/>
      </w:pPr>
      <w:r>
        <w:rPr>
          <w:rFonts w:hint="eastAsia"/>
        </w:rPr>
        <w:t>体育休闲公园、城市湿地公园——运动颐养、甜蜜水岸——彰显城市活力动感、公共开放。</w:t>
      </w:r>
      <w:r>
        <w:rPr>
          <w:rFonts w:hint="eastAsia"/>
        </w:rPr>
        <w:t xml:space="preserve"> </w:t>
      </w:r>
    </w:p>
    <w:p w14:paraId="2091FD16" w14:textId="77777777" w:rsidR="005A1A44" w:rsidRDefault="0008059E">
      <w:pPr>
        <w:ind w:firstLine="480"/>
      </w:pPr>
      <w:r>
        <w:rPr>
          <w:rFonts w:hint="eastAsia"/>
        </w:rPr>
        <w:t>文化休闲公园——千年玉道</w:t>
      </w:r>
      <w:r>
        <w:rPr>
          <w:rFonts w:hint="eastAsia"/>
        </w:rPr>
        <w:t xml:space="preserve"> </w:t>
      </w:r>
      <w:r>
        <w:rPr>
          <w:rFonts w:hint="eastAsia"/>
        </w:rPr>
        <w:t>、文明辉映——展现玉石之都、地毯之乡、丝绸文化的文化内涵。</w:t>
      </w:r>
      <w:r>
        <w:rPr>
          <w:rFonts w:hint="eastAsia"/>
        </w:rPr>
        <w:t xml:space="preserve"> </w:t>
      </w:r>
    </w:p>
    <w:p w14:paraId="1BA6E7F2" w14:textId="77777777" w:rsidR="005A1A44" w:rsidRDefault="0008059E">
      <w:pPr>
        <w:ind w:firstLine="480"/>
      </w:pPr>
      <w:r>
        <w:rPr>
          <w:rFonts w:hint="eastAsia"/>
        </w:rPr>
        <w:t>滨河休闲公园、生态休闲公园——百里花乡、十里红叶——突出自然风貌特色。</w:t>
      </w:r>
    </w:p>
    <w:p w14:paraId="6D1CF62B" w14:textId="77777777" w:rsidR="005A1A44" w:rsidRDefault="0008059E">
      <w:pPr>
        <w:ind w:firstLine="480"/>
      </w:pPr>
      <w:r>
        <w:rPr>
          <w:rFonts w:hint="eastAsia"/>
        </w:rPr>
        <w:t>（</w:t>
      </w:r>
      <w:r>
        <w:rPr>
          <w:rFonts w:hint="eastAsia"/>
        </w:rPr>
        <w:t>2</w:t>
      </w:r>
      <w:r>
        <w:rPr>
          <w:rFonts w:hint="eastAsia"/>
        </w:rPr>
        <w:t>）体育休闲公园、城市湿地公园</w:t>
      </w:r>
    </w:p>
    <w:p w14:paraId="0B1CC5DD" w14:textId="77777777" w:rsidR="005A1A44" w:rsidRDefault="0008059E">
      <w:pPr>
        <w:ind w:firstLine="480"/>
      </w:pPr>
      <w:r>
        <w:rPr>
          <w:rFonts w:hint="eastAsia"/>
        </w:rPr>
        <w:t>运动休闲公园：该地块位于河道项目的最南端，上游地下水位相对较低，造景和绿化难度相对较大，因此在喀什河西岸设计以体育运动为主要功能的园区；主要设置篮球场、羽毛球场、网球场、排球场、足球场、极限乐园，儿童乐园、太极广场，供不用年龄层次和爱好者进行体育健身活动。</w:t>
      </w:r>
    </w:p>
    <w:p w14:paraId="69DF54AC" w14:textId="77777777" w:rsidR="005A1A44" w:rsidRDefault="0008059E">
      <w:pPr>
        <w:ind w:firstLine="480"/>
      </w:pPr>
      <w:r>
        <w:rPr>
          <w:rFonts w:hint="eastAsia"/>
        </w:rPr>
        <w:t>运动休闲公园植物选择：旱柳、银杏、龙柏、侧柏、杏树、樱花、臭椿、合欢、火炬树、文冠果、洋白蜡、洒金柏、金叶莸、大叶黄杨、瓜子黄杨、早熟禾。</w:t>
      </w:r>
    </w:p>
    <w:p w14:paraId="37C03CD3" w14:textId="77777777" w:rsidR="005A1A44" w:rsidRDefault="005A1A44">
      <w:pPr>
        <w:ind w:leftChars="-200" w:hangingChars="200" w:hanging="480"/>
        <w:sectPr w:rsidR="005A1A44">
          <w:pgSz w:w="12240" w:h="15840"/>
          <w:pgMar w:top="1440" w:right="1803" w:bottom="1440" w:left="1803" w:header="720" w:footer="720" w:gutter="0"/>
          <w:cols w:space="0"/>
          <w:docGrid w:linePitch="312"/>
        </w:sectPr>
      </w:pPr>
    </w:p>
    <w:p w14:paraId="64EA4B88" w14:textId="77777777" w:rsidR="005A1A44" w:rsidRDefault="0008059E">
      <w:pPr>
        <w:ind w:leftChars="-200" w:hangingChars="200" w:hanging="480"/>
        <w:rPr>
          <w:rFonts w:ascii="黑体" w:eastAsia="黑体" w:hAnsi="黑体" w:cs="黑体" w:hint="eastAsia"/>
          <w:kern w:val="0"/>
        </w:rPr>
      </w:pPr>
      <w:r>
        <w:rPr>
          <w:noProof/>
        </w:rPr>
        <w:lastRenderedPageBreak/>
        <w:drawing>
          <wp:inline distT="0" distB="0" distL="114300" distR="114300" wp14:anchorId="528C1B38" wp14:editId="63FD071D">
            <wp:extent cx="8781415" cy="2216785"/>
            <wp:effectExtent l="0" t="0" r="635" b="1206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5" cstate="print"/>
                    <a:srcRect l="16723" t="32541" r="9469" b="36407"/>
                    <a:stretch>
                      <a:fillRect/>
                    </a:stretch>
                  </pic:blipFill>
                  <pic:spPr>
                    <a:xfrm>
                      <a:off x="0" y="0"/>
                      <a:ext cx="8781415" cy="2216785"/>
                    </a:xfrm>
                    <a:prstGeom prst="rect">
                      <a:avLst/>
                    </a:prstGeom>
                    <a:noFill/>
                    <a:ln>
                      <a:noFill/>
                    </a:ln>
                  </pic:spPr>
                </pic:pic>
              </a:graphicData>
            </a:graphic>
          </wp:inline>
        </w:drawing>
      </w:r>
    </w:p>
    <w:p w14:paraId="0B609B4B" w14:textId="77777777" w:rsidR="005A1A44" w:rsidRDefault="0008059E">
      <w:pPr>
        <w:ind w:firstLine="480"/>
        <w:jc w:val="center"/>
        <w:rPr>
          <w:rFonts w:ascii="黑体" w:eastAsia="黑体" w:hAnsi="黑体" w:cs="黑体" w:hint="eastAsia"/>
          <w:kern w:val="0"/>
        </w:rPr>
      </w:pPr>
      <w:r>
        <w:rPr>
          <w:rFonts w:ascii="黑体" w:eastAsia="黑体" w:hAnsi="黑体" w:cs="黑体" w:hint="eastAsia"/>
          <w:kern w:val="0"/>
        </w:rPr>
        <w:t xml:space="preserve">图3.4-5  </w:t>
      </w:r>
      <w:r>
        <w:rPr>
          <w:rFonts w:ascii="黑体" w:eastAsia="黑体" w:hAnsi="黑体" w:cs="黑体" w:hint="eastAsia"/>
        </w:rPr>
        <w:t>体育休闲公园平面布局图</w:t>
      </w:r>
    </w:p>
    <w:p w14:paraId="14323B87" w14:textId="77777777" w:rsidR="005A1A44" w:rsidRDefault="0008059E">
      <w:pPr>
        <w:ind w:leftChars="-200" w:hangingChars="200" w:hanging="480"/>
        <w:jc w:val="center"/>
      </w:pPr>
      <w:r>
        <w:rPr>
          <w:noProof/>
        </w:rPr>
        <w:drawing>
          <wp:inline distT="0" distB="0" distL="114300" distR="114300" wp14:anchorId="7D06C038" wp14:editId="070918A3">
            <wp:extent cx="8519795" cy="2513965"/>
            <wp:effectExtent l="0" t="0" r="14605" b="63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6" cstate="print"/>
                    <a:srcRect l="18449" t="39725" r="11736" b="25141"/>
                    <a:stretch>
                      <a:fillRect/>
                    </a:stretch>
                  </pic:blipFill>
                  <pic:spPr>
                    <a:xfrm>
                      <a:off x="0" y="0"/>
                      <a:ext cx="8519795" cy="2513965"/>
                    </a:xfrm>
                    <a:prstGeom prst="rect">
                      <a:avLst/>
                    </a:prstGeom>
                    <a:noFill/>
                    <a:ln>
                      <a:noFill/>
                    </a:ln>
                  </pic:spPr>
                </pic:pic>
              </a:graphicData>
            </a:graphic>
          </wp:inline>
        </w:drawing>
      </w:r>
    </w:p>
    <w:p w14:paraId="6622751E" w14:textId="77777777" w:rsidR="005A1A44" w:rsidRDefault="0008059E">
      <w:pPr>
        <w:ind w:firstLine="480"/>
        <w:jc w:val="center"/>
        <w:rPr>
          <w:rFonts w:ascii="黑体" w:eastAsia="黑体" w:hAnsi="黑体" w:cs="黑体" w:hint="eastAsia"/>
          <w:kern w:val="0"/>
        </w:rPr>
      </w:pPr>
      <w:r>
        <w:rPr>
          <w:rFonts w:ascii="黑体" w:eastAsia="黑体" w:hAnsi="黑体" w:cs="黑体" w:hint="eastAsia"/>
          <w:kern w:val="0"/>
        </w:rPr>
        <w:t>图3.4-6  城市湿地公园</w:t>
      </w:r>
      <w:r>
        <w:rPr>
          <w:rFonts w:ascii="黑体" w:eastAsia="黑体" w:hAnsi="黑体" w:cs="黑体" w:hint="eastAsia"/>
        </w:rPr>
        <w:t>平面布局图</w:t>
      </w:r>
    </w:p>
    <w:p w14:paraId="52F40040" w14:textId="77777777" w:rsidR="005A1A44" w:rsidRDefault="005A1A44">
      <w:pPr>
        <w:ind w:leftChars="-200" w:hangingChars="200" w:hanging="480"/>
        <w:jc w:val="center"/>
        <w:sectPr w:rsidR="005A1A44">
          <w:pgSz w:w="15840" w:h="12240" w:orient="landscape"/>
          <w:pgMar w:top="1803" w:right="1440" w:bottom="1803" w:left="1440" w:header="720" w:footer="720" w:gutter="0"/>
          <w:cols w:space="0"/>
          <w:docGrid w:linePitch="312"/>
        </w:sectPr>
      </w:pPr>
    </w:p>
    <w:p w14:paraId="75BA76DB" w14:textId="77777777" w:rsidR="005A1A44" w:rsidRDefault="0008059E">
      <w:pPr>
        <w:ind w:firstLine="480"/>
      </w:pPr>
      <w:r>
        <w:rPr>
          <w:rFonts w:hint="eastAsia"/>
        </w:rPr>
        <w:lastRenderedPageBreak/>
        <w:t>城市湿地公园：设计利用原有周边低洼地为基础，将河水引入园区，打造湿地景观。功能定位为“自然、生态、野趣”，水生态环境以自然为主，通过控制河道水深、河床主流走向、局部抬高构建生态岛等措施提高环境的多样性，采用景观效果较好的挺水开花植物，逐渐恢复一个生物多样性、生态系统结构稳定的水域生态系统。</w:t>
      </w:r>
      <w:r>
        <w:rPr>
          <w:rFonts w:hint="eastAsia"/>
        </w:rPr>
        <w:t xml:space="preserve"> </w:t>
      </w:r>
    </w:p>
    <w:p w14:paraId="0D6EA713" w14:textId="77777777" w:rsidR="005A1A44" w:rsidRDefault="0008059E">
      <w:pPr>
        <w:ind w:firstLine="480"/>
      </w:pPr>
      <w:r>
        <w:rPr>
          <w:rFonts w:hint="eastAsia"/>
        </w:rPr>
        <w:t>以曲折灵动的小型木栈桥为边界划分出了大小不一的区域，其中将栽植生态环保型水生植物，以便对水体进行涵养及修复，植物的引进也将为河道实现生物多样性提供了基础条件。同时也将作为一个天然的科普专类园，为市民提供游赏和科普教育。</w:t>
      </w:r>
    </w:p>
    <w:p w14:paraId="690C2C96" w14:textId="77777777" w:rsidR="005A1A44" w:rsidRDefault="0008059E">
      <w:pPr>
        <w:ind w:firstLine="480"/>
      </w:pPr>
      <w:r>
        <w:rPr>
          <w:rFonts w:hint="eastAsia"/>
        </w:rPr>
        <w:t>城市湿地公园植物选择：柽柳、红叶桃、樱花、无花果、石榴、海棠果、毛稠李、紫叶李、西府海棠、榆叶梅、太平花、金露梅、水生美人蕉、迎春、芦苇、羊毛、旱金莲、八宝景天、小鸢尾、马蔺。</w:t>
      </w:r>
    </w:p>
    <w:p w14:paraId="13176889" w14:textId="77777777" w:rsidR="005A1A44" w:rsidRDefault="0008059E">
      <w:pPr>
        <w:ind w:firstLine="480"/>
      </w:pPr>
      <w:r>
        <w:rPr>
          <w:rFonts w:hint="eastAsia"/>
        </w:rPr>
        <w:t>（</w:t>
      </w:r>
      <w:r>
        <w:rPr>
          <w:rFonts w:hint="eastAsia"/>
        </w:rPr>
        <w:t>3</w:t>
      </w:r>
      <w:r>
        <w:rPr>
          <w:rFonts w:hint="eastAsia"/>
        </w:rPr>
        <w:t>）文化休闲公园</w:t>
      </w:r>
    </w:p>
    <w:p w14:paraId="041214C8" w14:textId="77777777" w:rsidR="005A1A44" w:rsidRDefault="0008059E">
      <w:pPr>
        <w:ind w:firstLine="480"/>
      </w:pPr>
      <w:r>
        <w:rPr>
          <w:rFonts w:hint="eastAsia"/>
        </w:rPr>
        <w:t>文化休闲公园：一桥和三桥之间是城市中心区，通过对丝绸之路和和田玉的解读，以玉文化为线索，通过景墙、雕塑等园建小品展示和田玉的历史和玉之美德。</w:t>
      </w:r>
    </w:p>
    <w:p w14:paraId="44B3FB4C" w14:textId="77777777" w:rsidR="005A1A44" w:rsidRDefault="0008059E">
      <w:pPr>
        <w:ind w:firstLine="480"/>
      </w:pPr>
      <w:r>
        <w:rPr>
          <w:rFonts w:hint="eastAsia"/>
        </w:rPr>
        <w:t>植物配置植物选择：银杏、柽柳、胡杨、樱花、刺槐、杜梨、金枝槐、紫穗槐、小叶白蜡、复叶槭、垂柳、碧桃、珍珠梅、黄蔷薇、黄刺玫、丁香、海州常山、红瑞木、腊梅、四季锦带花、白三叶。</w:t>
      </w:r>
    </w:p>
    <w:p w14:paraId="47BC66C1" w14:textId="77777777" w:rsidR="005A1A44" w:rsidRDefault="0008059E">
      <w:pPr>
        <w:ind w:firstLine="480"/>
      </w:pPr>
      <w:r>
        <w:rPr>
          <w:rFonts w:hint="eastAsia"/>
        </w:rPr>
        <w:t>（</w:t>
      </w:r>
      <w:r>
        <w:rPr>
          <w:rFonts w:hint="eastAsia"/>
        </w:rPr>
        <w:t>4</w:t>
      </w:r>
      <w:r>
        <w:rPr>
          <w:rFonts w:hint="eastAsia"/>
        </w:rPr>
        <w:t>）生态休闲公园、滨河休闲公园</w:t>
      </w:r>
    </w:p>
    <w:p w14:paraId="21BED348" w14:textId="77777777" w:rsidR="005A1A44" w:rsidRDefault="0008059E">
      <w:pPr>
        <w:ind w:firstLine="480"/>
      </w:pPr>
      <w:r>
        <w:rPr>
          <w:rFonts w:hint="eastAsia"/>
        </w:rPr>
        <w:t>三桥与四桥之间主要是工业区，结合东岸的防护林带打造一处生态休闲公园，帮助改善城市生态环境。依托现场分布的低洼坑底，将河水引入园区，构建城市生态休闲公园，修复河道被破坏的滩涂，设置生态保育区、生态缓冲区、综合服务区、休闲娱乐区。同时引入科普教育元素，编织成一条集旅游观光，生态科普与一体的休闲漫步长廊。</w:t>
      </w:r>
    </w:p>
    <w:p w14:paraId="30BC2A7A" w14:textId="77777777" w:rsidR="005A1A44" w:rsidRDefault="0008059E">
      <w:pPr>
        <w:ind w:firstLine="480"/>
      </w:pPr>
      <w:r>
        <w:rPr>
          <w:rFonts w:hint="eastAsia"/>
        </w:rPr>
        <w:t>滨河休闲公园——林水相依：通过引水入园，结合洪水期河水在现场形成的水塘和低洼地，构建一条人工河流，形成多样水体，提供多样亲水体验，打造具有地域特色的滨河休闲公园。洪水季水量充沛，水域宽阔，形成河流湖泊景观；枯水期，</w:t>
      </w:r>
    </w:p>
    <w:p w14:paraId="3DB66270" w14:textId="77777777" w:rsidR="005A1A44" w:rsidRDefault="005A1A44">
      <w:pPr>
        <w:ind w:leftChars="-500" w:hangingChars="500" w:hanging="1200"/>
        <w:sectPr w:rsidR="005A1A44">
          <w:pgSz w:w="12240" w:h="15840"/>
          <w:pgMar w:top="1440" w:right="1803" w:bottom="1440" w:left="1803" w:header="720" w:footer="720" w:gutter="0"/>
          <w:cols w:space="0"/>
          <w:docGrid w:linePitch="312"/>
        </w:sectPr>
      </w:pPr>
    </w:p>
    <w:p w14:paraId="18EB2D8B" w14:textId="77777777" w:rsidR="005A1A44" w:rsidRDefault="005A1A44">
      <w:pPr>
        <w:ind w:leftChars="-200" w:hangingChars="200" w:hanging="480"/>
      </w:pPr>
    </w:p>
    <w:p w14:paraId="113EF295" w14:textId="77777777" w:rsidR="005A1A44" w:rsidRDefault="005A1A44">
      <w:pPr>
        <w:ind w:leftChars="-200" w:hangingChars="200" w:hanging="480"/>
      </w:pPr>
    </w:p>
    <w:p w14:paraId="36ED03BD" w14:textId="77777777" w:rsidR="005A1A44" w:rsidRDefault="0008059E">
      <w:pPr>
        <w:ind w:leftChars="-200" w:hangingChars="200" w:hanging="480"/>
      </w:pPr>
      <w:r>
        <w:rPr>
          <w:noProof/>
        </w:rPr>
        <w:drawing>
          <wp:inline distT="0" distB="0" distL="114300" distR="114300" wp14:anchorId="0302D519" wp14:editId="1EB5D62F">
            <wp:extent cx="9082405" cy="3000375"/>
            <wp:effectExtent l="0" t="0" r="4445" b="952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7" cstate="print"/>
                    <a:srcRect l="17852" t="28364" r="9570" b="31671"/>
                    <a:stretch>
                      <a:fillRect/>
                    </a:stretch>
                  </pic:blipFill>
                  <pic:spPr>
                    <a:xfrm>
                      <a:off x="0" y="0"/>
                      <a:ext cx="9082405" cy="3000375"/>
                    </a:xfrm>
                    <a:prstGeom prst="rect">
                      <a:avLst/>
                    </a:prstGeom>
                    <a:noFill/>
                    <a:ln>
                      <a:noFill/>
                    </a:ln>
                  </pic:spPr>
                </pic:pic>
              </a:graphicData>
            </a:graphic>
          </wp:inline>
        </w:drawing>
      </w:r>
    </w:p>
    <w:p w14:paraId="3DB539AF" w14:textId="77777777" w:rsidR="005A1A44" w:rsidRDefault="0008059E">
      <w:pPr>
        <w:ind w:firstLine="480"/>
        <w:jc w:val="center"/>
        <w:rPr>
          <w:rFonts w:ascii="黑体" w:eastAsia="黑体" w:hAnsi="黑体" w:cs="黑体" w:hint="eastAsia"/>
          <w:kern w:val="0"/>
        </w:rPr>
      </w:pPr>
      <w:r>
        <w:rPr>
          <w:rFonts w:ascii="黑体" w:eastAsia="黑体" w:hAnsi="黑体" w:cs="黑体" w:hint="eastAsia"/>
          <w:kern w:val="0"/>
        </w:rPr>
        <w:t>图3.4-7  文化休闲公园</w:t>
      </w:r>
      <w:r>
        <w:rPr>
          <w:rFonts w:ascii="黑体" w:eastAsia="黑体" w:hAnsi="黑体" w:cs="黑体" w:hint="eastAsia"/>
        </w:rPr>
        <w:t>平面布局图</w:t>
      </w:r>
    </w:p>
    <w:p w14:paraId="6C72C81C" w14:textId="77777777" w:rsidR="005A1A44" w:rsidRDefault="005A1A44">
      <w:pPr>
        <w:ind w:firstLine="480"/>
      </w:pPr>
    </w:p>
    <w:p w14:paraId="0A73DCB3" w14:textId="77777777" w:rsidR="005A1A44" w:rsidRDefault="0008059E">
      <w:pPr>
        <w:ind w:leftChars="-200" w:hangingChars="200" w:hanging="480"/>
      </w:pPr>
      <w:r>
        <w:rPr>
          <w:noProof/>
        </w:rPr>
        <w:lastRenderedPageBreak/>
        <w:drawing>
          <wp:inline distT="0" distB="0" distL="114300" distR="114300" wp14:anchorId="40E68219" wp14:editId="6619CC53">
            <wp:extent cx="8864600" cy="3336290"/>
            <wp:effectExtent l="0" t="0" r="12700" b="1651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8" cstate="print"/>
                    <a:srcRect l="18542" t="24254" r="11350" b="31777"/>
                    <a:stretch>
                      <a:fillRect/>
                    </a:stretch>
                  </pic:blipFill>
                  <pic:spPr>
                    <a:xfrm>
                      <a:off x="0" y="0"/>
                      <a:ext cx="8864600" cy="3336290"/>
                    </a:xfrm>
                    <a:prstGeom prst="rect">
                      <a:avLst/>
                    </a:prstGeom>
                    <a:noFill/>
                    <a:ln>
                      <a:noFill/>
                    </a:ln>
                  </pic:spPr>
                </pic:pic>
              </a:graphicData>
            </a:graphic>
          </wp:inline>
        </w:drawing>
      </w:r>
    </w:p>
    <w:p w14:paraId="19E682B1" w14:textId="77777777" w:rsidR="005A1A44" w:rsidRDefault="005A1A44">
      <w:pPr>
        <w:ind w:leftChars="-200" w:hangingChars="200" w:hanging="480"/>
      </w:pPr>
    </w:p>
    <w:p w14:paraId="3B30749A" w14:textId="77777777" w:rsidR="005A1A44" w:rsidRDefault="0008059E">
      <w:pPr>
        <w:ind w:firstLine="480"/>
        <w:jc w:val="center"/>
        <w:rPr>
          <w:rFonts w:ascii="黑体" w:eastAsia="黑体" w:hAnsi="黑体" w:cs="黑体" w:hint="eastAsia"/>
          <w:kern w:val="0"/>
        </w:rPr>
      </w:pPr>
      <w:r>
        <w:rPr>
          <w:rFonts w:ascii="黑体" w:eastAsia="黑体" w:hAnsi="黑体" w:cs="黑体" w:hint="eastAsia"/>
          <w:kern w:val="0"/>
        </w:rPr>
        <w:t xml:space="preserve">图3.4-8 </w:t>
      </w:r>
      <w:r>
        <w:rPr>
          <w:rFonts w:ascii="黑体" w:eastAsia="黑体" w:hAnsi="黑体" w:cs="黑体" w:hint="eastAsia"/>
        </w:rPr>
        <w:t xml:space="preserve"> 滨河休闲公园平面布局图</w:t>
      </w:r>
    </w:p>
    <w:p w14:paraId="4CF6098B" w14:textId="77777777" w:rsidR="005A1A44" w:rsidRDefault="005A1A44">
      <w:pPr>
        <w:ind w:leftChars="-200" w:hangingChars="200" w:hanging="480"/>
        <w:sectPr w:rsidR="005A1A44">
          <w:pgSz w:w="15840" w:h="12240" w:orient="landscape"/>
          <w:pgMar w:top="1803" w:right="1440" w:bottom="1803" w:left="1440" w:header="720" w:footer="720" w:gutter="0"/>
          <w:cols w:space="0"/>
          <w:docGrid w:linePitch="312"/>
        </w:sectPr>
      </w:pPr>
    </w:p>
    <w:p w14:paraId="15D8EBEC" w14:textId="77777777" w:rsidR="005A1A44" w:rsidRDefault="0008059E">
      <w:pPr>
        <w:ind w:firstLineChars="0" w:firstLine="0"/>
      </w:pPr>
      <w:r>
        <w:rPr>
          <w:rFonts w:hint="eastAsia"/>
        </w:rPr>
        <w:lastRenderedPageBreak/>
        <w:t>水域变窄，形成湿地浅滩，为植物生长提供了充足的水分。</w:t>
      </w:r>
    </w:p>
    <w:p w14:paraId="3DDF68B8" w14:textId="77777777" w:rsidR="005A1A44" w:rsidRDefault="0008059E">
      <w:pPr>
        <w:ind w:firstLine="480"/>
      </w:pPr>
      <w:r>
        <w:rPr>
          <w:rFonts w:hint="eastAsia"/>
        </w:rPr>
        <w:t>植物配置选择：垂柳、旱柳、毛白杨、青杨、榉树、山楂、龙爪槐、、法国梧桐、海棠果、金银木、桃叶卫茅、金山绣线菊、蜀葵、芦苇地肤、香雪球、连翘。</w:t>
      </w:r>
    </w:p>
    <w:p w14:paraId="3EC12639" w14:textId="77777777" w:rsidR="005A1A44" w:rsidRDefault="0008059E">
      <w:pPr>
        <w:ind w:firstLine="480"/>
      </w:pPr>
      <w:r>
        <w:rPr>
          <w:rFonts w:hint="eastAsia"/>
        </w:rPr>
        <w:t>生态休闲公园——花海相依：结合现状有丰富的白杨防风林带，以“玫瑰文化”为主题，充分利用和田栽种玫瑰这一资源，在园区内大量栽种玫瑰，挖掘玫瑰产业潜力，如玫瑰花茶、玫瑰鲜花饼、玫瑰婚庆园，形成游购娱一体的玫瑰产业，栽种蔷薇科的蔷薇、月季、玫瑰，普及植物科普知识。</w:t>
      </w:r>
    </w:p>
    <w:p w14:paraId="12E42836" w14:textId="77777777" w:rsidR="005A1A44" w:rsidRDefault="0008059E">
      <w:pPr>
        <w:ind w:firstLine="480"/>
      </w:pPr>
      <w:r>
        <w:rPr>
          <w:rFonts w:hint="eastAsia"/>
        </w:rPr>
        <w:t>植物配置选择：青杨、毛白杨、胡杨、柽柳、旱柳、法国梧桐、火炬树、樱花、山楂、西府海棠、榆叶梅、结香、红瑞木、蜀葵、太平花、海州常山、白三叶、八宝景天、腊梅、迎春、玫瑰、月季、黄蔷薇、黄刺玫。</w:t>
      </w:r>
    </w:p>
    <w:p w14:paraId="55E74861" w14:textId="77777777" w:rsidR="005A1A44" w:rsidRDefault="0008059E">
      <w:pPr>
        <w:pStyle w:val="4"/>
        <w:numPr>
          <w:ilvl w:val="3"/>
          <w:numId w:val="2"/>
        </w:numPr>
      </w:pPr>
      <w:r>
        <w:rPr>
          <w:rFonts w:hint="eastAsia"/>
        </w:rPr>
        <w:t xml:space="preserve"> </w:t>
      </w:r>
      <w:r>
        <w:rPr>
          <w:rFonts w:hint="eastAsia"/>
        </w:rPr>
        <w:t>公用设施布局</w:t>
      </w:r>
    </w:p>
    <w:p w14:paraId="24D083E3" w14:textId="77777777" w:rsidR="005A1A44" w:rsidRDefault="0008059E">
      <w:pPr>
        <w:ind w:firstLine="480"/>
        <w:sectPr w:rsidR="005A1A44">
          <w:pgSz w:w="12240" w:h="15840"/>
          <w:pgMar w:top="1440" w:right="1803" w:bottom="1440" w:left="1803" w:header="720" w:footer="720" w:gutter="0"/>
          <w:cols w:space="0"/>
          <w:docGrid w:linePitch="312"/>
        </w:sectPr>
      </w:pPr>
      <w:r>
        <w:rPr>
          <w:rFonts w:hint="eastAsia"/>
        </w:rPr>
        <w:t>对</w:t>
      </w:r>
      <w:r>
        <w:t>公共服务设施如坐凳、垃圾桶、厕所、照明系统等，</w:t>
      </w:r>
      <w:r>
        <w:t>5m</w:t>
      </w:r>
      <w:r>
        <w:t>高景观路灯沿堤顶道路每</w:t>
      </w:r>
      <w:r>
        <w:t>15m</w:t>
      </w:r>
      <w:r>
        <w:t>单边布置；</w:t>
      </w:r>
      <w:r>
        <w:t>3.5m</w:t>
      </w:r>
      <w:r>
        <w:t>高景观灯沿步行道每</w:t>
      </w:r>
      <w:r>
        <w:t>20m</w:t>
      </w:r>
      <w:r>
        <w:t>交叉布置；</w:t>
      </w:r>
      <w:r>
        <w:t>0.45m</w:t>
      </w:r>
      <w:r>
        <w:t>高地灯沿步行道每</w:t>
      </w:r>
      <w:r>
        <w:t>20m</w:t>
      </w:r>
      <w:r>
        <w:t>交叉布置；休闲座椅沿步行道间隔</w:t>
      </w:r>
      <w:r>
        <w:t>30m</w:t>
      </w:r>
      <w:r>
        <w:t>左右；垃圾桶沿步行道间隔</w:t>
      </w:r>
      <w:r>
        <w:t>50m</w:t>
      </w:r>
      <w:r>
        <w:t>左右。园区内重要节点路段设置厕所，每</w:t>
      </w:r>
      <w:r>
        <w:t>250</w:t>
      </w:r>
      <w:r>
        <w:t>米</w:t>
      </w:r>
      <w:r>
        <w:t>/</w:t>
      </w:r>
      <w:r>
        <w:t>个。</w:t>
      </w:r>
    </w:p>
    <w:p w14:paraId="6E605C5A" w14:textId="77777777" w:rsidR="005A1A44" w:rsidRDefault="005A1A44">
      <w:pPr>
        <w:ind w:leftChars="-300" w:hangingChars="300" w:hanging="720"/>
      </w:pPr>
    </w:p>
    <w:p w14:paraId="01C3CE14" w14:textId="77777777" w:rsidR="005A1A44" w:rsidRDefault="0008059E">
      <w:pPr>
        <w:ind w:leftChars="-300" w:hangingChars="300" w:hanging="720"/>
      </w:pPr>
      <w:r>
        <w:rPr>
          <w:noProof/>
        </w:rPr>
        <w:drawing>
          <wp:inline distT="0" distB="0" distL="114300" distR="114300" wp14:anchorId="06C084CA" wp14:editId="22B2FDCB">
            <wp:extent cx="9149080" cy="3014345"/>
            <wp:effectExtent l="0" t="0" r="13970" b="1460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9" cstate="print"/>
                    <a:srcRect l="17530" t="25994" r="11035" b="34781"/>
                    <a:stretch>
                      <a:fillRect/>
                    </a:stretch>
                  </pic:blipFill>
                  <pic:spPr>
                    <a:xfrm>
                      <a:off x="0" y="0"/>
                      <a:ext cx="9149080" cy="3014345"/>
                    </a:xfrm>
                    <a:prstGeom prst="rect">
                      <a:avLst/>
                    </a:prstGeom>
                    <a:noFill/>
                    <a:ln>
                      <a:noFill/>
                    </a:ln>
                  </pic:spPr>
                </pic:pic>
              </a:graphicData>
            </a:graphic>
          </wp:inline>
        </w:drawing>
      </w:r>
    </w:p>
    <w:p w14:paraId="4FC57F99" w14:textId="77777777" w:rsidR="005A1A44" w:rsidRDefault="0008059E">
      <w:pPr>
        <w:ind w:firstLine="480"/>
        <w:jc w:val="center"/>
        <w:rPr>
          <w:rFonts w:ascii="黑体" w:eastAsia="黑体" w:hAnsi="黑体" w:cs="黑体" w:hint="eastAsia"/>
          <w:kern w:val="0"/>
        </w:rPr>
      </w:pPr>
      <w:r>
        <w:rPr>
          <w:rFonts w:ascii="黑体" w:eastAsia="黑体" w:hAnsi="黑体" w:cs="黑体" w:hint="eastAsia"/>
          <w:kern w:val="0"/>
        </w:rPr>
        <w:t xml:space="preserve">图3.4-9  </w:t>
      </w:r>
      <w:r>
        <w:rPr>
          <w:rFonts w:ascii="黑体" w:eastAsia="黑体" w:hAnsi="黑体" w:cs="黑体" w:hint="eastAsia"/>
        </w:rPr>
        <w:t xml:space="preserve"> 生态休闲公园平面布局图</w:t>
      </w:r>
    </w:p>
    <w:p w14:paraId="66BD0279" w14:textId="77777777" w:rsidR="005A1A44" w:rsidRDefault="005A1A44">
      <w:pPr>
        <w:ind w:firstLine="480"/>
        <w:sectPr w:rsidR="005A1A44">
          <w:pgSz w:w="15840" w:h="12240" w:orient="landscape"/>
          <w:pgMar w:top="1803" w:right="1440" w:bottom="1803" w:left="1440" w:header="720" w:footer="720" w:gutter="0"/>
          <w:cols w:space="0"/>
          <w:docGrid w:linePitch="312"/>
        </w:sectPr>
      </w:pPr>
    </w:p>
    <w:p w14:paraId="7C14D064" w14:textId="77777777" w:rsidR="005A1A44" w:rsidRDefault="0008059E">
      <w:pPr>
        <w:pStyle w:val="4"/>
        <w:numPr>
          <w:ilvl w:val="3"/>
          <w:numId w:val="2"/>
        </w:numPr>
      </w:pPr>
      <w:r>
        <w:rPr>
          <w:rFonts w:hint="eastAsia"/>
        </w:rPr>
        <w:lastRenderedPageBreak/>
        <w:t xml:space="preserve"> </w:t>
      </w:r>
      <w:r>
        <w:rPr>
          <w:rFonts w:hint="eastAsia"/>
        </w:rPr>
        <w:t>绿行慢道</w:t>
      </w:r>
    </w:p>
    <w:p w14:paraId="458B96DF" w14:textId="77777777" w:rsidR="005A1A44" w:rsidRDefault="0008059E">
      <w:pPr>
        <w:ind w:firstLine="480"/>
      </w:pPr>
      <w:r>
        <w:rPr>
          <w:rFonts w:hint="eastAsia"/>
        </w:rPr>
        <w:t>慢行系统包括步行道、自行车道、慢行道可根据现状进行建设，位于市区，因此采用都市型绿道慢行体系，整个绿道总长约</w:t>
      </w:r>
      <w:r>
        <w:rPr>
          <w:rFonts w:hint="eastAsia"/>
        </w:rPr>
        <w:t>27.4km</w:t>
      </w:r>
      <w:r>
        <w:rPr>
          <w:rFonts w:hint="eastAsia"/>
        </w:rPr>
        <w:t>，环绕整个生态岸线。本次工程河段环喀什河绿道体系由绿廊</w:t>
      </w:r>
      <w:r>
        <w:rPr>
          <w:rFonts w:hint="eastAsia"/>
        </w:rPr>
        <w:t>+</w:t>
      </w:r>
      <w:r>
        <w:rPr>
          <w:rFonts w:hint="eastAsia"/>
        </w:rPr>
        <w:t>慢行道</w:t>
      </w:r>
      <w:r>
        <w:rPr>
          <w:rFonts w:hint="eastAsia"/>
        </w:rPr>
        <w:t>+</w:t>
      </w:r>
      <w:r>
        <w:rPr>
          <w:rFonts w:hint="eastAsia"/>
        </w:rPr>
        <w:t>配套设施组成，绿道体系可结合防汛堤墙设计，采取人行与自行车分行体系相互不干扰；其中跑道慢跑道宽度为</w:t>
      </w:r>
      <w:r>
        <w:rPr>
          <w:rFonts w:hint="eastAsia"/>
        </w:rPr>
        <w:t>1.5m</w:t>
      </w:r>
      <w:r>
        <w:rPr>
          <w:rFonts w:hint="eastAsia"/>
        </w:rPr>
        <w:t>，自行车道为</w:t>
      </w:r>
      <w:r>
        <w:rPr>
          <w:rFonts w:hint="eastAsia"/>
        </w:rPr>
        <w:t>2m</w:t>
      </w:r>
      <w:r>
        <w:rPr>
          <w:rFonts w:hint="eastAsia"/>
        </w:rPr>
        <w:t>，整体绿道</w:t>
      </w:r>
      <w:r>
        <w:rPr>
          <w:rFonts w:hint="eastAsia"/>
        </w:rPr>
        <w:t>3.5m</w:t>
      </w:r>
      <w:r>
        <w:rPr>
          <w:rFonts w:hint="eastAsia"/>
        </w:rPr>
        <w:t>全部采用彩色混凝土铺装。</w:t>
      </w:r>
    </w:p>
    <w:p w14:paraId="1727BD4F" w14:textId="77777777" w:rsidR="005A1A44" w:rsidRDefault="0008059E">
      <w:pPr>
        <w:ind w:firstLine="480"/>
      </w:pPr>
      <w:r>
        <w:rPr>
          <w:rFonts w:hint="eastAsia"/>
        </w:rPr>
        <w:t>慢行系统根据周边的用地性质主要分为三段进行布置。①上游体育休闲公园、城市湿地公园具有典型的郊野型生态景观特征，慢行系统主要结合湿地等来打造生态型的体验性景观，让居住在混凝土森林中的市民亲近自然、回归自然。②一桥及三桥之间，文化休闲公园具有典型的城市型文化生态景观特征，周边发展比较完善，慢行系统主要对景观步行道路系统以绿道的形式进行补充，设置公共服务设施点，并结合文化展示，大大丰富了居民的生活休闲乐趣。④三桥与四桥之间，生态休闲公园通过布置亲水平台及林荫小径为周边厂房及居民提供亲水休闲和自然生态的景观空间。</w:t>
      </w:r>
    </w:p>
    <w:p w14:paraId="6A96406F" w14:textId="77777777" w:rsidR="005A1A44" w:rsidRDefault="0008059E">
      <w:pPr>
        <w:ind w:firstLine="480"/>
      </w:pPr>
      <w:r>
        <w:rPr>
          <w:rFonts w:hint="eastAsia"/>
        </w:rPr>
        <w:t>人行步道是慢行道，路面宽度为</w:t>
      </w:r>
      <w:r>
        <w:rPr>
          <w:rFonts w:hint="eastAsia"/>
        </w:rPr>
        <w:t>2000~3500mm</w:t>
      </w:r>
      <w:r>
        <w:rPr>
          <w:rFonts w:hint="eastAsia"/>
        </w:rPr>
        <w:t>，路面结构建议采用</w:t>
      </w:r>
      <w:r>
        <w:rPr>
          <w:rFonts w:hint="eastAsia"/>
        </w:rPr>
        <w:t>50mm</w:t>
      </w:r>
      <w:r>
        <w:rPr>
          <w:rFonts w:hint="eastAsia"/>
        </w:rPr>
        <w:t>厚水泥方格砖，下设</w:t>
      </w:r>
      <w:r>
        <w:rPr>
          <w:rFonts w:hint="eastAsia"/>
        </w:rPr>
        <w:t>25mm</w:t>
      </w:r>
      <w:r>
        <w:rPr>
          <w:rFonts w:hint="eastAsia"/>
        </w:rPr>
        <w:t>厚</w:t>
      </w:r>
      <w:r>
        <w:rPr>
          <w:rFonts w:hint="eastAsia"/>
        </w:rPr>
        <w:t>1:3</w:t>
      </w:r>
      <w:r>
        <w:rPr>
          <w:rFonts w:hint="eastAsia"/>
        </w:rPr>
        <w:t>干硬性水泥砂浆、</w:t>
      </w:r>
      <w:r>
        <w:rPr>
          <w:rFonts w:hint="eastAsia"/>
        </w:rPr>
        <w:t>150mm</w:t>
      </w:r>
      <w:r>
        <w:rPr>
          <w:rFonts w:hint="eastAsia"/>
        </w:rPr>
        <w:t>厚级配砂石垫层碾实，两侧设</w:t>
      </w:r>
      <w:r>
        <w:rPr>
          <w:rFonts w:hint="eastAsia"/>
        </w:rPr>
        <w:t>C30</w:t>
      </w:r>
      <w:r>
        <w:rPr>
          <w:rFonts w:hint="eastAsia"/>
        </w:rPr>
        <w:t>预制混凝土立缘石，规格为</w:t>
      </w:r>
      <w:r>
        <w:rPr>
          <w:rFonts w:hint="eastAsia"/>
        </w:rPr>
        <w:t>120</w:t>
      </w:r>
      <w:r>
        <w:rPr>
          <w:rFonts w:hint="eastAsia"/>
        </w:rPr>
        <w:t>×</w:t>
      </w:r>
      <w:r>
        <w:rPr>
          <w:rFonts w:hint="eastAsia"/>
        </w:rPr>
        <w:t>250</w:t>
      </w:r>
      <w:r>
        <w:rPr>
          <w:rFonts w:hint="eastAsia"/>
        </w:rPr>
        <w:t>×</w:t>
      </w:r>
      <w:r>
        <w:rPr>
          <w:rFonts w:hint="eastAsia"/>
        </w:rPr>
        <w:t>495mm</w:t>
      </w:r>
      <w:r>
        <w:rPr>
          <w:rFonts w:hint="eastAsia"/>
        </w:rPr>
        <w:t>。</w:t>
      </w:r>
    </w:p>
    <w:p w14:paraId="2132E022" w14:textId="77777777" w:rsidR="005A1A44" w:rsidRDefault="0008059E">
      <w:pPr>
        <w:ind w:firstLine="480"/>
      </w:pPr>
      <w:r>
        <w:rPr>
          <w:rFonts w:hint="eastAsia"/>
        </w:rPr>
        <w:t>自行车道兼作慢跑道，路面宽度为</w:t>
      </w:r>
      <w:r>
        <w:rPr>
          <w:rFonts w:hint="eastAsia"/>
        </w:rPr>
        <w:t>2000~4000mm</w:t>
      </w:r>
      <w:r>
        <w:rPr>
          <w:rFonts w:hint="eastAsia"/>
        </w:rPr>
        <w:t>，路面结构建议采用沥青路面，从上往下为</w:t>
      </w:r>
      <w:r>
        <w:rPr>
          <w:rFonts w:hint="eastAsia"/>
        </w:rPr>
        <w:t>30mm</w:t>
      </w:r>
      <w:r>
        <w:rPr>
          <w:rFonts w:hint="eastAsia"/>
        </w:rPr>
        <w:t>厚细粒式沥青混凝土、</w:t>
      </w:r>
      <w:r>
        <w:rPr>
          <w:rFonts w:hint="eastAsia"/>
        </w:rPr>
        <w:t>70mm</w:t>
      </w:r>
      <w:r>
        <w:rPr>
          <w:rFonts w:hint="eastAsia"/>
        </w:rPr>
        <w:t>厚粗粒式沥青混凝土、</w:t>
      </w:r>
      <w:r>
        <w:rPr>
          <w:rFonts w:hint="eastAsia"/>
        </w:rPr>
        <w:t>5mm</w:t>
      </w:r>
      <w:r>
        <w:rPr>
          <w:rFonts w:hint="eastAsia"/>
        </w:rPr>
        <w:t>厚沥青下封层、</w:t>
      </w:r>
      <w:r>
        <w:rPr>
          <w:rFonts w:hint="eastAsia"/>
        </w:rPr>
        <w:t>350mm</w:t>
      </w:r>
      <w:r>
        <w:rPr>
          <w:rFonts w:hint="eastAsia"/>
        </w:rPr>
        <w:t>厚水泥稳定碎石及</w:t>
      </w:r>
      <w:r>
        <w:rPr>
          <w:rFonts w:hint="eastAsia"/>
        </w:rPr>
        <w:t>150mm</w:t>
      </w:r>
      <w:r>
        <w:rPr>
          <w:rFonts w:hint="eastAsia"/>
        </w:rPr>
        <w:t>厚</w:t>
      </w:r>
      <w:r>
        <w:rPr>
          <w:rFonts w:hint="eastAsia"/>
        </w:rPr>
        <w:t>12%</w:t>
      </w:r>
      <w:r>
        <w:rPr>
          <w:rFonts w:hint="eastAsia"/>
        </w:rPr>
        <w:t>石灰土，两侧设</w:t>
      </w:r>
      <w:r>
        <w:rPr>
          <w:rFonts w:hint="eastAsia"/>
        </w:rPr>
        <w:t>C30</w:t>
      </w:r>
      <w:r>
        <w:rPr>
          <w:rFonts w:hint="eastAsia"/>
        </w:rPr>
        <w:t>素砼格埂，规格为</w:t>
      </w:r>
      <w:r>
        <w:rPr>
          <w:rFonts w:hint="eastAsia"/>
        </w:rPr>
        <w:t>250</w:t>
      </w:r>
      <w:r>
        <w:rPr>
          <w:rFonts w:hint="eastAsia"/>
        </w:rPr>
        <w:t>×</w:t>
      </w:r>
      <w:r>
        <w:rPr>
          <w:rFonts w:hint="eastAsia"/>
        </w:rPr>
        <w:t>600mm</w:t>
      </w:r>
      <w:r>
        <w:rPr>
          <w:rFonts w:hint="eastAsia"/>
        </w:rPr>
        <w:t>。沥青路面也可采用彩色沥青。</w:t>
      </w:r>
    </w:p>
    <w:p w14:paraId="37CD2ADB" w14:textId="77777777" w:rsidR="005A1A44" w:rsidRDefault="0008059E">
      <w:pPr>
        <w:ind w:firstLine="480"/>
      </w:pPr>
      <w:r>
        <w:rPr>
          <w:rFonts w:hint="eastAsia"/>
        </w:rPr>
        <w:t>防汛通道考虑到工程范围内有纵横交错的主、次干道，不专门设高等级防汛道路，在防洪线位置堤顶按最</w:t>
      </w:r>
      <w:r>
        <w:rPr>
          <w:rFonts w:hint="eastAsia"/>
        </w:rPr>
        <w:t>6m</w:t>
      </w:r>
      <w:r>
        <w:rPr>
          <w:rFonts w:hint="eastAsia"/>
        </w:rPr>
        <w:t>设置防汛通道，道路结构采用</w:t>
      </w:r>
      <w:r>
        <w:rPr>
          <w:rFonts w:hint="eastAsia"/>
        </w:rPr>
        <w:t>200mm</w:t>
      </w:r>
      <w:r>
        <w:rPr>
          <w:rFonts w:hint="eastAsia"/>
        </w:rPr>
        <w:t>厚泥结石路面，下设</w:t>
      </w:r>
      <w:r>
        <w:rPr>
          <w:rFonts w:hint="eastAsia"/>
        </w:rPr>
        <w:t>150mm</w:t>
      </w:r>
      <w:r>
        <w:rPr>
          <w:rFonts w:hint="eastAsia"/>
        </w:rPr>
        <w:t>厚碎石垫层。本工程范围内新增自行车道较完善，水位较低时，也可作为应急防汛通道。</w:t>
      </w:r>
    </w:p>
    <w:p w14:paraId="54F1D75E" w14:textId="77777777" w:rsidR="005A1A44" w:rsidRDefault="0008059E">
      <w:pPr>
        <w:ind w:firstLine="480"/>
      </w:pPr>
      <w:r>
        <w:rPr>
          <w:rFonts w:hint="eastAsia"/>
        </w:rPr>
        <w:t>慢行系统如遇淤泥质粉质粘土，因路面结构荷载不高，可采用换填的基础处理</w:t>
      </w:r>
      <w:r>
        <w:rPr>
          <w:rFonts w:hint="eastAsia"/>
        </w:rPr>
        <w:lastRenderedPageBreak/>
        <w:t>方案。</w:t>
      </w:r>
    </w:p>
    <w:p w14:paraId="5CE019BF" w14:textId="77777777" w:rsidR="005A1A44" w:rsidRDefault="0008059E">
      <w:pPr>
        <w:pStyle w:val="ac"/>
        <w:widowControl/>
        <w:ind w:firstLineChars="0" w:firstLine="0"/>
        <w:jc w:val="center"/>
        <w:rPr>
          <w:rFonts w:ascii="黑体" w:eastAsia="黑体" w:hAnsi="黑体" w:cs="黑体" w:hint="eastAsia"/>
          <w:bCs/>
          <w:color w:val="000000"/>
        </w:rPr>
      </w:pPr>
      <w:r>
        <w:rPr>
          <w:rFonts w:ascii="黑体" w:eastAsia="黑体" w:hAnsi="黑体" w:cs="黑体" w:hint="eastAsia"/>
          <w:bCs/>
          <w:color w:val="000000"/>
        </w:rPr>
        <w:t>表3.4-2  玉龙喀什河河道整治工程主要特性表</w:t>
      </w:r>
    </w:p>
    <w:tbl>
      <w:tblPr>
        <w:tblStyle w:val="af"/>
        <w:tblW w:w="8850" w:type="dxa"/>
        <w:tblLayout w:type="fixed"/>
        <w:tblLook w:val="04A0" w:firstRow="1" w:lastRow="0" w:firstColumn="1" w:lastColumn="0" w:noHBand="0" w:noVBand="1"/>
      </w:tblPr>
      <w:tblGrid>
        <w:gridCol w:w="921"/>
        <w:gridCol w:w="2196"/>
        <w:gridCol w:w="1820"/>
        <w:gridCol w:w="2143"/>
        <w:gridCol w:w="1770"/>
      </w:tblGrid>
      <w:tr w:rsidR="005A1A44" w14:paraId="4F0A8961" w14:textId="77777777">
        <w:tc>
          <w:tcPr>
            <w:tcW w:w="921" w:type="dxa"/>
            <w:vAlign w:val="center"/>
          </w:tcPr>
          <w:p w14:paraId="1C48A41B" w14:textId="77777777" w:rsidR="005A1A44" w:rsidRDefault="0008059E">
            <w:pPr>
              <w:spacing w:line="240" w:lineRule="auto"/>
              <w:ind w:firstLineChars="0" w:firstLine="0"/>
              <w:jc w:val="center"/>
              <w:rPr>
                <w:rFonts w:ascii="宋体" w:eastAsia="宋体" w:hAnsi="宋体" w:cs="宋体" w:hint="eastAsia"/>
                <w:b/>
                <w:bCs/>
                <w:sz w:val="21"/>
                <w:szCs w:val="21"/>
              </w:rPr>
            </w:pPr>
            <w:r>
              <w:rPr>
                <w:rFonts w:ascii="宋体" w:eastAsia="宋体" w:hAnsi="宋体" w:cs="宋体" w:hint="eastAsia"/>
                <w:b/>
                <w:bCs/>
                <w:sz w:val="21"/>
                <w:szCs w:val="21"/>
              </w:rPr>
              <w:t>序号</w:t>
            </w:r>
          </w:p>
        </w:tc>
        <w:tc>
          <w:tcPr>
            <w:tcW w:w="2196" w:type="dxa"/>
            <w:vAlign w:val="center"/>
          </w:tcPr>
          <w:p w14:paraId="29CC72FB" w14:textId="77777777" w:rsidR="005A1A44" w:rsidRDefault="0008059E">
            <w:pPr>
              <w:spacing w:line="240" w:lineRule="auto"/>
              <w:ind w:firstLineChars="0" w:firstLine="0"/>
              <w:jc w:val="center"/>
              <w:rPr>
                <w:rFonts w:ascii="宋体" w:eastAsia="宋体" w:hAnsi="宋体" w:cs="宋体" w:hint="eastAsia"/>
                <w:b/>
                <w:bCs/>
                <w:sz w:val="21"/>
                <w:szCs w:val="21"/>
              </w:rPr>
            </w:pPr>
            <w:r>
              <w:rPr>
                <w:rFonts w:ascii="宋体" w:eastAsia="宋体" w:hAnsi="宋体" w:cs="宋体" w:hint="eastAsia"/>
                <w:b/>
                <w:bCs/>
                <w:sz w:val="21"/>
                <w:szCs w:val="21"/>
              </w:rPr>
              <w:t>名称</w:t>
            </w:r>
          </w:p>
        </w:tc>
        <w:tc>
          <w:tcPr>
            <w:tcW w:w="1820" w:type="dxa"/>
            <w:vAlign w:val="center"/>
          </w:tcPr>
          <w:p w14:paraId="2363D27D" w14:textId="77777777" w:rsidR="005A1A44" w:rsidRDefault="0008059E">
            <w:pPr>
              <w:spacing w:line="240" w:lineRule="auto"/>
              <w:ind w:firstLineChars="0" w:firstLine="0"/>
              <w:jc w:val="center"/>
              <w:rPr>
                <w:rFonts w:ascii="宋体" w:eastAsia="宋体" w:hAnsi="宋体" w:cs="宋体" w:hint="eastAsia"/>
                <w:b/>
                <w:bCs/>
                <w:sz w:val="21"/>
                <w:szCs w:val="21"/>
              </w:rPr>
            </w:pPr>
            <w:r>
              <w:rPr>
                <w:rFonts w:ascii="宋体" w:eastAsia="宋体" w:hAnsi="宋体" w:cs="宋体" w:hint="eastAsia"/>
                <w:b/>
                <w:bCs/>
                <w:sz w:val="21"/>
                <w:szCs w:val="21"/>
              </w:rPr>
              <w:t>单位</w:t>
            </w:r>
          </w:p>
        </w:tc>
        <w:tc>
          <w:tcPr>
            <w:tcW w:w="2143" w:type="dxa"/>
            <w:vAlign w:val="center"/>
          </w:tcPr>
          <w:p w14:paraId="478ECDF1" w14:textId="77777777" w:rsidR="005A1A44" w:rsidRDefault="0008059E">
            <w:pPr>
              <w:spacing w:line="240" w:lineRule="auto"/>
              <w:ind w:firstLineChars="0" w:firstLine="0"/>
              <w:jc w:val="center"/>
              <w:rPr>
                <w:rFonts w:ascii="宋体" w:eastAsia="宋体" w:hAnsi="宋体" w:cs="宋体" w:hint="eastAsia"/>
                <w:b/>
                <w:bCs/>
                <w:sz w:val="21"/>
                <w:szCs w:val="21"/>
              </w:rPr>
            </w:pPr>
            <w:r>
              <w:rPr>
                <w:rFonts w:ascii="宋体" w:eastAsia="宋体" w:hAnsi="宋体" w:cs="宋体" w:hint="eastAsia"/>
                <w:b/>
                <w:bCs/>
                <w:sz w:val="21"/>
                <w:szCs w:val="21"/>
              </w:rPr>
              <w:t>特性</w:t>
            </w:r>
          </w:p>
        </w:tc>
        <w:tc>
          <w:tcPr>
            <w:tcW w:w="1770" w:type="dxa"/>
            <w:vAlign w:val="center"/>
          </w:tcPr>
          <w:p w14:paraId="4C7F69CC" w14:textId="77777777" w:rsidR="005A1A44" w:rsidRDefault="0008059E">
            <w:pPr>
              <w:spacing w:line="240" w:lineRule="auto"/>
              <w:ind w:firstLineChars="0" w:firstLine="0"/>
              <w:jc w:val="center"/>
              <w:rPr>
                <w:rFonts w:ascii="宋体" w:eastAsia="宋体" w:hAnsi="宋体" w:cs="宋体" w:hint="eastAsia"/>
                <w:b/>
                <w:bCs/>
                <w:sz w:val="21"/>
                <w:szCs w:val="21"/>
              </w:rPr>
            </w:pPr>
            <w:r>
              <w:rPr>
                <w:rFonts w:ascii="宋体" w:eastAsia="宋体" w:hAnsi="宋体" w:cs="宋体" w:hint="eastAsia"/>
                <w:b/>
                <w:bCs/>
                <w:sz w:val="21"/>
                <w:szCs w:val="21"/>
              </w:rPr>
              <w:t>备注</w:t>
            </w:r>
          </w:p>
        </w:tc>
      </w:tr>
      <w:tr w:rsidR="005A1A44" w14:paraId="5CAFD060" w14:textId="77777777">
        <w:trPr>
          <w:trHeight w:val="276"/>
        </w:trPr>
        <w:tc>
          <w:tcPr>
            <w:tcW w:w="921" w:type="dxa"/>
            <w:vAlign w:val="center"/>
          </w:tcPr>
          <w:p w14:paraId="6245390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一</w:t>
            </w:r>
          </w:p>
        </w:tc>
        <w:tc>
          <w:tcPr>
            <w:tcW w:w="2196" w:type="dxa"/>
            <w:vAlign w:val="center"/>
          </w:tcPr>
          <w:p w14:paraId="14A8FBB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水文</w:t>
            </w:r>
          </w:p>
        </w:tc>
        <w:tc>
          <w:tcPr>
            <w:tcW w:w="1820" w:type="dxa"/>
            <w:vAlign w:val="center"/>
          </w:tcPr>
          <w:p w14:paraId="31CD43DE"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143" w:type="dxa"/>
            <w:vAlign w:val="center"/>
          </w:tcPr>
          <w:p w14:paraId="2AB171D1"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770" w:type="dxa"/>
            <w:vAlign w:val="center"/>
          </w:tcPr>
          <w:p w14:paraId="7468346B"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547423F1" w14:textId="77777777">
        <w:trPr>
          <w:trHeight w:val="90"/>
        </w:trPr>
        <w:tc>
          <w:tcPr>
            <w:tcW w:w="921" w:type="dxa"/>
            <w:vAlign w:val="center"/>
          </w:tcPr>
          <w:p w14:paraId="5FD9D51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w:t>
            </w:r>
          </w:p>
        </w:tc>
        <w:tc>
          <w:tcPr>
            <w:tcW w:w="2196" w:type="dxa"/>
            <w:vAlign w:val="center"/>
          </w:tcPr>
          <w:p w14:paraId="42D14BA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工程红线范围</w:t>
            </w:r>
          </w:p>
        </w:tc>
        <w:tc>
          <w:tcPr>
            <w:tcW w:w="1820" w:type="dxa"/>
            <w:vAlign w:val="center"/>
          </w:tcPr>
          <w:p w14:paraId="7250B74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hm</w:t>
            </w:r>
            <w:r>
              <w:rPr>
                <w:rFonts w:ascii="宋体" w:eastAsia="宋体" w:hAnsi="宋体" w:cs="宋体" w:hint="eastAsia"/>
                <w:sz w:val="21"/>
                <w:szCs w:val="21"/>
                <w:vertAlign w:val="superscript"/>
              </w:rPr>
              <w:t>2</w:t>
            </w:r>
          </w:p>
        </w:tc>
        <w:tc>
          <w:tcPr>
            <w:tcW w:w="2143" w:type="dxa"/>
            <w:vAlign w:val="center"/>
          </w:tcPr>
          <w:p w14:paraId="1D9549E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2540.75</w:t>
            </w:r>
          </w:p>
        </w:tc>
        <w:tc>
          <w:tcPr>
            <w:tcW w:w="1770" w:type="dxa"/>
            <w:vAlign w:val="center"/>
          </w:tcPr>
          <w:p w14:paraId="03404A6F"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18FB1C45" w14:textId="77777777">
        <w:tc>
          <w:tcPr>
            <w:tcW w:w="921" w:type="dxa"/>
            <w:vAlign w:val="center"/>
          </w:tcPr>
          <w:p w14:paraId="0693C76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w:t>
            </w:r>
          </w:p>
        </w:tc>
        <w:tc>
          <w:tcPr>
            <w:tcW w:w="2196" w:type="dxa"/>
            <w:vAlign w:val="center"/>
          </w:tcPr>
          <w:p w14:paraId="6E562FC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河道比降</w:t>
            </w:r>
          </w:p>
        </w:tc>
        <w:tc>
          <w:tcPr>
            <w:tcW w:w="1820" w:type="dxa"/>
            <w:vAlign w:val="center"/>
          </w:tcPr>
          <w:p w14:paraId="7B74ED2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w:t>
            </w:r>
          </w:p>
        </w:tc>
        <w:tc>
          <w:tcPr>
            <w:tcW w:w="2143" w:type="dxa"/>
            <w:vAlign w:val="center"/>
          </w:tcPr>
          <w:p w14:paraId="4FBB63D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0.5</w:t>
            </w:r>
          </w:p>
        </w:tc>
        <w:tc>
          <w:tcPr>
            <w:tcW w:w="1770" w:type="dxa"/>
            <w:vAlign w:val="center"/>
          </w:tcPr>
          <w:p w14:paraId="62F2D5A6"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6ED7012C" w14:textId="77777777">
        <w:trPr>
          <w:trHeight w:val="426"/>
        </w:trPr>
        <w:tc>
          <w:tcPr>
            <w:tcW w:w="921" w:type="dxa"/>
            <w:vAlign w:val="center"/>
          </w:tcPr>
          <w:p w14:paraId="74784A2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w:t>
            </w:r>
          </w:p>
        </w:tc>
        <w:tc>
          <w:tcPr>
            <w:tcW w:w="2196" w:type="dxa"/>
            <w:vAlign w:val="center"/>
          </w:tcPr>
          <w:p w14:paraId="45C2624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设计洪水标准</w:t>
            </w:r>
          </w:p>
        </w:tc>
        <w:tc>
          <w:tcPr>
            <w:tcW w:w="1820" w:type="dxa"/>
            <w:vAlign w:val="center"/>
          </w:tcPr>
          <w:p w14:paraId="4D415E5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年</w:t>
            </w:r>
          </w:p>
        </w:tc>
        <w:tc>
          <w:tcPr>
            <w:tcW w:w="2143" w:type="dxa"/>
            <w:vAlign w:val="center"/>
          </w:tcPr>
          <w:p w14:paraId="5FCDF97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50</w:t>
            </w:r>
          </w:p>
        </w:tc>
        <w:tc>
          <w:tcPr>
            <w:tcW w:w="1770" w:type="dxa"/>
            <w:vAlign w:val="center"/>
          </w:tcPr>
          <w:p w14:paraId="7BE72DD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w:t>
            </w:r>
          </w:p>
        </w:tc>
      </w:tr>
      <w:tr w:rsidR="005A1A44" w14:paraId="1D87E6F0" w14:textId="77777777">
        <w:tc>
          <w:tcPr>
            <w:tcW w:w="921" w:type="dxa"/>
            <w:vAlign w:val="center"/>
          </w:tcPr>
          <w:p w14:paraId="4954F44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二</w:t>
            </w:r>
          </w:p>
        </w:tc>
        <w:tc>
          <w:tcPr>
            <w:tcW w:w="2196" w:type="dxa"/>
            <w:vAlign w:val="center"/>
          </w:tcPr>
          <w:p w14:paraId="5B2C85B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地质</w:t>
            </w:r>
          </w:p>
        </w:tc>
        <w:tc>
          <w:tcPr>
            <w:tcW w:w="1820" w:type="dxa"/>
            <w:vAlign w:val="center"/>
          </w:tcPr>
          <w:p w14:paraId="561368BE"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143" w:type="dxa"/>
            <w:vAlign w:val="center"/>
          </w:tcPr>
          <w:p w14:paraId="41A62CFF"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770" w:type="dxa"/>
            <w:vAlign w:val="center"/>
          </w:tcPr>
          <w:p w14:paraId="1F1902AA"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1546D78A" w14:textId="77777777">
        <w:trPr>
          <w:trHeight w:val="317"/>
        </w:trPr>
        <w:tc>
          <w:tcPr>
            <w:tcW w:w="921" w:type="dxa"/>
            <w:vAlign w:val="center"/>
          </w:tcPr>
          <w:p w14:paraId="01B33AF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w:t>
            </w:r>
          </w:p>
        </w:tc>
        <w:tc>
          <w:tcPr>
            <w:tcW w:w="2196" w:type="dxa"/>
            <w:vAlign w:val="center"/>
          </w:tcPr>
          <w:p w14:paraId="53EABF6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基础地质</w:t>
            </w:r>
          </w:p>
        </w:tc>
        <w:tc>
          <w:tcPr>
            <w:tcW w:w="1820" w:type="dxa"/>
            <w:vAlign w:val="center"/>
          </w:tcPr>
          <w:p w14:paraId="6FBE5EF6"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143" w:type="dxa"/>
            <w:vAlign w:val="center"/>
          </w:tcPr>
          <w:p w14:paraId="754DF43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地下水埋深0～10m</w:t>
            </w:r>
          </w:p>
          <w:p w14:paraId="4A9E845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，主要地层岩性为卵石混合土层，</w:t>
            </w:r>
          </w:p>
        </w:tc>
        <w:tc>
          <w:tcPr>
            <w:tcW w:w="1770" w:type="dxa"/>
            <w:vAlign w:val="center"/>
          </w:tcPr>
          <w:p w14:paraId="3E4918BD"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62E17E06" w14:textId="77777777">
        <w:trPr>
          <w:trHeight w:val="534"/>
        </w:trPr>
        <w:tc>
          <w:tcPr>
            <w:tcW w:w="921" w:type="dxa"/>
            <w:vAlign w:val="center"/>
          </w:tcPr>
          <w:p w14:paraId="59C78A8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三</w:t>
            </w:r>
          </w:p>
        </w:tc>
        <w:tc>
          <w:tcPr>
            <w:tcW w:w="2196" w:type="dxa"/>
            <w:vAlign w:val="center"/>
          </w:tcPr>
          <w:p w14:paraId="571AE64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内容与规模</w:t>
            </w:r>
          </w:p>
        </w:tc>
        <w:tc>
          <w:tcPr>
            <w:tcW w:w="1820" w:type="dxa"/>
            <w:vAlign w:val="center"/>
          </w:tcPr>
          <w:p w14:paraId="3E017F06"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143" w:type="dxa"/>
            <w:vAlign w:val="center"/>
          </w:tcPr>
          <w:p w14:paraId="5A72D05C"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770" w:type="dxa"/>
            <w:vAlign w:val="center"/>
          </w:tcPr>
          <w:p w14:paraId="01B048B2"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0B67D566" w14:textId="77777777">
        <w:tc>
          <w:tcPr>
            <w:tcW w:w="921" w:type="dxa"/>
            <w:vAlign w:val="center"/>
          </w:tcPr>
          <w:p w14:paraId="7FAC903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w:t>
            </w:r>
          </w:p>
        </w:tc>
        <w:tc>
          <w:tcPr>
            <w:tcW w:w="2196" w:type="dxa"/>
            <w:vAlign w:val="center"/>
          </w:tcPr>
          <w:p w14:paraId="1A2544E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工程内容</w:t>
            </w:r>
          </w:p>
        </w:tc>
        <w:tc>
          <w:tcPr>
            <w:tcW w:w="1820" w:type="dxa"/>
            <w:vAlign w:val="center"/>
          </w:tcPr>
          <w:p w14:paraId="22D1314E"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143" w:type="dxa"/>
            <w:vAlign w:val="center"/>
          </w:tcPr>
          <w:p w14:paraId="4E5D399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堤防、河道疏浚、河岸景观</w:t>
            </w:r>
          </w:p>
        </w:tc>
        <w:tc>
          <w:tcPr>
            <w:tcW w:w="1770" w:type="dxa"/>
            <w:vAlign w:val="center"/>
          </w:tcPr>
          <w:p w14:paraId="6976BE1A"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22A0BD54" w14:textId="77777777">
        <w:tc>
          <w:tcPr>
            <w:tcW w:w="921" w:type="dxa"/>
            <w:vAlign w:val="center"/>
          </w:tcPr>
          <w:p w14:paraId="2972576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w:t>
            </w:r>
          </w:p>
        </w:tc>
        <w:tc>
          <w:tcPr>
            <w:tcW w:w="2196" w:type="dxa"/>
            <w:vAlign w:val="center"/>
          </w:tcPr>
          <w:p w14:paraId="228F46A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地震基本烈度</w:t>
            </w:r>
          </w:p>
        </w:tc>
        <w:tc>
          <w:tcPr>
            <w:tcW w:w="1820" w:type="dxa"/>
            <w:vAlign w:val="center"/>
          </w:tcPr>
          <w:p w14:paraId="6D97799E"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143" w:type="dxa"/>
            <w:vAlign w:val="center"/>
          </w:tcPr>
          <w:p w14:paraId="67219EA1"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Ⅶ度</w:t>
            </w:r>
          </w:p>
        </w:tc>
        <w:tc>
          <w:tcPr>
            <w:tcW w:w="1770" w:type="dxa"/>
            <w:vAlign w:val="center"/>
          </w:tcPr>
          <w:p w14:paraId="0FCF66A0"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63D1BDD6" w14:textId="77777777">
        <w:tc>
          <w:tcPr>
            <w:tcW w:w="921" w:type="dxa"/>
            <w:vAlign w:val="center"/>
          </w:tcPr>
          <w:p w14:paraId="0B8BF1A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w:t>
            </w:r>
          </w:p>
        </w:tc>
        <w:tc>
          <w:tcPr>
            <w:tcW w:w="2196" w:type="dxa"/>
            <w:vAlign w:val="center"/>
          </w:tcPr>
          <w:p w14:paraId="12C20E4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主要建筑物级别</w:t>
            </w:r>
          </w:p>
        </w:tc>
        <w:tc>
          <w:tcPr>
            <w:tcW w:w="1820" w:type="dxa"/>
            <w:vAlign w:val="center"/>
          </w:tcPr>
          <w:p w14:paraId="39AA6A4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级</w:t>
            </w:r>
          </w:p>
        </w:tc>
        <w:tc>
          <w:tcPr>
            <w:tcW w:w="2143" w:type="dxa"/>
            <w:vAlign w:val="center"/>
          </w:tcPr>
          <w:p w14:paraId="59BBC6E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Ⅱ等2级</w:t>
            </w:r>
          </w:p>
        </w:tc>
        <w:tc>
          <w:tcPr>
            <w:tcW w:w="1770" w:type="dxa"/>
            <w:vAlign w:val="center"/>
          </w:tcPr>
          <w:p w14:paraId="13CABD6D"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57AAFD9F" w14:textId="77777777">
        <w:tc>
          <w:tcPr>
            <w:tcW w:w="921" w:type="dxa"/>
            <w:vAlign w:val="center"/>
          </w:tcPr>
          <w:p w14:paraId="006CA04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4</w:t>
            </w:r>
          </w:p>
        </w:tc>
        <w:tc>
          <w:tcPr>
            <w:tcW w:w="2196" w:type="dxa"/>
            <w:vAlign w:val="center"/>
          </w:tcPr>
          <w:p w14:paraId="624D55A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堤防中心线长度</w:t>
            </w:r>
          </w:p>
        </w:tc>
        <w:tc>
          <w:tcPr>
            <w:tcW w:w="1820" w:type="dxa"/>
            <w:vAlign w:val="center"/>
          </w:tcPr>
          <w:p w14:paraId="4BDABDC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km</w:t>
            </w:r>
          </w:p>
        </w:tc>
        <w:tc>
          <w:tcPr>
            <w:tcW w:w="2143" w:type="dxa"/>
            <w:vAlign w:val="center"/>
          </w:tcPr>
          <w:p w14:paraId="21B0759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27.125</w:t>
            </w:r>
          </w:p>
        </w:tc>
        <w:tc>
          <w:tcPr>
            <w:tcW w:w="1770" w:type="dxa"/>
            <w:vAlign w:val="center"/>
          </w:tcPr>
          <w:p w14:paraId="099C991F"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290DF073" w14:textId="77777777">
        <w:tc>
          <w:tcPr>
            <w:tcW w:w="921" w:type="dxa"/>
            <w:vAlign w:val="center"/>
          </w:tcPr>
          <w:p w14:paraId="55D0A1E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5</w:t>
            </w:r>
          </w:p>
        </w:tc>
        <w:tc>
          <w:tcPr>
            <w:tcW w:w="2196" w:type="dxa"/>
            <w:vAlign w:val="center"/>
          </w:tcPr>
          <w:p w14:paraId="3FE0701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临时建筑物级别</w:t>
            </w:r>
          </w:p>
        </w:tc>
        <w:tc>
          <w:tcPr>
            <w:tcW w:w="1820" w:type="dxa"/>
            <w:vAlign w:val="center"/>
          </w:tcPr>
          <w:p w14:paraId="2038F34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级</w:t>
            </w:r>
          </w:p>
        </w:tc>
        <w:tc>
          <w:tcPr>
            <w:tcW w:w="2143" w:type="dxa"/>
            <w:vAlign w:val="center"/>
          </w:tcPr>
          <w:p w14:paraId="43D9CB3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4</w:t>
            </w:r>
          </w:p>
        </w:tc>
        <w:tc>
          <w:tcPr>
            <w:tcW w:w="1770" w:type="dxa"/>
            <w:vAlign w:val="center"/>
          </w:tcPr>
          <w:p w14:paraId="15564125"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0EB5F04D" w14:textId="77777777">
        <w:tc>
          <w:tcPr>
            <w:tcW w:w="921" w:type="dxa"/>
            <w:vAlign w:val="center"/>
          </w:tcPr>
          <w:p w14:paraId="16CE349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四</w:t>
            </w:r>
          </w:p>
        </w:tc>
        <w:tc>
          <w:tcPr>
            <w:tcW w:w="2196" w:type="dxa"/>
            <w:vAlign w:val="center"/>
          </w:tcPr>
          <w:p w14:paraId="7FC50D6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主要建筑物</w:t>
            </w:r>
          </w:p>
        </w:tc>
        <w:tc>
          <w:tcPr>
            <w:tcW w:w="1820" w:type="dxa"/>
            <w:vAlign w:val="center"/>
          </w:tcPr>
          <w:p w14:paraId="45A0F6BF"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143" w:type="dxa"/>
            <w:vAlign w:val="center"/>
          </w:tcPr>
          <w:p w14:paraId="4B26E9CF"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770" w:type="dxa"/>
            <w:vAlign w:val="center"/>
          </w:tcPr>
          <w:p w14:paraId="2EE47DAC"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5BCC67DB" w14:textId="77777777">
        <w:tc>
          <w:tcPr>
            <w:tcW w:w="921" w:type="dxa"/>
            <w:vAlign w:val="center"/>
          </w:tcPr>
          <w:p w14:paraId="74D0720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w:t>
            </w:r>
          </w:p>
        </w:tc>
        <w:tc>
          <w:tcPr>
            <w:tcW w:w="2196" w:type="dxa"/>
            <w:vAlign w:val="center"/>
          </w:tcPr>
          <w:p w14:paraId="7BB2FE8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河道治理总长度</w:t>
            </w:r>
          </w:p>
        </w:tc>
        <w:tc>
          <w:tcPr>
            <w:tcW w:w="1820" w:type="dxa"/>
            <w:vAlign w:val="center"/>
          </w:tcPr>
          <w:p w14:paraId="1CDC9E9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km</w:t>
            </w:r>
          </w:p>
        </w:tc>
        <w:tc>
          <w:tcPr>
            <w:tcW w:w="2143" w:type="dxa"/>
            <w:vAlign w:val="center"/>
          </w:tcPr>
          <w:p w14:paraId="56BC332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27.125</w:t>
            </w:r>
          </w:p>
        </w:tc>
        <w:tc>
          <w:tcPr>
            <w:tcW w:w="1770" w:type="dxa"/>
            <w:vAlign w:val="center"/>
          </w:tcPr>
          <w:p w14:paraId="0D0389DC"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1BDD509A" w14:textId="77777777">
        <w:tc>
          <w:tcPr>
            <w:tcW w:w="921" w:type="dxa"/>
            <w:vAlign w:val="center"/>
          </w:tcPr>
          <w:p w14:paraId="4BB9197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w:t>
            </w:r>
          </w:p>
        </w:tc>
        <w:tc>
          <w:tcPr>
            <w:tcW w:w="2196" w:type="dxa"/>
            <w:vAlign w:val="center"/>
          </w:tcPr>
          <w:p w14:paraId="1712F36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堤防护岸工程</w:t>
            </w:r>
          </w:p>
        </w:tc>
        <w:tc>
          <w:tcPr>
            <w:tcW w:w="1820" w:type="dxa"/>
            <w:vAlign w:val="center"/>
          </w:tcPr>
          <w:p w14:paraId="4D11667A"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143" w:type="dxa"/>
            <w:vAlign w:val="center"/>
          </w:tcPr>
          <w:p w14:paraId="2F9533E8"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770" w:type="dxa"/>
            <w:vAlign w:val="center"/>
          </w:tcPr>
          <w:p w14:paraId="09F5201B"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32E6881A" w14:textId="77777777">
        <w:trPr>
          <w:trHeight w:val="493"/>
        </w:trPr>
        <w:tc>
          <w:tcPr>
            <w:tcW w:w="921" w:type="dxa"/>
            <w:vAlign w:val="center"/>
          </w:tcPr>
          <w:p w14:paraId="1469DE8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2.1</w:t>
            </w:r>
          </w:p>
        </w:tc>
        <w:tc>
          <w:tcPr>
            <w:tcW w:w="2196" w:type="dxa"/>
            <w:vAlign w:val="center"/>
          </w:tcPr>
          <w:p w14:paraId="3C8B2F9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堤防总长度</w:t>
            </w:r>
          </w:p>
        </w:tc>
        <w:tc>
          <w:tcPr>
            <w:tcW w:w="1820" w:type="dxa"/>
            <w:vAlign w:val="center"/>
          </w:tcPr>
          <w:p w14:paraId="42AEB84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km</w:t>
            </w:r>
          </w:p>
        </w:tc>
        <w:tc>
          <w:tcPr>
            <w:tcW w:w="2143" w:type="dxa"/>
            <w:vAlign w:val="center"/>
          </w:tcPr>
          <w:p w14:paraId="43E093F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45.797</w:t>
            </w:r>
          </w:p>
        </w:tc>
        <w:tc>
          <w:tcPr>
            <w:tcW w:w="1770" w:type="dxa"/>
            <w:vAlign w:val="center"/>
          </w:tcPr>
          <w:p w14:paraId="19998DE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其中新建堤防18.605km</w:t>
            </w:r>
          </w:p>
        </w:tc>
      </w:tr>
      <w:tr w:rsidR="005A1A44" w14:paraId="779E2719" w14:textId="77777777">
        <w:tc>
          <w:tcPr>
            <w:tcW w:w="921" w:type="dxa"/>
            <w:vAlign w:val="center"/>
          </w:tcPr>
          <w:p w14:paraId="5100207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2.2</w:t>
            </w:r>
          </w:p>
        </w:tc>
        <w:tc>
          <w:tcPr>
            <w:tcW w:w="2196" w:type="dxa"/>
            <w:vAlign w:val="center"/>
          </w:tcPr>
          <w:p w14:paraId="0CEA58F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堤防型式</w:t>
            </w:r>
          </w:p>
        </w:tc>
        <w:tc>
          <w:tcPr>
            <w:tcW w:w="1820" w:type="dxa"/>
            <w:vAlign w:val="center"/>
          </w:tcPr>
          <w:p w14:paraId="1563A625"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143" w:type="dxa"/>
            <w:vAlign w:val="center"/>
          </w:tcPr>
          <w:p w14:paraId="2AE9859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土堤型式、混凝土面板</w:t>
            </w:r>
          </w:p>
        </w:tc>
        <w:tc>
          <w:tcPr>
            <w:tcW w:w="1770" w:type="dxa"/>
            <w:vAlign w:val="center"/>
          </w:tcPr>
          <w:p w14:paraId="5BB631B7"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263762C5" w14:textId="77777777">
        <w:tc>
          <w:tcPr>
            <w:tcW w:w="921" w:type="dxa"/>
            <w:vAlign w:val="center"/>
          </w:tcPr>
          <w:p w14:paraId="094EE05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w:t>
            </w:r>
          </w:p>
        </w:tc>
        <w:tc>
          <w:tcPr>
            <w:tcW w:w="2196" w:type="dxa"/>
            <w:vAlign w:val="center"/>
          </w:tcPr>
          <w:p w14:paraId="3200758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斑驳</w:t>
            </w:r>
          </w:p>
        </w:tc>
        <w:tc>
          <w:tcPr>
            <w:tcW w:w="1820" w:type="dxa"/>
            <w:vAlign w:val="center"/>
          </w:tcPr>
          <w:p w14:paraId="56AA2179"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143" w:type="dxa"/>
            <w:vAlign w:val="center"/>
          </w:tcPr>
          <w:p w14:paraId="57D2FFD7"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770" w:type="dxa"/>
            <w:vAlign w:val="center"/>
          </w:tcPr>
          <w:p w14:paraId="54ADAFA0"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50ADBDB7" w14:textId="77777777">
        <w:tc>
          <w:tcPr>
            <w:tcW w:w="921" w:type="dxa"/>
            <w:vAlign w:val="center"/>
          </w:tcPr>
          <w:p w14:paraId="35D4EAA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3.1</w:t>
            </w:r>
          </w:p>
        </w:tc>
        <w:tc>
          <w:tcPr>
            <w:tcW w:w="2196" w:type="dxa"/>
            <w:vAlign w:val="center"/>
          </w:tcPr>
          <w:p w14:paraId="443A95E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斑驳长度</w:t>
            </w:r>
          </w:p>
        </w:tc>
        <w:tc>
          <w:tcPr>
            <w:tcW w:w="1820" w:type="dxa"/>
            <w:vAlign w:val="center"/>
          </w:tcPr>
          <w:p w14:paraId="1696AB1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km</w:t>
            </w:r>
          </w:p>
        </w:tc>
        <w:tc>
          <w:tcPr>
            <w:tcW w:w="2143" w:type="dxa"/>
            <w:vAlign w:val="center"/>
          </w:tcPr>
          <w:p w14:paraId="2D2DA2B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4.674</w:t>
            </w:r>
          </w:p>
        </w:tc>
        <w:tc>
          <w:tcPr>
            <w:tcW w:w="1770" w:type="dxa"/>
            <w:vAlign w:val="center"/>
          </w:tcPr>
          <w:p w14:paraId="4AC708E9"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29FE43E2" w14:textId="77777777">
        <w:tc>
          <w:tcPr>
            <w:tcW w:w="921" w:type="dxa"/>
            <w:vAlign w:val="center"/>
          </w:tcPr>
          <w:p w14:paraId="345404F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3.2</w:t>
            </w:r>
          </w:p>
        </w:tc>
        <w:tc>
          <w:tcPr>
            <w:tcW w:w="2196" w:type="dxa"/>
            <w:vAlign w:val="center"/>
          </w:tcPr>
          <w:p w14:paraId="164FA91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斑驳型式</w:t>
            </w:r>
          </w:p>
        </w:tc>
        <w:tc>
          <w:tcPr>
            <w:tcW w:w="1820" w:type="dxa"/>
            <w:vAlign w:val="center"/>
          </w:tcPr>
          <w:p w14:paraId="091688A9"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143" w:type="dxa"/>
            <w:vAlign w:val="center"/>
          </w:tcPr>
          <w:p w14:paraId="408582C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多孔隙结构形式</w:t>
            </w:r>
          </w:p>
        </w:tc>
        <w:tc>
          <w:tcPr>
            <w:tcW w:w="1770" w:type="dxa"/>
            <w:vAlign w:val="center"/>
          </w:tcPr>
          <w:p w14:paraId="5CF7D048"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748F6CE4" w14:textId="77777777">
        <w:trPr>
          <w:trHeight w:val="139"/>
        </w:trPr>
        <w:tc>
          <w:tcPr>
            <w:tcW w:w="921" w:type="dxa"/>
            <w:vAlign w:val="center"/>
          </w:tcPr>
          <w:p w14:paraId="1A7EF3E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4</w:t>
            </w:r>
          </w:p>
        </w:tc>
        <w:tc>
          <w:tcPr>
            <w:tcW w:w="2196" w:type="dxa"/>
            <w:vAlign w:val="center"/>
          </w:tcPr>
          <w:p w14:paraId="135F53E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绿行慢道</w:t>
            </w:r>
          </w:p>
        </w:tc>
        <w:tc>
          <w:tcPr>
            <w:tcW w:w="1820" w:type="dxa"/>
            <w:vAlign w:val="center"/>
          </w:tcPr>
          <w:p w14:paraId="4B22E291"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143" w:type="dxa"/>
            <w:vAlign w:val="center"/>
          </w:tcPr>
          <w:p w14:paraId="145AB51D"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770" w:type="dxa"/>
            <w:vAlign w:val="center"/>
          </w:tcPr>
          <w:p w14:paraId="76E2C43E"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152BFE14" w14:textId="77777777">
        <w:trPr>
          <w:trHeight w:val="139"/>
        </w:trPr>
        <w:tc>
          <w:tcPr>
            <w:tcW w:w="921" w:type="dxa"/>
            <w:vAlign w:val="center"/>
          </w:tcPr>
          <w:p w14:paraId="3D51561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4.1</w:t>
            </w:r>
          </w:p>
        </w:tc>
        <w:tc>
          <w:tcPr>
            <w:tcW w:w="2196" w:type="dxa"/>
            <w:vAlign w:val="center"/>
          </w:tcPr>
          <w:p w14:paraId="7460CCE1"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长度</w:t>
            </w:r>
          </w:p>
        </w:tc>
        <w:tc>
          <w:tcPr>
            <w:tcW w:w="1820" w:type="dxa"/>
            <w:vAlign w:val="center"/>
          </w:tcPr>
          <w:p w14:paraId="40A0BEB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km</w:t>
            </w:r>
          </w:p>
        </w:tc>
        <w:tc>
          <w:tcPr>
            <w:tcW w:w="2143" w:type="dxa"/>
            <w:vAlign w:val="center"/>
          </w:tcPr>
          <w:p w14:paraId="71C21AD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27.4</w:t>
            </w:r>
          </w:p>
        </w:tc>
        <w:tc>
          <w:tcPr>
            <w:tcW w:w="1770" w:type="dxa"/>
            <w:vAlign w:val="center"/>
          </w:tcPr>
          <w:p w14:paraId="3E8BD30A"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45C65F45" w14:textId="77777777">
        <w:trPr>
          <w:trHeight w:val="139"/>
        </w:trPr>
        <w:tc>
          <w:tcPr>
            <w:tcW w:w="921" w:type="dxa"/>
            <w:vAlign w:val="center"/>
          </w:tcPr>
          <w:p w14:paraId="53BEF7C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4.2</w:t>
            </w:r>
          </w:p>
        </w:tc>
        <w:tc>
          <w:tcPr>
            <w:tcW w:w="2196" w:type="dxa"/>
            <w:vAlign w:val="center"/>
          </w:tcPr>
          <w:p w14:paraId="6034046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慢跑道宽</w:t>
            </w:r>
          </w:p>
        </w:tc>
        <w:tc>
          <w:tcPr>
            <w:tcW w:w="1820" w:type="dxa"/>
            <w:vAlign w:val="center"/>
          </w:tcPr>
          <w:p w14:paraId="4698BF7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m</w:t>
            </w:r>
          </w:p>
        </w:tc>
        <w:tc>
          <w:tcPr>
            <w:tcW w:w="2143" w:type="dxa"/>
            <w:vAlign w:val="center"/>
          </w:tcPr>
          <w:p w14:paraId="6CF674A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3.5</w:t>
            </w:r>
          </w:p>
        </w:tc>
        <w:tc>
          <w:tcPr>
            <w:tcW w:w="1770" w:type="dxa"/>
            <w:vAlign w:val="center"/>
          </w:tcPr>
          <w:p w14:paraId="45E6E405"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3FBD452E" w14:textId="77777777">
        <w:trPr>
          <w:trHeight w:val="139"/>
        </w:trPr>
        <w:tc>
          <w:tcPr>
            <w:tcW w:w="921" w:type="dxa"/>
            <w:vAlign w:val="center"/>
          </w:tcPr>
          <w:p w14:paraId="6641B08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4.3</w:t>
            </w:r>
          </w:p>
        </w:tc>
        <w:tc>
          <w:tcPr>
            <w:tcW w:w="2196" w:type="dxa"/>
            <w:vAlign w:val="center"/>
          </w:tcPr>
          <w:p w14:paraId="011E42C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慢行道宽度</w:t>
            </w:r>
          </w:p>
        </w:tc>
        <w:tc>
          <w:tcPr>
            <w:tcW w:w="1820" w:type="dxa"/>
            <w:vAlign w:val="center"/>
          </w:tcPr>
          <w:p w14:paraId="00F478F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m</w:t>
            </w:r>
          </w:p>
        </w:tc>
        <w:tc>
          <w:tcPr>
            <w:tcW w:w="2143" w:type="dxa"/>
            <w:vAlign w:val="center"/>
          </w:tcPr>
          <w:p w14:paraId="3DD0E60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2.0~3.5</w:t>
            </w:r>
          </w:p>
        </w:tc>
        <w:tc>
          <w:tcPr>
            <w:tcW w:w="1770" w:type="dxa"/>
            <w:vAlign w:val="center"/>
          </w:tcPr>
          <w:p w14:paraId="1214B700"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260120F6" w14:textId="77777777">
        <w:trPr>
          <w:trHeight w:val="221"/>
        </w:trPr>
        <w:tc>
          <w:tcPr>
            <w:tcW w:w="921" w:type="dxa"/>
            <w:vAlign w:val="center"/>
          </w:tcPr>
          <w:p w14:paraId="5B13C8C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5</w:t>
            </w:r>
          </w:p>
        </w:tc>
        <w:tc>
          <w:tcPr>
            <w:tcW w:w="2196" w:type="dxa"/>
            <w:vAlign w:val="center"/>
          </w:tcPr>
          <w:p w14:paraId="210B718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景观绿化面积</w:t>
            </w:r>
          </w:p>
        </w:tc>
        <w:tc>
          <w:tcPr>
            <w:tcW w:w="1820" w:type="dxa"/>
            <w:vAlign w:val="center"/>
          </w:tcPr>
          <w:p w14:paraId="4F0F616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hm</w:t>
            </w:r>
            <w:r>
              <w:rPr>
                <w:rFonts w:ascii="宋体" w:eastAsia="宋体" w:hAnsi="宋体" w:cs="宋体" w:hint="eastAsia"/>
                <w:sz w:val="21"/>
                <w:szCs w:val="21"/>
                <w:vertAlign w:val="superscript"/>
              </w:rPr>
              <w:t>2</w:t>
            </w:r>
          </w:p>
        </w:tc>
        <w:tc>
          <w:tcPr>
            <w:tcW w:w="2143" w:type="dxa"/>
            <w:vAlign w:val="center"/>
          </w:tcPr>
          <w:p w14:paraId="1C193F1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667.241</w:t>
            </w:r>
          </w:p>
        </w:tc>
        <w:tc>
          <w:tcPr>
            <w:tcW w:w="1770" w:type="dxa"/>
            <w:vAlign w:val="center"/>
          </w:tcPr>
          <w:p w14:paraId="0F96C49B"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3CEB632D" w14:textId="77777777">
        <w:tc>
          <w:tcPr>
            <w:tcW w:w="921" w:type="dxa"/>
            <w:vAlign w:val="center"/>
          </w:tcPr>
          <w:p w14:paraId="145A4F1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6</w:t>
            </w:r>
          </w:p>
        </w:tc>
        <w:tc>
          <w:tcPr>
            <w:tcW w:w="2196" w:type="dxa"/>
            <w:vAlign w:val="center"/>
          </w:tcPr>
          <w:p w14:paraId="6799EBE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临时建工程</w:t>
            </w:r>
          </w:p>
        </w:tc>
        <w:tc>
          <w:tcPr>
            <w:tcW w:w="1820" w:type="dxa"/>
            <w:vAlign w:val="center"/>
          </w:tcPr>
          <w:p w14:paraId="16FB7A4C"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143" w:type="dxa"/>
            <w:vAlign w:val="center"/>
          </w:tcPr>
          <w:p w14:paraId="488F81BC" w14:textId="77777777" w:rsidR="005A1A44" w:rsidRDefault="005A1A44">
            <w:pPr>
              <w:spacing w:line="240" w:lineRule="auto"/>
              <w:ind w:firstLineChars="0" w:firstLine="0"/>
              <w:jc w:val="center"/>
              <w:rPr>
                <w:rFonts w:ascii="宋体" w:eastAsia="宋体" w:hAnsi="宋体" w:cs="宋体" w:hint="eastAsia"/>
                <w:sz w:val="21"/>
                <w:szCs w:val="21"/>
              </w:rPr>
            </w:pPr>
          </w:p>
        </w:tc>
        <w:tc>
          <w:tcPr>
            <w:tcW w:w="1770" w:type="dxa"/>
            <w:vAlign w:val="center"/>
          </w:tcPr>
          <w:p w14:paraId="4470F81E"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12EFBEC0" w14:textId="77777777">
        <w:tc>
          <w:tcPr>
            <w:tcW w:w="921" w:type="dxa"/>
            <w:vAlign w:val="center"/>
          </w:tcPr>
          <w:p w14:paraId="2D488BB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6.1</w:t>
            </w:r>
          </w:p>
        </w:tc>
        <w:tc>
          <w:tcPr>
            <w:tcW w:w="2196" w:type="dxa"/>
            <w:vAlign w:val="center"/>
          </w:tcPr>
          <w:p w14:paraId="5325BC0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设计流量</w:t>
            </w:r>
          </w:p>
        </w:tc>
        <w:tc>
          <w:tcPr>
            <w:tcW w:w="1820" w:type="dxa"/>
            <w:vAlign w:val="center"/>
          </w:tcPr>
          <w:p w14:paraId="69AC629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m</w:t>
            </w:r>
            <w:r>
              <w:rPr>
                <w:rFonts w:ascii="宋体" w:eastAsia="宋体" w:hAnsi="宋体" w:cs="宋体" w:hint="eastAsia"/>
                <w:sz w:val="21"/>
                <w:szCs w:val="21"/>
                <w:vertAlign w:val="superscript"/>
              </w:rPr>
              <w:t>3</w:t>
            </w:r>
            <w:r>
              <w:rPr>
                <w:rFonts w:ascii="宋体" w:eastAsia="宋体" w:hAnsi="宋体" w:cs="宋体" w:hint="eastAsia"/>
                <w:sz w:val="21"/>
                <w:szCs w:val="21"/>
              </w:rPr>
              <w:t>/s</w:t>
            </w:r>
          </w:p>
        </w:tc>
        <w:tc>
          <w:tcPr>
            <w:tcW w:w="2143" w:type="dxa"/>
            <w:vAlign w:val="center"/>
          </w:tcPr>
          <w:p w14:paraId="154F1E3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43.6</w:t>
            </w:r>
          </w:p>
        </w:tc>
        <w:tc>
          <w:tcPr>
            <w:tcW w:w="1770" w:type="dxa"/>
            <w:vAlign w:val="center"/>
          </w:tcPr>
          <w:p w14:paraId="1746D1EA"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6434F8B1" w14:textId="77777777">
        <w:tc>
          <w:tcPr>
            <w:tcW w:w="921" w:type="dxa"/>
            <w:vAlign w:val="center"/>
          </w:tcPr>
          <w:p w14:paraId="12757CD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6.2</w:t>
            </w:r>
          </w:p>
        </w:tc>
        <w:tc>
          <w:tcPr>
            <w:tcW w:w="2196" w:type="dxa"/>
            <w:vAlign w:val="center"/>
          </w:tcPr>
          <w:p w14:paraId="4042A9E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围堰高度</w:t>
            </w:r>
          </w:p>
        </w:tc>
        <w:tc>
          <w:tcPr>
            <w:tcW w:w="1820" w:type="dxa"/>
            <w:vAlign w:val="center"/>
          </w:tcPr>
          <w:p w14:paraId="587C06E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m</w:t>
            </w:r>
          </w:p>
        </w:tc>
        <w:tc>
          <w:tcPr>
            <w:tcW w:w="2143" w:type="dxa"/>
            <w:vAlign w:val="center"/>
          </w:tcPr>
          <w:p w14:paraId="2922013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1.5</w:t>
            </w:r>
          </w:p>
        </w:tc>
        <w:tc>
          <w:tcPr>
            <w:tcW w:w="1770" w:type="dxa"/>
            <w:vAlign w:val="center"/>
          </w:tcPr>
          <w:p w14:paraId="1896973F"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0195BA96" w14:textId="77777777">
        <w:tc>
          <w:tcPr>
            <w:tcW w:w="921" w:type="dxa"/>
            <w:vAlign w:val="center"/>
          </w:tcPr>
          <w:p w14:paraId="5F358FF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6.3</w:t>
            </w:r>
          </w:p>
        </w:tc>
        <w:tc>
          <w:tcPr>
            <w:tcW w:w="2196" w:type="dxa"/>
            <w:vAlign w:val="center"/>
          </w:tcPr>
          <w:p w14:paraId="24E0E5A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顶宽</w:t>
            </w:r>
          </w:p>
        </w:tc>
        <w:tc>
          <w:tcPr>
            <w:tcW w:w="1820" w:type="dxa"/>
            <w:vAlign w:val="center"/>
          </w:tcPr>
          <w:p w14:paraId="62D5FE5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m</w:t>
            </w:r>
          </w:p>
        </w:tc>
        <w:tc>
          <w:tcPr>
            <w:tcW w:w="2143" w:type="dxa"/>
            <w:vAlign w:val="center"/>
          </w:tcPr>
          <w:p w14:paraId="468C54C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2.0</w:t>
            </w:r>
          </w:p>
        </w:tc>
        <w:tc>
          <w:tcPr>
            <w:tcW w:w="1770" w:type="dxa"/>
            <w:vAlign w:val="center"/>
          </w:tcPr>
          <w:p w14:paraId="109D676F" w14:textId="77777777" w:rsidR="005A1A44" w:rsidRDefault="005A1A44">
            <w:pPr>
              <w:spacing w:line="240" w:lineRule="auto"/>
              <w:ind w:firstLineChars="0" w:firstLine="0"/>
              <w:jc w:val="center"/>
              <w:rPr>
                <w:rFonts w:ascii="宋体" w:eastAsia="宋体" w:hAnsi="宋体" w:cs="宋体" w:hint="eastAsia"/>
                <w:sz w:val="21"/>
                <w:szCs w:val="21"/>
              </w:rPr>
            </w:pPr>
          </w:p>
        </w:tc>
      </w:tr>
    </w:tbl>
    <w:p w14:paraId="6823B4E0" w14:textId="77777777" w:rsidR="005A1A44" w:rsidRDefault="0008059E">
      <w:pPr>
        <w:pStyle w:val="3"/>
        <w:numPr>
          <w:ilvl w:val="2"/>
          <w:numId w:val="2"/>
        </w:numPr>
      </w:pPr>
      <w:r>
        <w:rPr>
          <w:rFonts w:hint="eastAsia"/>
        </w:rPr>
        <w:lastRenderedPageBreak/>
        <w:t>公用辅助工程</w:t>
      </w:r>
    </w:p>
    <w:p w14:paraId="3CDEF1E8" w14:textId="77777777" w:rsidR="005A1A44" w:rsidRDefault="0008059E">
      <w:pPr>
        <w:pStyle w:val="4"/>
        <w:numPr>
          <w:ilvl w:val="3"/>
          <w:numId w:val="2"/>
        </w:numPr>
      </w:pPr>
      <w:r>
        <w:rPr>
          <w:rFonts w:hint="eastAsia"/>
        </w:rPr>
        <w:t xml:space="preserve"> </w:t>
      </w:r>
      <w:r>
        <w:rPr>
          <w:rFonts w:hint="eastAsia"/>
        </w:rPr>
        <w:t>电力工程</w:t>
      </w:r>
    </w:p>
    <w:p w14:paraId="4FF3323D" w14:textId="77777777" w:rsidR="005A1A44" w:rsidRDefault="0008059E">
      <w:pPr>
        <w:ind w:firstLine="480"/>
      </w:pPr>
      <w:r>
        <w:rPr>
          <w:rFonts w:hint="eastAsia"/>
        </w:rPr>
        <w:t>工程施工期间的机电设备、照明用电估算总容量约为</w:t>
      </w:r>
      <w:r>
        <w:rPr>
          <w:rFonts w:hint="eastAsia"/>
        </w:rPr>
        <w:t>120KW</w:t>
      </w:r>
      <w:r>
        <w:rPr>
          <w:rFonts w:hint="eastAsia"/>
        </w:rPr>
        <w:t>，总用电量约为</w:t>
      </w:r>
      <w:r>
        <w:rPr>
          <w:rFonts w:hint="eastAsia"/>
        </w:rPr>
        <w:t xml:space="preserve">63.07 </w:t>
      </w:r>
      <w:r>
        <w:rPr>
          <w:rFonts w:hint="eastAsia"/>
        </w:rPr>
        <w:t>万</w:t>
      </w:r>
      <w:r>
        <w:rPr>
          <w:rFonts w:hint="eastAsia"/>
        </w:rPr>
        <w:t xml:space="preserve"> kWh</w:t>
      </w:r>
      <w:r>
        <w:rPr>
          <w:rFonts w:hint="eastAsia"/>
        </w:rPr>
        <w:t>；运营期用电量项目年耗电量为</w:t>
      </w:r>
      <w:r>
        <w:rPr>
          <w:rFonts w:hint="eastAsia"/>
        </w:rPr>
        <w:t xml:space="preserve"> 87.60 </w:t>
      </w:r>
      <w:r>
        <w:rPr>
          <w:rFonts w:hint="eastAsia"/>
        </w:rPr>
        <w:t>万</w:t>
      </w:r>
      <w:r>
        <w:rPr>
          <w:rFonts w:hint="eastAsia"/>
        </w:rPr>
        <w:t xml:space="preserve"> kWh</w:t>
      </w:r>
      <w:r>
        <w:rPr>
          <w:rFonts w:hint="eastAsia"/>
        </w:rPr>
        <w:t>。</w:t>
      </w:r>
    </w:p>
    <w:p w14:paraId="3FDB29A6" w14:textId="77777777" w:rsidR="005A1A44" w:rsidRDefault="0008059E">
      <w:pPr>
        <w:ind w:firstLine="480"/>
      </w:pPr>
      <w:r>
        <w:rPr>
          <w:rFonts w:hint="eastAsia"/>
        </w:rPr>
        <w:t>（</w:t>
      </w:r>
      <w:r>
        <w:rPr>
          <w:rFonts w:hint="eastAsia"/>
        </w:rPr>
        <w:t>1</w:t>
      </w:r>
      <w:r>
        <w:rPr>
          <w:rFonts w:hint="eastAsia"/>
        </w:rPr>
        <w:t>）以河道沿路两岸主干道为主线引入供电线，并配置总开关和分段控制开关，河道沿路供电电缆采用地下敷设，可敷设在道路人行道下或路旁绿地内。</w:t>
      </w:r>
      <w:r>
        <w:rPr>
          <w:rFonts w:hint="eastAsia"/>
        </w:rPr>
        <w:t xml:space="preserve">10KV </w:t>
      </w:r>
      <w:r>
        <w:rPr>
          <w:rFonts w:hint="eastAsia"/>
        </w:rPr>
        <w:t>电缆可采用沟槽或电缆沟式敷设，</w:t>
      </w:r>
      <w:r>
        <w:rPr>
          <w:rFonts w:hint="eastAsia"/>
        </w:rPr>
        <w:t xml:space="preserve">10KV </w:t>
      </w:r>
      <w:r>
        <w:rPr>
          <w:rFonts w:hint="eastAsia"/>
        </w:rPr>
        <w:t>电缆以直埋设为主。</w:t>
      </w:r>
    </w:p>
    <w:p w14:paraId="55D996D3" w14:textId="77777777" w:rsidR="005A1A44" w:rsidRDefault="0008059E">
      <w:pPr>
        <w:ind w:firstLine="480"/>
      </w:pPr>
      <w:r>
        <w:rPr>
          <w:rFonts w:hint="eastAsia"/>
        </w:rPr>
        <w:t>（</w:t>
      </w:r>
      <w:r>
        <w:rPr>
          <w:rFonts w:hint="eastAsia"/>
        </w:rPr>
        <w:t>2</w:t>
      </w:r>
      <w:r>
        <w:rPr>
          <w:rFonts w:hint="eastAsia"/>
        </w:rPr>
        <w:t>）路灯和广场照明，可采用专线供电、分段控制，必要时，可设置室外箱式变电所，每座容量不大于</w:t>
      </w:r>
      <w:r>
        <w:rPr>
          <w:rFonts w:hint="eastAsia"/>
        </w:rPr>
        <w:t xml:space="preserve"> 50KVA</w:t>
      </w:r>
      <w:r>
        <w:rPr>
          <w:rFonts w:hint="eastAsia"/>
        </w:rPr>
        <w:t>。路灯线路采用套管埋地敷设。主要景区道路采用</w:t>
      </w:r>
      <w:r>
        <w:rPr>
          <w:rFonts w:hint="eastAsia"/>
        </w:rPr>
        <w:t xml:space="preserve"> 3.5m </w:t>
      </w:r>
      <w:r>
        <w:rPr>
          <w:rFonts w:hint="eastAsia"/>
        </w:rPr>
        <w:t>高传统庭院灯，安装间距</w:t>
      </w:r>
      <w:r>
        <w:rPr>
          <w:rFonts w:hint="eastAsia"/>
        </w:rPr>
        <w:t xml:space="preserve"> 25m </w:t>
      </w:r>
      <w:r>
        <w:rPr>
          <w:rFonts w:hint="eastAsia"/>
        </w:rPr>
        <w:t>左右，光源为高压钠灯；步行道采用</w:t>
      </w:r>
      <w:r>
        <w:rPr>
          <w:rFonts w:hint="eastAsia"/>
        </w:rPr>
        <w:t xml:space="preserve"> 0.5-1.0 </w:t>
      </w:r>
      <w:r>
        <w:rPr>
          <w:rFonts w:hint="eastAsia"/>
        </w:rPr>
        <w:t>高草坪灯，安装间距</w:t>
      </w:r>
      <w:r>
        <w:rPr>
          <w:rFonts w:hint="eastAsia"/>
        </w:rPr>
        <w:t xml:space="preserve"> 6m </w:t>
      </w:r>
      <w:r>
        <w:rPr>
          <w:rFonts w:hint="eastAsia"/>
        </w:rPr>
        <w:t>左右，光源为节能灯管；在各人流集中的场所，设高杆投光灯，照射道路广场，以保证游人夜晚游玩时所需要的照明；主要广场照明可采用高杆钠灯照明，照度达到</w:t>
      </w:r>
      <w:r>
        <w:rPr>
          <w:rFonts w:hint="eastAsia"/>
        </w:rPr>
        <w:t xml:space="preserve"> 40 </w:t>
      </w:r>
      <w:r>
        <w:rPr>
          <w:rFonts w:hint="eastAsia"/>
        </w:rPr>
        <w:t>勒克司，停车场和路灯照度达到</w:t>
      </w:r>
      <w:r>
        <w:rPr>
          <w:rFonts w:hint="eastAsia"/>
        </w:rPr>
        <w:t xml:space="preserve"> 15</w:t>
      </w:r>
      <w:r>
        <w:rPr>
          <w:rFonts w:hint="eastAsia"/>
        </w:rPr>
        <w:t>—</w:t>
      </w:r>
      <w:r>
        <w:rPr>
          <w:rFonts w:hint="eastAsia"/>
        </w:rPr>
        <w:t xml:space="preserve">20 </w:t>
      </w:r>
      <w:r>
        <w:rPr>
          <w:rFonts w:hint="eastAsia"/>
        </w:rPr>
        <w:t>勒克司。道路及环境照明采用手动和时间两种控制方式，并可按照不同的照明种类、用途分别控制。</w:t>
      </w:r>
    </w:p>
    <w:p w14:paraId="177C0E79" w14:textId="77777777" w:rsidR="005A1A44" w:rsidRDefault="0008059E">
      <w:pPr>
        <w:ind w:firstLine="480"/>
      </w:pPr>
      <w:r>
        <w:rPr>
          <w:rFonts w:hint="eastAsia"/>
        </w:rPr>
        <w:t>（</w:t>
      </w:r>
      <w:r>
        <w:rPr>
          <w:rFonts w:hint="eastAsia"/>
        </w:rPr>
        <w:t>3</w:t>
      </w:r>
      <w:r>
        <w:rPr>
          <w:rFonts w:hint="eastAsia"/>
        </w:rPr>
        <w:t>）景观照明及配电负荷等级按三级负荷供电，就近从小区箱变引来</w:t>
      </w:r>
      <w:r>
        <w:rPr>
          <w:rFonts w:hint="eastAsia"/>
        </w:rPr>
        <w:t>220/380V</w:t>
      </w:r>
      <w:r>
        <w:rPr>
          <w:rFonts w:hint="eastAsia"/>
        </w:rPr>
        <w:t>电源，供给景观照明负荷用电，进线电缆直接接入配电室的预留开关，景观照明负荷用电在景观配电箱内设机械表计量。低压配电系统的接地形式为</w:t>
      </w:r>
      <w:r>
        <w:rPr>
          <w:rFonts w:hint="eastAsia"/>
        </w:rPr>
        <w:t>TN-S</w:t>
      </w:r>
      <w:r>
        <w:rPr>
          <w:rFonts w:hint="eastAsia"/>
        </w:rPr>
        <w:t>系统。景观配电干线和照明回路选用</w:t>
      </w:r>
      <w:r>
        <w:rPr>
          <w:rFonts w:hint="eastAsia"/>
        </w:rPr>
        <w:t>YJV-1kv</w:t>
      </w:r>
      <w:r>
        <w:rPr>
          <w:rFonts w:hint="eastAsia"/>
        </w:rPr>
        <w:t>交联聚氯乙烯绝缘电力电缆穿塑料管敷设。</w:t>
      </w:r>
    </w:p>
    <w:p w14:paraId="0D43E810" w14:textId="77777777" w:rsidR="005A1A44" w:rsidRDefault="0008059E">
      <w:pPr>
        <w:pStyle w:val="4"/>
        <w:numPr>
          <w:ilvl w:val="3"/>
          <w:numId w:val="2"/>
        </w:numPr>
      </w:pPr>
      <w:r>
        <w:rPr>
          <w:rFonts w:hint="eastAsia"/>
        </w:rPr>
        <w:t xml:space="preserve"> </w:t>
      </w:r>
      <w:r>
        <w:rPr>
          <w:rFonts w:hint="eastAsia"/>
        </w:rPr>
        <w:t>电讯系统</w:t>
      </w:r>
    </w:p>
    <w:p w14:paraId="012A78D2" w14:textId="77777777" w:rsidR="005A1A44" w:rsidRDefault="0008059E">
      <w:pPr>
        <w:ind w:firstLine="480"/>
      </w:pPr>
      <w:r>
        <w:rPr>
          <w:rFonts w:hint="eastAsia"/>
        </w:rPr>
        <w:t>河道沿路景区采用交接箱、主干市话线用电缆管道，配支线用市话电缆直埋地下。区内通信线路采用全塑通讯电缆，穿厚壁难燃</w:t>
      </w:r>
      <w:r>
        <w:rPr>
          <w:rFonts w:hint="eastAsia"/>
        </w:rPr>
        <w:t xml:space="preserve"> PVC </w:t>
      </w:r>
      <w:r>
        <w:rPr>
          <w:rFonts w:hint="eastAsia"/>
        </w:rPr>
        <w:t>管埋地暗敷。</w:t>
      </w:r>
    </w:p>
    <w:p w14:paraId="5569BCF2" w14:textId="77777777" w:rsidR="005A1A44" w:rsidRDefault="0008059E">
      <w:pPr>
        <w:pStyle w:val="4"/>
        <w:numPr>
          <w:ilvl w:val="3"/>
          <w:numId w:val="2"/>
        </w:numPr>
      </w:pPr>
      <w:r>
        <w:rPr>
          <w:rFonts w:hint="eastAsia"/>
        </w:rPr>
        <w:lastRenderedPageBreak/>
        <w:t xml:space="preserve"> </w:t>
      </w:r>
      <w:r>
        <w:rPr>
          <w:rFonts w:hint="eastAsia"/>
        </w:rPr>
        <w:t>给水工程</w:t>
      </w:r>
    </w:p>
    <w:p w14:paraId="548273A5" w14:textId="77777777" w:rsidR="005A1A44" w:rsidRDefault="0008059E">
      <w:pPr>
        <w:ind w:firstLine="480"/>
      </w:pPr>
      <w:r>
        <w:rPr>
          <w:rFonts w:hint="eastAsia"/>
        </w:rPr>
        <w:t>（</w:t>
      </w:r>
      <w:r>
        <w:rPr>
          <w:rFonts w:hint="eastAsia"/>
        </w:rPr>
        <w:t>1</w:t>
      </w:r>
      <w:r>
        <w:rPr>
          <w:rFonts w:hint="eastAsia"/>
        </w:rPr>
        <w:t>）供水工程</w:t>
      </w:r>
    </w:p>
    <w:p w14:paraId="2B9B5D2E" w14:textId="77777777" w:rsidR="005A1A44" w:rsidRDefault="0008059E">
      <w:pPr>
        <w:ind w:firstLine="480"/>
      </w:pPr>
      <w:r>
        <w:rPr>
          <w:rFonts w:hint="eastAsia"/>
        </w:rPr>
        <w:t>该项目运营期用水水源取自地下水（自备井），用于项目绿化景观用水，采用喷淋形式灌溉，地下含水量满足项目绿化景观用水需求。</w:t>
      </w:r>
    </w:p>
    <w:p w14:paraId="02527832" w14:textId="77777777" w:rsidR="005A1A44" w:rsidRDefault="0008059E">
      <w:pPr>
        <w:pStyle w:val="Char"/>
        <w:ind w:firstLine="480"/>
      </w:pPr>
      <w:r>
        <w:rPr>
          <w:rFonts w:asciiTheme="minorHAnsi" w:hAnsiTheme="minorHAnsi" w:hint="eastAsia"/>
          <w:b w:val="0"/>
          <w:sz w:val="24"/>
          <w:szCs w:val="24"/>
        </w:rPr>
        <w:t>施工期生产用水水源为玉龙喀什河河水，工人饮用水水源为外购。</w:t>
      </w:r>
    </w:p>
    <w:p w14:paraId="30D9B868" w14:textId="77777777" w:rsidR="005A1A44" w:rsidRDefault="0008059E">
      <w:pPr>
        <w:ind w:firstLine="480"/>
      </w:pPr>
      <w:r>
        <w:rPr>
          <w:rFonts w:hint="eastAsia"/>
        </w:rPr>
        <w:t>（</w:t>
      </w:r>
      <w:r>
        <w:rPr>
          <w:rFonts w:hint="eastAsia"/>
        </w:rPr>
        <w:t>2</w:t>
      </w:r>
      <w:r>
        <w:rPr>
          <w:rFonts w:hint="eastAsia"/>
        </w:rPr>
        <w:t>）用水量估算</w:t>
      </w:r>
    </w:p>
    <w:p w14:paraId="2B844800" w14:textId="77777777" w:rsidR="005A1A44" w:rsidRDefault="0008059E">
      <w:pPr>
        <w:ind w:firstLine="480"/>
      </w:pPr>
      <w:r>
        <w:rPr>
          <w:rFonts w:hint="eastAsia"/>
        </w:rPr>
        <w:t>施工期用水量——项目施工期用水主要是施工人员用水及施工用水，用水量按</w:t>
      </w:r>
      <w:r>
        <w:rPr>
          <w:rFonts w:hint="eastAsia"/>
        </w:rPr>
        <w:t>100.0m</w:t>
      </w:r>
      <w:r>
        <w:rPr>
          <w:rFonts w:hint="eastAsia"/>
        </w:rPr>
        <w:t>³</w:t>
      </w:r>
      <w:r>
        <w:rPr>
          <w:rFonts w:hint="eastAsia"/>
        </w:rPr>
        <w:t xml:space="preserve">/d </w:t>
      </w:r>
      <w:r>
        <w:rPr>
          <w:rFonts w:hint="eastAsia"/>
        </w:rPr>
        <w:t>计算，其中生活用水</w:t>
      </w:r>
      <w:r>
        <w:rPr>
          <w:rFonts w:hint="eastAsia"/>
        </w:rPr>
        <w:t>26.4m</w:t>
      </w:r>
      <w:r>
        <w:rPr>
          <w:rFonts w:hint="eastAsia"/>
        </w:rPr>
        <w:t>³</w:t>
      </w:r>
      <w:r>
        <w:rPr>
          <w:rFonts w:hint="eastAsia"/>
        </w:rPr>
        <w:t>/d</w:t>
      </w:r>
      <w:r>
        <w:rPr>
          <w:rFonts w:hint="eastAsia"/>
        </w:rPr>
        <w:t>，生产用水量</w:t>
      </w:r>
      <w:r>
        <w:rPr>
          <w:rFonts w:hint="eastAsia"/>
        </w:rPr>
        <w:t>73.6m</w:t>
      </w:r>
      <w:r>
        <w:rPr>
          <w:rFonts w:hint="eastAsia"/>
        </w:rPr>
        <w:t>³</w:t>
      </w:r>
      <w:r>
        <w:rPr>
          <w:rFonts w:hint="eastAsia"/>
        </w:rPr>
        <w:t>/d</w:t>
      </w:r>
      <w:r>
        <w:rPr>
          <w:rFonts w:hint="eastAsia"/>
        </w:rPr>
        <w:t>，则该项目年用水量约为</w:t>
      </w:r>
      <w:r>
        <w:rPr>
          <w:rFonts w:hint="eastAsia"/>
        </w:rPr>
        <w:t>36500m</w:t>
      </w:r>
      <w:r>
        <w:rPr>
          <w:rFonts w:hint="eastAsia"/>
          <w:vertAlign w:val="superscript"/>
        </w:rPr>
        <w:t>3</w:t>
      </w:r>
      <w:r>
        <w:rPr>
          <w:rFonts w:hint="eastAsia"/>
        </w:rPr>
        <w:t>/a</w:t>
      </w:r>
      <w:r>
        <w:rPr>
          <w:rFonts w:hint="eastAsia"/>
        </w:rPr>
        <w:t>。</w:t>
      </w:r>
    </w:p>
    <w:p w14:paraId="0CCAE6CB" w14:textId="77777777" w:rsidR="005A1A44" w:rsidRDefault="0008059E">
      <w:pPr>
        <w:ind w:firstLine="480"/>
      </w:pPr>
      <w:r>
        <w:rPr>
          <w:rFonts w:hint="eastAsia"/>
        </w:rPr>
        <w:t>（</w:t>
      </w:r>
      <w:r>
        <w:rPr>
          <w:rFonts w:hint="eastAsia"/>
        </w:rPr>
        <w:t>3</w:t>
      </w:r>
      <w:r>
        <w:rPr>
          <w:rFonts w:hint="eastAsia"/>
        </w:rPr>
        <w:t>）运营期用水量</w:t>
      </w:r>
    </w:p>
    <w:p w14:paraId="5F04B576" w14:textId="77777777" w:rsidR="005A1A44" w:rsidRDefault="0008059E">
      <w:pPr>
        <w:ind w:firstLine="480"/>
      </w:pPr>
      <w:r>
        <w:rPr>
          <w:rFonts w:hint="eastAsia"/>
        </w:rPr>
        <w:t>结合《室外给水设计规范（</w:t>
      </w:r>
      <w:r>
        <w:rPr>
          <w:rFonts w:hint="eastAsia"/>
        </w:rPr>
        <w:t>GB50013-2017</w:t>
      </w:r>
      <w:r>
        <w:rPr>
          <w:rFonts w:hint="eastAsia"/>
        </w:rPr>
        <w:t>）》</w:t>
      </w:r>
      <w:r>
        <w:rPr>
          <w:rFonts w:hint="eastAsia"/>
        </w:rPr>
        <w:t xml:space="preserve">2014 </w:t>
      </w:r>
      <w:r>
        <w:rPr>
          <w:rFonts w:hint="eastAsia"/>
        </w:rPr>
        <w:t>年版，浇洒绿化用水单位浇洒面积用水量为</w:t>
      </w:r>
      <w:r>
        <w:rPr>
          <w:rFonts w:hint="eastAsia"/>
        </w:rPr>
        <w:t xml:space="preserve"> 1.0~3.0L/</w:t>
      </w:r>
      <w:r>
        <w:rPr>
          <w:rFonts w:hint="eastAsia"/>
        </w:rPr>
        <w:t>㎡·</w:t>
      </w:r>
      <w:r>
        <w:rPr>
          <w:rFonts w:hint="eastAsia"/>
        </w:rPr>
        <w:t>d</w:t>
      </w:r>
      <w:r>
        <w:rPr>
          <w:rFonts w:hint="eastAsia"/>
        </w:rPr>
        <w:t>。本项目绿地面积</w:t>
      </w:r>
      <w:r>
        <w:rPr>
          <w:rFonts w:hint="eastAsia"/>
        </w:rPr>
        <w:t xml:space="preserve"> 6672410 </w:t>
      </w:r>
      <w:r>
        <w:rPr>
          <w:rFonts w:hint="eastAsia"/>
        </w:rPr>
        <w:t>平方米，单位用水量取</w:t>
      </w:r>
      <w:r>
        <w:rPr>
          <w:rFonts w:hint="eastAsia"/>
        </w:rPr>
        <w:t>1.5L/</w:t>
      </w:r>
      <w:r>
        <w:rPr>
          <w:rFonts w:hint="eastAsia"/>
        </w:rPr>
        <w:t>㎡·</w:t>
      </w:r>
      <w:r>
        <w:rPr>
          <w:rFonts w:hint="eastAsia"/>
        </w:rPr>
        <w:t>d</w:t>
      </w:r>
      <w:r>
        <w:rPr>
          <w:rFonts w:hint="eastAsia"/>
        </w:rPr>
        <w:t>，年用水时间</w:t>
      </w:r>
      <w:r>
        <w:rPr>
          <w:rFonts w:hint="eastAsia"/>
        </w:rPr>
        <w:t xml:space="preserve">90 </w:t>
      </w:r>
      <w:r>
        <w:rPr>
          <w:rFonts w:hint="eastAsia"/>
        </w:rPr>
        <w:t>天，则年耗水量为</w:t>
      </w:r>
      <w:r>
        <w:rPr>
          <w:rFonts w:hint="eastAsia"/>
        </w:rPr>
        <w:t xml:space="preserve"> 90.08</w:t>
      </w:r>
      <w:r>
        <w:rPr>
          <w:rFonts w:hint="eastAsia"/>
        </w:rPr>
        <w:t>万吨。常水压大于</w:t>
      </w:r>
      <w:r>
        <w:rPr>
          <w:rFonts w:hint="eastAsia"/>
        </w:rPr>
        <w:t>200KPa</w:t>
      </w:r>
      <w:r>
        <w:rPr>
          <w:rFonts w:hint="eastAsia"/>
        </w:rPr>
        <w:t>，利用玉龙喀什河引水和中水供给绿化浇灌用水。</w:t>
      </w:r>
    </w:p>
    <w:p w14:paraId="52B26727" w14:textId="77777777" w:rsidR="005A1A44" w:rsidRDefault="0008059E">
      <w:pPr>
        <w:pStyle w:val="4"/>
        <w:numPr>
          <w:ilvl w:val="3"/>
          <w:numId w:val="2"/>
        </w:numPr>
      </w:pPr>
      <w:r>
        <w:rPr>
          <w:rFonts w:hint="eastAsia"/>
        </w:rPr>
        <w:t xml:space="preserve"> </w:t>
      </w:r>
      <w:r>
        <w:rPr>
          <w:rFonts w:hint="eastAsia"/>
        </w:rPr>
        <w:t>排水工程</w:t>
      </w:r>
    </w:p>
    <w:p w14:paraId="212C239A" w14:textId="77777777" w:rsidR="005A1A44" w:rsidRDefault="0008059E">
      <w:pPr>
        <w:ind w:firstLine="480"/>
      </w:pPr>
      <w:r>
        <w:rPr>
          <w:rFonts w:hint="eastAsia"/>
        </w:rPr>
        <w:t>采用雨水口收集雨水并最终排到市政雨水井。给水管网采用</w:t>
      </w:r>
      <w:r>
        <w:rPr>
          <w:rFonts w:hint="eastAsia"/>
        </w:rPr>
        <w:t>PPR</w:t>
      </w:r>
      <w:r>
        <w:rPr>
          <w:rFonts w:hint="eastAsia"/>
        </w:rPr>
        <w:t>管，热熔连接；排水管道采用</w:t>
      </w:r>
      <w:r>
        <w:rPr>
          <w:rFonts w:hint="eastAsia"/>
        </w:rPr>
        <w:t>HDPE</w:t>
      </w:r>
      <w:r>
        <w:rPr>
          <w:rFonts w:hint="eastAsia"/>
        </w:rPr>
        <w:t>管，弹性密封橡胶圈及粘接接口。</w:t>
      </w:r>
    </w:p>
    <w:p w14:paraId="355E9C05" w14:textId="77777777" w:rsidR="005A1A44" w:rsidRDefault="0008059E">
      <w:pPr>
        <w:ind w:firstLine="480"/>
      </w:pPr>
      <w:r>
        <w:rPr>
          <w:rFonts w:hint="eastAsia"/>
        </w:rPr>
        <w:t>施工期排水量按照用水量的</w:t>
      </w:r>
      <w:r>
        <w:rPr>
          <w:rFonts w:hint="eastAsia"/>
        </w:rPr>
        <w:t>80%</w:t>
      </w:r>
      <w:r>
        <w:rPr>
          <w:rFonts w:hint="eastAsia"/>
        </w:rPr>
        <w:t>计算，产生量为</w:t>
      </w:r>
      <w:r>
        <w:rPr>
          <w:rFonts w:hint="eastAsia"/>
        </w:rPr>
        <w:t>80m</w:t>
      </w:r>
      <w:r>
        <w:rPr>
          <w:rFonts w:hint="eastAsia"/>
          <w:vertAlign w:val="superscript"/>
        </w:rPr>
        <w:t>3</w:t>
      </w:r>
      <w:r>
        <w:rPr>
          <w:rFonts w:hint="eastAsia"/>
        </w:rPr>
        <w:t>/d</w:t>
      </w:r>
      <w:r>
        <w:rPr>
          <w:rFonts w:hint="eastAsia"/>
        </w:rPr>
        <w:t>，施工期施工废水年产生量为</w:t>
      </w:r>
      <w:r>
        <w:rPr>
          <w:rFonts w:hint="eastAsia"/>
        </w:rPr>
        <w:t>28480m</w:t>
      </w:r>
      <w:r>
        <w:rPr>
          <w:rFonts w:hint="eastAsia"/>
          <w:vertAlign w:val="superscript"/>
        </w:rPr>
        <w:t>3</w:t>
      </w:r>
      <w:r>
        <w:rPr>
          <w:rFonts w:hint="eastAsia"/>
        </w:rPr>
        <w:t>/a</w:t>
      </w:r>
      <w:r>
        <w:rPr>
          <w:rFonts w:hint="eastAsia"/>
        </w:rPr>
        <w:t>。循环利用，不外排。</w:t>
      </w:r>
    </w:p>
    <w:p w14:paraId="099433D3" w14:textId="77777777" w:rsidR="005A1A44" w:rsidRDefault="0008059E">
      <w:pPr>
        <w:ind w:firstLine="480"/>
      </w:pPr>
      <w:r>
        <w:rPr>
          <w:rFonts w:hint="eastAsia"/>
        </w:rPr>
        <w:t>运营期污水主要为河岸景观区的公共厕所的排水，接入和田市市政管网，排入和田市污水处理厂进行处理。</w:t>
      </w:r>
    </w:p>
    <w:p w14:paraId="1594EE7C" w14:textId="77777777" w:rsidR="005A1A44" w:rsidRDefault="0008059E">
      <w:pPr>
        <w:pStyle w:val="4"/>
        <w:numPr>
          <w:ilvl w:val="3"/>
          <w:numId w:val="2"/>
        </w:numPr>
      </w:pPr>
      <w:r>
        <w:rPr>
          <w:rFonts w:hint="eastAsia"/>
        </w:rPr>
        <w:t xml:space="preserve"> </w:t>
      </w:r>
      <w:r>
        <w:rPr>
          <w:rFonts w:hint="eastAsia"/>
        </w:rPr>
        <w:t>柴油</w:t>
      </w:r>
    </w:p>
    <w:p w14:paraId="0D8DD3CE" w14:textId="77777777" w:rsidR="005A1A44" w:rsidRDefault="0008059E">
      <w:pPr>
        <w:ind w:firstLine="480"/>
      </w:pPr>
      <w:r>
        <w:rPr>
          <w:rFonts w:hint="eastAsia"/>
        </w:rPr>
        <w:t>施工期主要设备为双桥自卸卡车、装载机、挖掘机等设备需用柴油。本项目装载设备工作具有不连续性等特点，统一取每台车每天油耗按</w:t>
      </w:r>
      <w:r>
        <w:rPr>
          <w:rFonts w:hint="eastAsia"/>
        </w:rPr>
        <w:t xml:space="preserve"> 45L </w:t>
      </w:r>
      <w:r>
        <w:rPr>
          <w:rFonts w:hint="eastAsia"/>
        </w:rPr>
        <w:t>计算，每天按照</w:t>
      </w:r>
      <w:r>
        <w:rPr>
          <w:rFonts w:hint="eastAsia"/>
        </w:rPr>
        <w:t xml:space="preserve"> 20 </w:t>
      </w:r>
      <w:r>
        <w:rPr>
          <w:rFonts w:hint="eastAsia"/>
        </w:rPr>
        <w:lastRenderedPageBreak/>
        <w:t>台</w:t>
      </w:r>
      <w:r>
        <w:rPr>
          <w:rFonts w:hint="eastAsia"/>
        </w:rPr>
        <w:t>/</w:t>
      </w:r>
      <w:r>
        <w:rPr>
          <w:rFonts w:hint="eastAsia"/>
        </w:rPr>
        <w:t>次参与施工，柴油密度取</w:t>
      </w:r>
      <w:r>
        <w:rPr>
          <w:rFonts w:hint="eastAsia"/>
        </w:rPr>
        <w:t>0.84kg/L</w:t>
      </w:r>
      <w:r>
        <w:rPr>
          <w:rFonts w:hint="eastAsia"/>
        </w:rPr>
        <w:t>。项目建设期耗油核算如下：</w:t>
      </w:r>
    </w:p>
    <w:p w14:paraId="150347A0" w14:textId="77777777" w:rsidR="005A1A44" w:rsidRDefault="0008059E">
      <w:pPr>
        <w:ind w:firstLine="480"/>
      </w:pPr>
      <w:r>
        <w:rPr>
          <w:rFonts w:hint="eastAsia"/>
        </w:rPr>
        <w:t>45</w:t>
      </w:r>
      <w:r>
        <w:rPr>
          <w:rFonts w:hint="eastAsia"/>
        </w:rPr>
        <w:t>×</w:t>
      </w:r>
      <w:r>
        <w:rPr>
          <w:rFonts w:hint="eastAsia"/>
        </w:rPr>
        <w:t>20</w:t>
      </w:r>
      <w:r>
        <w:rPr>
          <w:rFonts w:hint="eastAsia"/>
        </w:rPr>
        <w:t>×</w:t>
      </w:r>
      <w:r>
        <w:rPr>
          <w:rFonts w:hint="eastAsia"/>
        </w:rPr>
        <w:t>730=657000</w:t>
      </w:r>
      <w:r>
        <w:rPr>
          <w:rFonts w:hint="eastAsia"/>
        </w:rPr>
        <w:t>（</w:t>
      </w:r>
      <w:r>
        <w:rPr>
          <w:rFonts w:hint="eastAsia"/>
        </w:rPr>
        <w:t>L</w:t>
      </w:r>
      <w:r>
        <w:rPr>
          <w:rFonts w:hint="eastAsia"/>
        </w:rPr>
        <w:t>）；</w:t>
      </w:r>
    </w:p>
    <w:p w14:paraId="39DF8B09" w14:textId="77777777" w:rsidR="005A1A44" w:rsidRDefault="0008059E">
      <w:pPr>
        <w:ind w:firstLine="480"/>
      </w:pPr>
      <w:r>
        <w:rPr>
          <w:rFonts w:hint="eastAsia"/>
        </w:rPr>
        <w:t>657000</w:t>
      </w:r>
      <w:r>
        <w:rPr>
          <w:rFonts w:hint="eastAsia"/>
        </w:rPr>
        <w:t>×</w:t>
      </w:r>
      <w:r>
        <w:rPr>
          <w:rFonts w:hint="eastAsia"/>
        </w:rPr>
        <w:t>0.84</w:t>
      </w:r>
      <w:r>
        <w:rPr>
          <w:rFonts w:hint="eastAsia"/>
        </w:rPr>
        <w:t>÷</w:t>
      </w:r>
      <w:r>
        <w:rPr>
          <w:rFonts w:hint="eastAsia"/>
        </w:rPr>
        <w:t>1000=551.88</w:t>
      </w:r>
      <w:r>
        <w:rPr>
          <w:rFonts w:hint="eastAsia"/>
        </w:rPr>
        <w:t>（</w:t>
      </w:r>
      <w:r>
        <w:rPr>
          <w:rFonts w:hint="eastAsia"/>
        </w:rPr>
        <w:t>t</w:t>
      </w:r>
      <w:r>
        <w:rPr>
          <w:rFonts w:hint="eastAsia"/>
        </w:rPr>
        <w:t>）。</w:t>
      </w:r>
    </w:p>
    <w:p w14:paraId="4FE59DCD" w14:textId="77777777" w:rsidR="005A1A44" w:rsidRDefault="0008059E">
      <w:pPr>
        <w:ind w:firstLine="480"/>
      </w:pPr>
      <w:r>
        <w:rPr>
          <w:rFonts w:hint="eastAsia"/>
        </w:rPr>
        <w:t>项目建设期耗用柴油</w:t>
      </w:r>
      <w:r>
        <w:rPr>
          <w:rFonts w:hint="eastAsia"/>
        </w:rPr>
        <w:t xml:space="preserve"> 551.88 </w:t>
      </w:r>
      <w:r>
        <w:rPr>
          <w:rFonts w:hint="eastAsia"/>
        </w:rPr>
        <w:t>吨。</w:t>
      </w:r>
    </w:p>
    <w:p w14:paraId="36E3B0E4" w14:textId="77777777" w:rsidR="005A1A44" w:rsidRDefault="0008059E">
      <w:pPr>
        <w:ind w:firstLine="480"/>
      </w:pPr>
      <w:r>
        <w:rPr>
          <w:rFonts w:hint="eastAsia"/>
        </w:rPr>
        <w:t>项目实施期间不设置柴油存储区或存储装置，施工机械用油自行在和田市境内的加油站加油。</w:t>
      </w:r>
    </w:p>
    <w:p w14:paraId="5805F87D" w14:textId="77777777" w:rsidR="005A1A44" w:rsidRDefault="0008059E">
      <w:pPr>
        <w:pStyle w:val="3"/>
        <w:numPr>
          <w:ilvl w:val="2"/>
          <w:numId w:val="2"/>
        </w:numPr>
      </w:pPr>
      <w:r>
        <w:rPr>
          <w:rFonts w:hint="eastAsia"/>
        </w:rPr>
        <w:t xml:space="preserve"> </w:t>
      </w:r>
      <w:r>
        <w:rPr>
          <w:rFonts w:hint="eastAsia"/>
        </w:rPr>
        <w:t>污染防治措施</w:t>
      </w:r>
    </w:p>
    <w:p w14:paraId="781AAF32" w14:textId="77777777" w:rsidR="005A1A44" w:rsidRDefault="0008059E">
      <w:pPr>
        <w:ind w:firstLine="480"/>
      </w:pPr>
      <w:r>
        <w:rPr>
          <w:rFonts w:hint="eastAsia"/>
        </w:rPr>
        <w:t>《新疆健坤生态文旅有限公司玉龙喀什河河道治理及两岸生态修复项目可行性研究报告》提出的固体废物及生活污水处理方法如下</w:t>
      </w:r>
      <w:r>
        <w:rPr>
          <w:rFonts w:hint="eastAsia"/>
        </w:rPr>
        <w:t>:</w:t>
      </w:r>
    </w:p>
    <w:p w14:paraId="32BFFE8F" w14:textId="77777777" w:rsidR="005A1A44" w:rsidRDefault="0008059E">
      <w:pPr>
        <w:ind w:firstLine="480"/>
      </w:pPr>
      <w:r>
        <w:rPr>
          <w:rFonts w:hint="eastAsia"/>
        </w:rPr>
        <w:t>（</w:t>
      </w:r>
      <w:r>
        <w:rPr>
          <w:rFonts w:hint="eastAsia"/>
        </w:rPr>
        <w:t>1</w:t>
      </w:r>
      <w:r>
        <w:rPr>
          <w:rFonts w:hint="eastAsia"/>
        </w:rPr>
        <w:t>）施工及生活垃圾处理措施</w:t>
      </w:r>
    </w:p>
    <w:p w14:paraId="0A959549" w14:textId="77777777" w:rsidR="005A1A44" w:rsidRDefault="0008059E">
      <w:pPr>
        <w:ind w:firstLine="480"/>
      </w:pPr>
      <w:r>
        <w:rPr>
          <w:rFonts w:hint="eastAsia"/>
        </w:rPr>
        <w:t>在该项目施工建设过程中，石料、灰渣、建材等的损耗与遗弃将产牛大量的建筑垃圾，应首先考虑用于市政与规划部门指定的建设工程基础填方、洼地填筑或在本工程沿河绿化时进行消纳。剩余部分垃圾可运送至垃圾填埋场进行填埋。垃圾的外运车辆应加盖篷布，尽量减少沿路遗洒，影响环境。</w:t>
      </w:r>
    </w:p>
    <w:p w14:paraId="278CC320" w14:textId="77777777" w:rsidR="005A1A44" w:rsidRDefault="0008059E">
      <w:pPr>
        <w:ind w:firstLine="480"/>
        <w:rPr>
          <w:color w:val="000000"/>
          <w:sz w:val="33"/>
          <w:szCs w:val="33"/>
        </w:rPr>
      </w:pPr>
      <w:r>
        <w:rPr>
          <w:rFonts w:hint="eastAsia"/>
        </w:rPr>
        <w:t>生活垃圾要定点堆放，严禁混入建筑垃圾当中，并及时运送至环卫部门指定地点进行处理，避免对周围环境造成的不良影响。</w:t>
      </w:r>
    </w:p>
    <w:p w14:paraId="5E265F8A" w14:textId="77777777" w:rsidR="005A1A44" w:rsidRDefault="0008059E">
      <w:pPr>
        <w:numPr>
          <w:ilvl w:val="0"/>
          <w:numId w:val="8"/>
        </w:numPr>
        <w:ind w:firstLine="480"/>
      </w:pPr>
      <w:r>
        <w:rPr>
          <w:rFonts w:hint="eastAsia"/>
        </w:rPr>
        <w:t>水污染防治措施</w:t>
      </w:r>
    </w:p>
    <w:p w14:paraId="012C24D4" w14:textId="77777777" w:rsidR="005A1A44" w:rsidRDefault="0008059E">
      <w:pPr>
        <w:ind w:firstLine="480"/>
      </w:pPr>
      <w:r>
        <w:rPr>
          <w:rFonts w:hint="eastAsia"/>
        </w:rPr>
        <w:t>施工废水的主要污染物为无机悬浮物（</w:t>
      </w:r>
      <w:r>
        <w:rPr>
          <w:rFonts w:hint="eastAsia"/>
        </w:rPr>
        <w:t>SS</w:t>
      </w:r>
      <w:r>
        <w:rPr>
          <w:rFonts w:hint="eastAsia"/>
        </w:rPr>
        <w:t>）和极少量的油类，排放的废水除去部分蒸发和损耗外，其余的均经处理后达到《污水综合排放标准》的二级标准后回用于施工工程用水，几乎不会对地表水和地下水环境构成危害。河道清障拟将河水放干，初步晾晒后分段进行，因此污泥堆余水产生量较少，可引导就近排入下水道内，不会产生较大的环境影响。</w:t>
      </w:r>
    </w:p>
    <w:p w14:paraId="158D7784" w14:textId="77777777" w:rsidR="005A1A44" w:rsidRDefault="0008059E">
      <w:pPr>
        <w:ind w:firstLine="480"/>
      </w:pPr>
      <w:r>
        <w:rPr>
          <w:rFonts w:hint="eastAsia"/>
        </w:rPr>
        <w:t>由于施工人员生活区基本沿河布置，沿岸大部分为居民区，因此可以尽量使用施工场地附近已有的生活设施，生活污水产生的数量较少，其排放对环境不会产生不利影响。在施工人员相对集中的工地，可设立化粪池对其进行处理并及时清运。</w:t>
      </w:r>
    </w:p>
    <w:p w14:paraId="6F2EB3A8" w14:textId="77777777" w:rsidR="005A1A44" w:rsidRDefault="0008059E">
      <w:pPr>
        <w:pStyle w:val="3"/>
        <w:numPr>
          <w:ilvl w:val="2"/>
          <w:numId w:val="2"/>
        </w:numPr>
      </w:pPr>
      <w:r>
        <w:rPr>
          <w:rFonts w:hint="eastAsia"/>
        </w:rPr>
        <w:lastRenderedPageBreak/>
        <w:t xml:space="preserve"> </w:t>
      </w:r>
      <w:r>
        <w:rPr>
          <w:rFonts w:hint="eastAsia"/>
        </w:rPr>
        <w:t>工程占地</w:t>
      </w:r>
    </w:p>
    <w:p w14:paraId="6DAF1BEB" w14:textId="77777777" w:rsidR="005A1A44" w:rsidRDefault="0008059E">
      <w:pPr>
        <w:ind w:firstLine="480"/>
      </w:pPr>
      <w:r>
        <w:rPr>
          <w:rFonts w:hint="eastAsia"/>
        </w:rPr>
        <w:t>项目区总面积为</w:t>
      </w:r>
      <w:r>
        <w:rPr>
          <w:rFonts w:hint="eastAsia"/>
        </w:rPr>
        <w:t>2540.750hm</w:t>
      </w:r>
      <w:r>
        <w:rPr>
          <w:rFonts w:hint="eastAsia"/>
          <w:vertAlign w:val="superscript"/>
        </w:rPr>
        <w:t>2</w:t>
      </w:r>
      <w:r>
        <w:rPr>
          <w:rFonts w:hint="eastAsia"/>
        </w:rPr>
        <w:t>，项目可研报告未明确项目永久占地和临时占地的面积、类型等。项目绿行慢道和配套景观工程共计占用土地</w:t>
      </w:r>
      <w:r>
        <w:rPr>
          <w:rFonts w:hint="eastAsia"/>
        </w:rPr>
        <w:t>80.432hm</w:t>
      </w:r>
      <w:r>
        <w:rPr>
          <w:rFonts w:hint="eastAsia"/>
          <w:vertAlign w:val="superscript"/>
        </w:rPr>
        <w:t>2</w:t>
      </w:r>
      <w:r>
        <w:rPr>
          <w:rFonts w:hint="eastAsia"/>
        </w:rPr>
        <w:t>，其中占用的河漫滩地</w:t>
      </w:r>
      <w:r>
        <w:rPr>
          <w:rFonts w:hint="eastAsia"/>
        </w:rPr>
        <w:t>79.78hm</w:t>
      </w:r>
      <w:r>
        <w:rPr>
          <w:rFonts w:hint="eastAsia"/>
          <w:vertAlign w:val="superscript"/>
        </w:rPr>
        <w:t>2</w:t>
      </w:r>
      <w:r>
        <w:rPr>
          <w:rFonts w:hint="eastAsia"/>
        </w:rPr>
        <w:t>，占比</w:t>
      </w:r>
      <w:r>
        <w:rPr>
          <w:rFonts w:hint="eastAsia"/>
        </w:rPr>
        <w:t>99.2%</w:t>
      </w:r>
      <w:r>
        <w:rPr>
          <w:rFonts w:hint="eastAsia"/>
        </w:rPr>
        <w:t>；草地</w:t>
      </w:r>
      <w:r>
        <w:rPr>
          <w:rFonts w:hint="eastAsia"/>
        </w:rPr>
        <w:t>0.65hm</w:t>
      </w:r>
      <w:r>
        <w:rPr>
          <w:rFonts w:hint="eastAsia"/>
          <w:vertAlign w:val="superscript"/>
        </w:rPr>
        <w:t>2</w:t>
      </w:r>
      <w:r>
        <w:rPr>
          <w:rFonts w:hint="eastAsia"/>
        </w:rPr>
        <w:t>，占用面积较小。</w:t>
      </w:r>
    </w:p>
    <w:p w14:paraId="71CEED8B" w14:textId="77777777" w:rsidR="005A1A44" w:rsidRDefault="0008059E">
      <w:pPr>
        <w:ind w:firstLine="480"/>
      </w:pPr>
      <w:r>
        <w:rPr>
          <w:rFonts w:hint="eastAsia"/>
        </w:rPr>
        <w:t>环评要求临时占地布设在内陆滩涂、沙地、裸地等用地类型内。</w:t>
      </w:r>
    </w:p>
    <w:p w14:paraId="2A7BF258" w14:textId="77777777" w:rsidR="005A1A44" w:rsidRDefault="0008059E">
      <w:pPr>
        <w:pStyle w:val="3"/>
        <w:numPr>
          <w:ilvl w:val="2"/>
          <w:numId w:val="2"/>
        </w:numPr>
      </w:pPr>
      <w:r>
        <w:rPr>
          <w:rFonts w:hint="eastAsia"/>
        </w:rPr>
        <w:t xml:space="preserve"> </w:t>
      </w:r>
      <w:r>
        <w:rPr>
          <w:rFonts w:hint="eastAsia"/>
        </w:rPr>
        <w:t>工程量</w:t>
      </w:r>
    </w:p>
    <w:p w14:paraId="700CF5C1" w14:textId="77777777" w:rsidR="005A1A44" w:rsidRDefault="0008059E">
      <w:pPr>
        <w:ind w:firstLine="480"/>
      </w:pPr>
      <w:r>
        <w:rPr>
          <w:rFonts w:hint="eastAsia"/>
        </w:rPr>
        <w:t>本项目主体工程的工程量见表</w:t>
      </w:r>
      <w:r>
        <w:rPr>
          <w:rFonts w:hint="eastAsia"/>
        </w:rPr>
        <w:t>3.4-3</w:t>
      </w:r>
      <w:r>
        <w:rPr>
          <w:rFonts w:hint="eastAsia"/>
        </w:rPr>
        <w:t>。</w:t>
      </w:r>
    </w:p>
    <w:p w14:paraId="3C3CDA82"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t>表3.4-3  玉龙喀什河河道治理及两岸生态修复项目工程量表</w:t>
      </w:r>
    </w:p>
    <w:tbl>
      <w:tblPr>
        <w:tblW w:w="9570" w:type="dxa"/>
        <w:tblLayout w:type="fixed"/>
        <w:tblCellMar>
          <w:left w:w="0" w:type="dxa"/>
          <w:right w:w="0" w:type="dxa"/>
        </w:tblCellMar>
        <w:tblLook w:val="04A0" w:firstRow="1" w:lastRow="0" w:firstColumn="1" w:lastColumn="0" w:noHBand="0" w:noVBand="1"/>
      </w:tblPr>
      <w:tblGrid>
        <w:gridCol w:w="1350"/>
        <w:gridCol w:w="3555"/>
        <w:gridCol w:w="1350"/>
        <w:gridCol w:w="1530"/>
        <w:gridCol w:w="1785"/>
      </w:tblGrid>
      <w:tr w:rsidR="005A1A44" w14:paraId="38549E63" w14:textId="77777777">
        <w:trPr>
          <w:trHeight w:val="285"/>
          <w:tblHeader/>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978E90" w14:textId="77777777" w:rsidR="005A1A44" w:rsidRDefault="0008059E">
            <w:pPr>
              <w:widowControl/>
              <w:spacing w:line="240" w:lineRule="auto"/>
              <w:ind w:firstLineChars="0" w:firstLine="0"/>
              <w:jc w:val="center"/>
              <w:textAlignment w:val="center"/>
              <w:rPr>
                <w:rFonts w:ascii="宋体" w:eastAsia="宋体" w:hAnsi="宋体" w:cs="宋体" w:hint="eastAsia"/>
                <w:b/>
                <w:color w:val="000000"/>
                <w:sz w:val="21"/>
                <w:szCs w:val="21"/>
              </w:rPr>
            </w:pPr>
            <w:r>
              <w:rPr>
                <w:rFonts w:ascii="宋体" w:eastAsia="宋体" w:hAnsi="宋体" w:cs="宋体" w:hint="eastAsia"/>
                <w:b/>
                <w:color w:val="000000"/>
                <w:kern w:val="0"/>
                <w:sz w:val="21"/>
                <w:szCs w:val="21"/>
              </w:rPr>
              <w:t>序号</w:t>
            </w:r>
          </w:p>
        </w:tc>
        <w:tc>
          <w:tcPr>
            <w:tcW w:w="35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44DBEB" w14:textId="77777777" w:rsidR="005A1A44" w:rsidRDefault="0008059E">
            <w:pPr>
              <w:widowControl/>
              <w:spacing w:line="240" w:lineRule="auto"/>
              <w:ind w:firstLineChars="0" w:firstLine="0"/>
              <w:jc w:val="center"/>
              <w:textAlignment w:val="center"/>
              <w:rPr>
                <w:rFonts w:ascii="宋体" w:eastAsia="宋体" w:hAnsi="宋体" w:cs="宋体" w:hint="eastAsia"/>
                <w:b/>
                <w:color w:val="000000"/>
                <w:sz w:val="21"/>
                <w:szCs w:val="21"/>
              </w:rPr>
            </w:pPr>
            <w:r>
              <w:rPr>
                <w:rFonts w:ascii="宋体" w:eastAsia="宋体" w:hAnsi="宋体" w:cs="宋体" w:hint="eastAsia"/>
                <w:b/>
                <w:color w:val="000000"/>
                <w:kern w:val="0"/>
                <w:sz w:val="21"/>
                <w:szCs w:val="21"/>
              </w:rPr>
              <w:t>项  目</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B5834A" w14:textId="77777777" w:rsidR="005A1A44" w:rsidRDefault="0008059E">
            <w:pPr>
              <w:widowControl/>
              <w:spacing w:line="240" w:lineRule="auto"/>
              <w:ind w:firstLineChars="0" w:firstLine="0"/>
              <w:jc w:val="center"/>
              <w:textAlignment w:val="center"/>
              <w:rPr>
                <w:rFonts w:ascii="宋体" w:eastAsia="宋体" w:hAnsi="宋体" w:cs="宋体" w:hint="eastAsia"/>
                <w:b/>
                <w:color w:val="000000"/>
                <w:sz w:val="21"/>
                <w:szCs w:val="21"/>
              </w:rPr>
            </w:pPr>
            <w:r>
              <w:rPr>
                <w:rFonts w:ascii="宋体" w:eastAsia="宋体" w:hAnsi="宋体" w:cs="宋体" w:hint="eastAsia"/>
                <w:b/>
                <w:color w:val="000000"/>
                <w:kern w:val="0"/>
                <w:sz w:val="21"/>
                <w:szCs w:val="21"/>
              </w:rPr>
              <w:t>单位</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7A7B36" w14:textId="77777777" w:rsidR="005A1A44" w:rsidRDefault="0008059E">
            <w:pPr>
              <w:widowControl/>
              <w:spacing w:line="240" w:lineRule="auto"/>
              <w:ind w:firstLineChars="0" w:firstLine="0"/>
              <w:jc w:val="center"/>
              <w:textAlignment w:val="center"/>
              <w:rPr>
                <w:rFonts w:ascii="宋体" w:eastAsia="宋体" w:hAnsi="宋体" w:cs="宋体" w:hint="eastAsia"/>
                <w:b/>
                <w:color w:val="000000"/>
                <w:sz w:val="21"/>
                <w:szCs w:val="21"/>
              </w:rPr>
            </w:pPr>
            <w:r>
              <w:rPr>
                <w:rFonts w:ascii="宋体" w:eastAsia="宋体" w:hAnsi="宋体" w:cs="宋体" w:hint="eastAsia"/>
                <w:b/>
                <w:color w:val="000000"/>
                <w:kern w:val="0"/>
                <w:sz w:val="21"/>
                <w:szCs w:val="21"/>
              </w:rPr>
              <w:t>数量</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D58B7A" w14:textId="77777777" w:rsidR="005A1A44" w:rsidRDefault="0008059E">
            <w:pPr>
              <w:widowControl/>
              <w:spacing w:line="240" w:lineRule="auto"/>
              <w:ind w:firstLineChars="0" w:firstLine="0"/>
              <w:jc w:val="center"/>
              <w:textAlignment w:val="center"/>
              <w:rPr>
                <w:rFonts w:ascii="宋体" w:eastAsia="宋体" w:hAnsi="宋体" w:cs="宋体" w:hint="eastAsia"/>
                <w:b/>
                <w:color w:val="000000"/>
                <w:sz w:val="21"/>
                <w:szCs w:val="21"/>
              </w:rPr>
            </w:pPr>
            <w:r>
              <w:rPr>
                <w:rFonts w:ascii="宋体" w:eastAsia="宋体" w:hAnsi="宋体" w:cs="宋体" w:hint="eastAsia"/>
                <w:b/>
                <w:color w:val="000000"/>
                <w:kern w:val="0"/>
                <w:sz w:val="21"/>
                <w:szCs w:val="21"/>
              </w:rPr>
              <w:t>备注</w:t>
            </w:r>
          </w:p>
        </w:tc>
      </w:tr>
      <w:tr w:rsidR="005A1A44" w14:paraId="0B554F8A" w14:textId="77777777">
        <w:trPr>
          <w:trHeight w:val="285"/>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4D185B" w14:textId="77777777" w:rsidR="005A1A44" w:rsidRDefault="0008059E">
            <w:pPr>
              <w:widowControl/>
              <w:spacing w:line="240" w:lineRule="auto"/>
              <w:ind w:firstLineChars="0" w:firstLine="0"/>
              <w:jc w:val="center"/>
              <w:textAlignment w:val="center"/>
              <w:rPr>
                <w:rFonts w:ascii="宋体" w:eastAsia="宋体" w:hAnsi="宋体" w:cs="宋体" w:hint="eastAsia"/>
                <w:b/>
                <w:color w:val="000000"/>
                <w:sz w:val="21"/>
                <w:szCs w:val="21"/>
              </w:rPr>
            </w:pPr>
            <w:r>
              <w:rPr>
                <w:rFonts w:ascii="宋体" w:eastAsia="宋体" w:hAnsi="宋体" w:cs="宋体" w:hint="eastAsia"/>
                <w:b/>
                <w:color w:val="000000"/>
                <w:kern w:val="0"/>
                <w:sz w:val="21"/>
                <w:szCs w:val="21"/>
              </w:rPr>
              <w:t>（一）</w:t>
            </w:r>
          </w:p>
        </w:tc>
        <w:tc>
          <w:tcPr>
            <w:tcW w:w="35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AC0D1D" w14:textId="77777777" w:rsidR="005A1A44" w:rsidRDefault="0008059E">
            <w:pPr>
              <w:widowControl/>
              <w:spacing w:line="240" w:lineRule="auto"/>
              <w:ind w:firstLineChars="0" w:firstLine="0"/>
              <w:jc w:val="center"/>
              <w:textAlignment w:val="center"/>
              <w:rPr>
                <w:rFonts w:ascii="宋体" w:eastAsia="宋体" w:hAnsi="宋体" w:cs="宋体" w:hint="eastAsia"/>
                <w:b/>
                <w:color w:val="000000"/>
                <w:sz w:val="21"/>
                <w:szCs w:val="21"/>
              </w:rPr>
            </w:pPr>
            <w:r>
              <w:rPr>
                <w:rFonts w:ascii="宋体" w:eastAsia="宋体" w:hAnsi="宋体" w:cs="宋体" w:hint="eastAsia"/>
                <w:b/>
                <w:color w:val="000000"/>
                <w:kern w:val="0"/>
                <w:sz w:val="21"/>
                <w:szCs w:val="21"/>
              </w:rPr>
              <w:t>河道清淤及河槽疏浚</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7FD1E6" w14:textId="77777777" w:rsidR="005A1A44" w:rsidRDefault="005A1A44">
            <w:pPr>
              <w:widowControl/>
              <w:spacing w:line="240" w:lineRule="auto"/>
              <w:ind w:firstLineChars="0" w:firstLine="0"/>
              <w:jc w:val="center"/>
              <w:rPr>
                <w:rFonts w:ascii="宋体" w:eastAsia="宋体" w:hAnsi="宋体" w:cs="宋体" w:hint="eastAsia"/>
                <w:b/>
                <w:color w:val="000000"/>
                <w:sz w:val="21"/>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A43F84" w14:textId="77777777" w:rsidR="005A1A44" w:rsidRDefault="005A1A44">
            <w:pPr>
              <w:widowControl/>
              <w:spacing w:line="240" w:lineRule="auto"/>
              <w:ind w:firstLineChars="0" w:firstLine="0"/>
              <w:jc w:val="center"/>
              <w:rPr>
                <w:rFonts w:ascii="宋体" w:eastAsia="宋体" w:hAnsi="宋体" w:cs="宋体" w:hint="eastAsia"/>
                <w:b/>
                <w:color w:val="000000"/>
                <w:sz w:val="21"/>
                <w:szCs w:val="21"/>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25986D" w14:textId="77777777" w:rsidR="005A1A44" w:rsidRDefault="005A1A44">
            <w:pPr>
              <w:widowControl/>
              <w:spacing w:line="240" w:lineRule="auto"/>
              <w:ind w:firstLineChars="0" w:firstLine="0"/>
              <w:jc w:val="center"/>
              <w:rPr>
                <w:rFonts w:ascii="宋体" w:eastAsia="宋体" w:hAnsi="宋体" w:cs="宋体" w:hint="eastAsia"/>
                <w:b/>
                <w:color w:val="000000"/>
                <w:sz w:val="21"/>
                <w:szCs w:val="21"/>
              </w:rPr>
            </w:pPr>
          </w:p>
        </w:tc>
      </w:tr>
      <w:tr w:rsidR="005A1A44" w14:paraId="4989B0E9"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D90E9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280B1"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河道清淤挖土方</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FD01B"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F726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11484440 </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5988A" w14:textId="77777777" w:rsidR="005A1A44" w:rsidRDefault="005A1A44">
            <w:pPr>
              <w:widowControl/>
              <w:spacing w:line="240" w:lineRule="auto"/>
              <w:ind w:firstLineChars="0" w:firstLine="0"/>
              <w:jc w:val="center"/>
              <w:rPr>
                <w:rFonts w:ascii="宋体" w:eastAsia="宋体" w:hAnsi="宋体" w:cs="宋体" w:hint="eastAsia"/>
                <w:b/>
                <w:color w:val="000000"/>
                <w:sz w:val="21"/>
                <w:szCs w:val="21"/>
              </w:rPr>
            </w:pPr>
          </w:p>
        </w:tc>
      </w:tr>
      <w:tr w:rsidR="005A1A44" w14:paraId="4B533884" w14:textId="77777777">
        <w:trPr>
          <w:trHeight w:val="9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54BF2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2</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4F85B"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河道填土方</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288AB5" w14:textId="77777777" w:rsidR="005A1A44" w:rsidRDefault="0008059E">
            <w:pPr>
              <w:widowControl/>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E1ED1" w14:textId="77777777" w:rsidR="005A1A44" w:rsidRDefault="0008059E">
            <w:pPr>
              <w:widowControl/>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kern w:val="0"/>
                <w:sz w:val="21"/>
                <w:szCs w:val="21"/>
              </w:rPr>
              <w:t xml:space="preserve">547090 </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D10254" w14:textId="77777777" w:rsidR="005A1A44" w:rsidRDefault="005A1A44">
            <w:pPr>
              <w:widowControl/>
              <w:spacing w:line="240" w:lineRule="auto"/>
              <w:ind w:firstLineChars="0" w:firstLine="0"/>
              <w:jc w:val="center"/>
              <w:rPr>
                <w:rFonts w:ascii="宋体" w:eastAsia="宋体" w:hAnsi="宋体" w:cs="宋体" w:hint="eastAsia"/>
                <w:b/>
                <w:color w:val="000000"/>
                <w:sz w:val="21"/>
                <w:szCs w:val="21"/>
              </w:rPr>
            </w:pPr>
          </w:p>
        </w:tc>
      </w:tr>
      <w:tr w:rsidR="005A1A44" w14:paraId="7CF4F865"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BFE49"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5</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72AA9"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玉龙喀什河格宾笼护底</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3C5DB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380BA"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96071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E649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内填卵石</w:t>
            </w:r>
          </w:p>
        </w:tc>
      </w:tr>
      <w:tr w:rsidR="005A1A44" w14:paraId="53ADCC9E" w14:textId="77777777">
        <w:trPr>
          <w:trHeight w:val="285"/>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A4635" w14:textId="77777777" w:rsidR="005A1A44" w:rsidRDefault="0008059E">
            <w:pPr>
              <w:widowControl/>
              <w:spacing w:line="240" w:lineRule="auto"/>
              <w:ind w:firstLineChars="0" w:firstLine="0"/>
              <w:jc w:val="center"/>
              <w:textAlignment w:val="center"/>
              <w:rPr>
                <w:rFonts w:ascii="宋体" w:eastAsia="宋体" w:hAnsi="宋体" w:cs="宋体" w:hint="eastAsia"/>
                <w:b/>
                <w:color w:val="000000"/>
                <w:sz w:val="21"/>
                <w:szCs w:val="21"/>
              </w:rPr>
            </w:pPr>
            <w:r>
              <w:rPr>
                <w:rFonts w:ascii="宋体" w:eastAsia="宋体" w:hAnsi="宋体" w:cs="宋体" w:hint="eastAsia"/>
                <w:b/>
                <w:color w:val="000000"/>
                <w:kern w:val="0"/>
                <w:sz w:val="21"/>
                <w:szCs w:val="21"/>
              </w:rPr>
              <w:t>（二）</w:t>
            </w:r>
          </w:p>
        </w:tc>
        <w:tc>
          <w:tcPr>
            <w:tcW w:w="35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94417D" w14:textId="77777777" w:rsidR="005A1A44" w:rsidRDefault="0008059E">
            <w:pPr>
              <w:widowControl/>
              <w:spacing w:line="240" w:lineRule="auto"/>
              <w:ind w:firstLineChars="0" w:firstLine="0"/>
              <w:jc w:val="center"/>
              <w:textAlignment w:val="center"/>
              <w:rPr>
                <w:rFonts w:ascii="宋体" w:eastAsia="宋体" w:hAnsi="宋体" w:cs="宋体" w:hint="eastAsia"/>
                <w:b/>
                <w:color w:val="000000"/>
                <w:sz w:val="21"/>
                <w:szCs w:val="21"/>
              </w:rPr>
            </w:pPr>
            <w:r>
              <w:rPr>
                <w:rFonts w:ascii="宋体" w:eastAsia="宋体" w:hAnsi="宋体" w:cs="宋体" w:hint="eastAsia"/>
                <w:b/>
                <w:color w:val="000000"/>
                <w:kern w:val="0"/>
                <w:sz w:val="21"/>
                <w:szCs w:val="21"/>
              </w:rPr>
              <w:t>左岸防洪堤工程</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110E8" w14:textId="77777777" w:rsidR="005A1A44" w:rsidRDefault="005A1A44">
            <w:pPr>
              <w:widowControl/>
              <w:spacing w:line="240" w:lineRule="auto"/>
              <w:ind w:firstLineChars="0" w:firstLine="0"/>
              <w:jc w:val="center"/>
              <w:rPr>
                <w:rFonts w:ascii="宋体" w:eastAsia="宋体" w:hAnsi="宋体" w:cs="宋体" w:hint="eastAsia"/>
                <w:color w:val="000000"/>
                <w:sz w:val="21"/>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26C79" w14:textId="77777777" w:rsidR="005A1A44" w:rsidRDefault="005A1A44">
            <w:pPr>
              <w:widowControl/>
              <w:spacing w:line="240" w:lineRule="auto"/>
              <w:ind w:firstLineChars="0" w:firstLine="0"/>
              <w:jc w:val="center"/>
              <w:rPr>
                <w:rFonts w:ascii="宋体" w:eastAsia="宋体" w:hAnsi="宋体" w:cs="宋体" w:hint="eastAsia"/>
                <w:color w:val="000000"/>
                <w:sz w:val="21"/>
                <w:szCs w:val="21"/>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82FC7" w14:textId="77777777" w:rsidR="005A1A44" w:rsidRDefault="005A1A44">
            <w:pPr>
              <w:widowControl/>
              <w:spacing w:line="240" w:lineRule="auto"/>
              <w:ind w:firstLineChars="0" w:firstLine="0"/>
              <w:jc w:val="center"/>
              <w:rPr>
                <w:rFonts w:ascii="宋体" w:eastAsia="宋体" w:hAnsi="宋体" w:cs="宋体" w:hint="eastAsia"/>
                <w:b/>
                <w:color w:val="000000"/>
                <w:sz w:val="21"/>
                <w:szCs w:val="21"/>
              </w:rPr>
            </w:pPr>
          </w:p>
        </w:tc>
      </w:tr>
      <w:tr w:rsidR="005A1A44" w14:paraId="3ABDB146"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FB5D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F0CC3"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堤前开挖挖土</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D955A8"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7C614"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1125333 </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36C202" w14:textId="77777777" w:rsidR="005A1A44" w:rsidRDefault="005A1A44">
            <w:pPr>
              <w:widowControl/>
              <w:spacing w:line="240" w:lineRule="auto"/>
              <w:ind w:firstLineChars="0" w:firstLine="0"/>
              <w:jc w:val="center"/>
              <w:rPr>
                <w:rFonts w:ascii="宋体" w:eastAsia="宋体" w:hAnsi="宋体" w:cs="宋体" w:hint="eastAsia"/>
                <w:color w:val="000000"/>
                <w:sz w:val="21"/>
                <w:szCs w:val="21"/>
              </w:rPr>
            </w:pPr>
          </w:p>
        </w:tc>
      </w:tr>
      <w:tr w:rsidR="005A1A44" w14:paraId="2935E8DA"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46AF8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2</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7E957"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堤前挖坑回填土</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4F83A7"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A575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1053192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65F62"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2DB0EFCE"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2BA28"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3</w:t>
            </w:r>
          </w:p>
        </w:tc>
        <w:tc>
          <w:tcPr>
            <w:tcW w:w="35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1C4487"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防洪堤填筑前清基</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7DF17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651C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139718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B30EF"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5B09BAC6"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EC8767"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4</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364E4"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防洪堤填土</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125D04"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7224A"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285520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B67CC"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18333BE7"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4F2A94"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5</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131C7"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C20砼面板，厚25cm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7F7A1C"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C3D57"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10295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A2326"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6D7D55BA"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DD14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6</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17743"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护坡格宾笼</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693E9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26EA9"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44268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C1A6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内填卵石</w:t>
            </w:r>
          </w:p>
        </w:tc>
      </w:tr>
      <w:tr w:rsidR="005A1A44" w14:paraId="67E871DD"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EB3E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7</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7D3EB"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C20砼面板，厚30cm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69D116"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7166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30823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440D8"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4F596AAD"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50B7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8</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6C34E"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C20砼护脚</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2F5BB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DF67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5056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4E03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厚5</w:t>
            </w:r>
            <w:r>
              <w:rPr>
                <w:rStyle w:val="font41"/>
                <w:rFonts w:hint="default"/>
                <w:sz w:val="21"/>
                <w:szCs w:val="21"/>
              </w:rPr>
              <w:t>0cm</w:t>
            </w:r>
          </w:p>
        </w:tc>
      </w:tr>
      <w:tr w:rsidR="005A1A44" w14:paraId="09F530F2"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5E558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9</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2E37F"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C20砼护肩</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DE4A5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7B9B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13590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C527C"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厚40</w:t>
            </w:r>
            <w:r>
              <w:rPr>
                <w:rStyle w:val="font41"/>
                <w:rFonts w:hint="default"/>
                <w:sz w:val="21"/>
                <w:szCs w:val="21"/>
              </w:rPr>
              <w:t>cm</w:t>
            </w:r>
          </w:p>
        </w:tc>
      </w:tr>
      <w:tr w:rsidR="005A1A44" w14:paraId="5E55760B"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637BD9"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10</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2F5B1"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护脚格槟笼</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E87A8A"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1E7EA"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30338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A9F1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内填卵石</w:t>
            </w:r>
          </w:p>
        </w:tc>
      </w:tr>
      <w:tr w:rsidR="005A1A44" w14:paraId="248124C6"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9E622F"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11</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964EA"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土工膜</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11358F"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m²</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06C89"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214886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0CFCF"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248E71B6"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C7AFA"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12</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68165"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栏杆</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8EB87C"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w:t>
            </w:r>
          </w:p>
        </w:tc>
        <w:tc>
          <w:tcPr>
            <w:tcW w:w="1530" w:type="dxa"/>
            <w:tcBorders>
              <w:top w:val="nil"/>
              <w:left w:val="nil"/>
              <w:bottom w:val="nil"/>
              <w:right w:val="nil"/>
            </w:tcBorders>
            <w:shd w:val="clear" w:color="auto" w:fill="auto"/>
            <w:noWrap/>
            <w:tcMar>
              <w:top w:w="15" w:type="dxa"/>
              <w:left w:w="15" w:type="dxa"/>
              <w:right w:w="15" w:type="dxa"/>
            </w:tcMar>
            <w:vAlign w:val="center"/>
          </w:tcPr>
          <w:p w14:paraId="0B48611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28088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256F2"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3E4BBB59"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AD06E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13</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E4660"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伸缩缝，缝宽20mm，高压闭孔板</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0E99C8"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m²</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E5D61"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36521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13644"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531BFACE"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5F2DDB"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14</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F134F"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模板</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449524"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m²</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A5EF1"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105447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92DB9"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69291411"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71A08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15</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93AC1"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C</w:t>
            </w:r>
            <w:r>
              <w:rPr>
                <w:rStyle w:val="font41"/>
                <w:rFonts w:hint="default"/>
                <w:sz w:val="21"/>
                <w:szCs w:val="21"/>
              </w:rPr>
              <w:t>20砼步级</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BFEFE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453E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306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49C9D" w14:textId="77777777" w:rsidR="005A1A44" w:rsidRDefault="005A1A44">
            <w:pPr>
              <w:widowControl/>
              <w:spacing w:line="240" w:lineRule="auto"/>
              <w:ind w:firstLineChars="0" w:firstLine="0"/>
              <w:jc w:val="center"/>
              <w:rPr>
                <w:rFonts w:ascii="宋体" w:eastAsia="宋体" w:hAnsi="宋体" w:cs="宋体" w:hint="eastAsia"/>
                <w:color w:val="000000"/>
                <w:sz w:val="21"/>
                <w:szCs w:val="21"/>
              </w:rPr>
            </w:pPr>
          </w:p>
        </w:tc>
      </w:tr>
      <w:tr w:rsidR="005A1A44" w14:paraId="237358F3" w14:textId="77777777">
        <w:trPr>
          <w:trHeight w:val="285"/>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3B2A1" w14:textId="77777777" w:rsidR="005A1A44" w:rsidRDefault="0008059E">
            <w:pPr>
              <w:widowControl/>
              <w:spacing w:line="240" w:lineRule="auto"/>
              <w:ind w:firstLineChars="0" w:firstLine="0"/>
              <w:jc w:val="center"/>
              <w:textAlignment w:val="center"/>
              <w:rPr>
                <w:rFonts w:ascii="宋体" w:eastAsia="宋体" w:hAnsi="宋体" w:cs="宋体" w:hint="eastAsia"/>
                <w:b/>
                <w:color w:val="000000"/>
                <w:sz w:val="21"/>
                <w:szCs w:val="21"/>
              </w:rPr>
            </w:pPr>
            <w:r>
              <w:rPr>
                <w:rFonts w:ascii="宋体" w:eastAsia="宋体" w:hAnsi="宋体" w:cs="宋体" w:hint="eastAsia"/>
                <w:b/>
                <w:color w:val="000000"/>
                <w:kern w:val="0"/>
                <w:sz w:val="21"/>
                <w:szCs w:val="21"/>
              </w:rPr>
              <w:t>（三）</w:t>
            </w:r>
          </w:p>
        </w:tc>
        <w:tc>
          <w:tcPr>
            <w:tcW w:w="35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18BE42" w14:textId="77777777" w:rsidR="005A1A44" w:rsidRDefault="0008059E">
            <w:pPr>
              <w:widowControl/>
              <w:spacing w:line="240" w:lineRule="auto"/>
              <w:ind w:firstLineChars="0" w:firstLine="0"/>
              <w:jc w:val="center"/>
              <w:textAlignment w:val="center"/>
              <w:rPr>
                <w:rFonts w:ascii="宋体" w:eastAsia="宋体" w:hAnsi="宋体" w:cs="宋体" w:hint="eastAsia"/>
                <w:b/>
                <w:color w:val="000000"/>
                <w:sz w:val="21"/>
                <w:szCs w:val="21"/>
              </w:rPr>
            </w:pPr>
            <w:r>
              <w:rPr>
                <w:rFonts w:ascii="宋体" w:eastAsia="宋体" w:hAnsi="宋体" w:cs="宋体" w:hint="eastAsia"/>
                <w:b/>
                <w:color w:val="000000"/>
                <w:kern w:val="0"/>
                <w:sz w:val="21"/>
                <w:szCs w:val="21"/>
              </w:rPr>
              <w:t>右岸防洪堤工程</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78F71" w14:textId="77777777" w:rsidR="005A1A44" w:rsidRDefault="005A1A44">
            <w:pPr>
              <w:widowControl/>
              <w:spacing w:line="240" w:lineRule="auto"/>
              <w:ind w:firstLineChars="0" w:firstLine="0"/>
              <w:jc w:val="center"/>
              <w:rPr>
                <w:rFonts w:ascii="宋体" w:eastAsia="宋体" w:hAnsi="宋体" w:cs="宋体" w:hint="eastAsia"/>
                <w:color w:val="000000"/>
                <w:sz w:val="21"/>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6B500"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A7766"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43906D24"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283467"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F09E3"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堤前开挖挖土</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B4BB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3937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1044856 </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6C8E00" w14:textId="77777777" w:rsidR="005A1A44" w:rsidRDefault="005A1A44">
            <w:pPr>
              <w:widowControl/>
              <w:spacing w:line="240" w:lineRule="auto"/>
              <w:ind w:firstLineChars="0" w:firstLine="0"/>
              <w:jc w:val="center"/>
              <w:rPr>
                <w:rFonts w:ascii="宋体" w:eastAsia="宋体" w:hAnsi="宋体" w:cs="宋体" w:hint="eastAsia"/>
                <w:color w:val="000000"/>
                <w:sz w:val="21"/>
                <w:szCs w:val="21"/>
              </w:rPr>
            </w:pPr>
          </w:p>
        </w:tc>
      </w:tr>
      <w:tr w:rsidR="005A1A44" w14:paraId="3F949EAE"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B7E17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2</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0339F"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堤前挖坑回填土</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D91B8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0D4F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1019020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5FA6A"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44E8C07B"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9861D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3</w:t>
            </w:r>
          </w:p>
        </w:tc>
        <w:tc>
          <w:tcPr>
            <w:tcW w:w="35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D31EB"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防洪堤填筑前清基</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A0D78A"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9BAC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130264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01314"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3C127BA8"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2CFCD6"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4</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C6287"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防洪堤填土</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8CA52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83696"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146045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2F088"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480A9909"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1EA56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5</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B9A23"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C20砼面板，厚25cm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14FC04"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51459"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18057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A6D93"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3CB1D7C9"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9DD90B"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lastRenderedPageBreak/>
              <w:t>6</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C4E9E"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C20砼面板，厚30cm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80D22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AD1FA"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26221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612F3"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66559960"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B00CE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7</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B5C9F"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C20砼护脚</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4D18C7"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C5C0B"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4301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3CBF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厚5</w:t>
            </w:r>
            <w:r>
              <w:rPr>
                <w:rStyle w:val="font41"/>
                <w:rFonts w:hint="default"/>
                <w:sz w:val="21"/>
                <w:szCs w:val="21"/>
              </w:rPr>
              <w:t>0cm</w:t>
            </w:r>
          </w:p>
        </w:tc>
      </w:tr>
      <w:tr w:rsidR="005A1A44" w14:paraId="47EFCBD8"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9EA5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8</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0E09B"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C20砼护肩</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4566A9"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03EC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9496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45864"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厚40</w:t>
            </w:r>
            <w:r>
              <w:rPr>
                <w:rStyle w:val="font41"/>
                <w:rFonts w:hint="default"/>
                <w:sz w:val="21"/>
                <w:szCs w:val="21"/>
              </w:rPr>
              <w:t>cm</w:t>
            </w:r>
          </w:p>
        </w:tc>
      </w:tr>
      <w:tr w:rsidR="005A1A44" w14:paraId="0294D5BC"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BFD4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9</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15907"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护脚格槟笼</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12428"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4D85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25808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D4CB6"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内填卵石</w:t>
            </w:r>
          </w:p>
        </w:tc>
      </w:tr>
      <w:tr w:rsidR="005A1A44" w14:paraId="7FC5965E"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D84B31"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10</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94BA0"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土工膜</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72C2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m²</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533F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174118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6C738"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4C49D34B"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268B0F"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11</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1A27B"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栏杆</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30EF8"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w:t>
            </w:r>
          </w:p>
        </w:tc>
        <w:tc>
          <w:tcPr>
            <w:tcW w:w="1530" w:type="dxa"/>
            <w:tcBorders>
              <w:top w:val="nil"/>
              <w:left w:val="nil"/>
              <w:bottom w:val="nil"/>
              <w:right w:val="nil"/>
            </w:tcBorders>
            <w:shd w:val="clear" w:color="auto" w:fill="auto"/>
            <w:noWrap/>
            <w:tcMar>
              <w:top w:w="15" w:type="dxa"/>
              <w:left w:w="15" w:type="dxa"/>
              <w:right w:w="15" w:type="dxa"/>
            </w:tcMar>
            <w:vAlign w:val="center"/>
          </w:tcPr>
          <w:p w14:paraId="1052021C"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19783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7A09F"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29404807" w14:textId="77777777">
        <w:trPr>
          <w:trHeight w:val="318"/>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3BD4CA"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12</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F1C7A"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伸缩缝，缝宽20mm，高压闭孔板</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D45F0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m²</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E0F79"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40140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44178"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624D8C6E"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17FE31"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13</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F573D"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模板</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42682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m²</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3AAE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96849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13225" w14:textId="77777777" w:rsidR="005A1A44" w:rsidRDefault="005A1A44">
            <w:pPr>
              <w:widowControl/>
              <w:spacing w:line="240" w:lineRule="auto"/>
              <w:ind w:firstLineChars="0" w:firstLine="0"/>
              <w:rPr>
                <w:rFonts w:ascii="宋体" w:eastAsia="宋体" w:hAnsi="宋体" w:cs="宋体" w:hint="eastAsia"/>
                <w:color w:val="000000"/>
                <w:sz w:val="21"/>
                <w:szCs w:val="21"/>
              </w:rPr>
            </w:pPr>
          </w:p>
        </w:tc>
      </w:tr>
      <w:tr w:rsidR="005A1A44" w14:paraId="55240068" w14:textId="77777777">
        <w:trPr>
          <w:trHeight w:val="27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153B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14</w:t>
            </w:r>
          </w:p>
        </w:tc>
        <w:tc>
          <w:tcPr>
            <w:tcW w:w="3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67C90" w14:textId="77777777" w:rsidR="005A1A44" w:rsidRDefault="0008059E">
            <w:pPr>
              <w:widowControl/>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C</w:t>
            </w:r>
            <w:r>
              <w:rPr>
                <w:rStyle w:val="font41"/>
                <w:rFonts w:hint="default"/>
                <w:sz w:val="21"/>
                <w:szCs w:val="21"/>
              </w:rPr>
              <w:t>20砼步级</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A5604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m³</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C487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306 </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48C37"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内填卵石</w:t>
            </w:r>
          </w:p>
        </w:tc>
      </w:tr>
    </w:tbl>
    <w:p w14:paraId="61307B3C" w14:textId="77777777" w:rsidR="005A1A44" w:rsidRDefault="005A1A44">
      <w:pPr>
        <w:ind w:firstLine="480"/>
      </w:pPr>
    </w:p>
    <w:p w14:paraId="1BF48464" w14:textId="77777777" w:rsidR="005A1A44" w:rsidRDefault="0008059E">
      <w:pPr>
        <w:pStyle w:val="3"/>
        <w:numPr>
          <w:ilvl w:val="2"/>
          <w:numId w:val="2"/>
        </w:numPr>
      </w:pPr>
      <w:r>
        <w:rPr>
          <w:rFonts w:hint="eastAsia"/>
        </w:rPr>
        <w:t xml:space="preserve"> </w:t>
      </w:r>
      <w:r>
        <w:rPr>
          <w:rFonts w:hint="eastAsia"/>
        </w:rPr>
        <w:t>工作时制及劳动定员</w:t>
      </w:r>
    </w:p>
    <w:p w14:paraId="0E87B0C5" w14:textId="77777777" w:rsidR="005A1A44" w:rsidRDefault="0008059E">
      <w:pPr>
        <w:ind w:firstLine="480"/>
      </w:pPr>
      <w:r>
        <w:rPr>
          <w:rFonts w:hint="eastAsia"/>
        </w:rPr>
        <w:t>可研及初设未明确项目施工期和运营期的施工人员及管理劳动定员等。</w:t>
      </w:r>
    </w:p>
    <w:p w14:paraId="06953123" w14:textId="77777777" w:rsidR="005A1A44" w:rsidRDefault="0008059E">
      <w:pPr>
        <w:pStyle w:val="3"/>
        <w:numPr>
          <w:ilvl w:val="2"/>
          <w:numId w:val="2"/>
        </w:numPr>
      </w:pPr>
      <w:r>
        <w:rPr>
          <w:rFonts w:hint="eastAsia"/>
        </w:rPr>
        <w:t xml:space="preserve"> </w:t>
      </w:r>
      <w:r>
        <w:rPr>
          <w:rFonts w:hint="eastAsia"/>
        </w:rPr>
        <w:t>工程施工</w:t>
      </w:r>
    </w:p>
    <w:p w14:paraId="248ACEB4" w14:textId="77777777" w:rsidR="005A1A44" w:rsidRDefault="0008059E">
      <w:pPr>
        <w:pStyle w:val="4"/>
        <w:numPr>
          <w:ilvl w:val="3"/>
          <w:numId w:val="2"/>
        </w:numPr>
      </w:pPr>
      <w:r>
        <w:rPr>
          <w:rFonts w:hint="eastAsia"/>
        </w:rPr>
        <w:t xml:space="preserve"> </w:t>
      </w:r>
      <w:r>
        <w:rPr>
          <w:rFonts w:hint="eastAsia"/>
        </w:rPr>
        <w:t>施工交通</w:t>
      </w:r>
    </w:p>
    <w:p w14:paraId="7C2891B3" w14:textId="77777777" w:rsidR="005A1A44" w:rsidRDefault="0008059E">
      <w:pPr>
        <w:ind w:firstLine="480"/>
      </w:pPr>
      <w:r>
        <w:t>工程区对外交通方便，防洪堤段有顺河流方向简易戈壁碎石路，同和</w:t>
      </w:r>
      <w:r>
        <w:rPr>
          <w:rFonts w:hint="eastAsia"/>
        </w:rPr>
        <w:t>-</w:t>
      </w:r>
      <w:r>
        <w:t>布柏油公路平行，通过横向</w:t>
      </w:r>
      <w:r>
        <w:t xml:space="preserve"> 4 </w:t>
      </w:r>
      <w:r>
        <w:t>处戈壁碎石路相通，交通相对便利，可满足各种施工机械的调迁。</w:t>
      </w:r>
    </w:p>
    <w:p w14:paraId="3B6A76B7" w14:textId="77777777" w:rsidR="005A1A44" w:rsidRDefault="0008059E">
      <w:pPr>
        <w:pStyle w:val="4"/>
        <w:numPr>
          <w:ilvl w:val="3"/>
          <w:numId w:val="2"/>
        </w:numPr>
      </w:pPr>
      <w:r>
        <w:rPr>
          <w:rFonts w:hint="eastAsia"/>
        </w:rPr>
        <w:t xml:space="preserve"> </w:t>
      </w:r>
      <w:r>
        <w:rPr>
          <w:rFonts w:hint="eastAsia"/>
        </w:rPr>
        <w:t>建筑材料</w:t>
      </w:r>
    </w:p>
    <w:p w14:paraId="7E591987" w14:textId="77777777" w:rsidR="005A1A44" w:rsidRDefault="0008059E">
      <w:pPr>
        <w:ind w:firstLine="480"/>
      </w:pPr>
      <w:r>
        <w:rPr>
          <w:rFonts w:hint="eastAsia"/>
        </w:rPr>
        <w:t>（</w:t>
      </w:r>
      <w:r>
        <w:rPr>
          <w:rFonts w:hint="eastAsia"/>
        </w:rPr>
        <w:t>1</w:t>
      </w:r>
      <w:r>
        <w:rPr>
          <w:rFonts w:hint="eastAsia"/>
        </w:rPr>
        <w:t>）外购材料</w:t>
      </w:r>
    </w:p>
    <w:p w14:paraId="3B354216" w14:textId="77777777" w:rsidR="005A1A44" w:rsidRDefault="0008059E">
      <w:pPr>
        <w:ind w:firstLine="480"/>
      </w:pPr>
      <w:r>
        <w:rPr>
          <w:rFonts w:hint="eastAsia"/>
        </w:rPr>
        <w:t>工程中水泥从和田市水泥厂购买，运距</w:t>
      </w:r>
      <w:r>
        <w:rPr>
          <w:rFonts w:hint="eastAsia"/>
        </w:rPr>
        <w:t xml:space="preserve"> 20km</w:t>
      </w:r>
      <w:r>
        <w:rPr>
          <w:rFonts w:hint="eastAsia"/>
        </w:rPr>
        <w:t>，钢材、木材、等材料、机电设备、施工机具、配件器材及区外材料等物资主要靠和田市供应，以和田市为集中地，运至工地，运距</w:t>
      </w:r>
      <w:r>
        <w:rPr>
          <w:rFonts w:hint="eastAsia"/>
        </w:rPr>
        <w:t xml:space="preserve"> 20km</w:t>
      </w:r>
      <w:r>
        <w:rPr>
          <w:rFonts w:hint="eastAsia"/>
        </w:rPr>
        <w:t>。</w:t>
      </w:r>
    </w:p>
    <w:p w14:paraId="05350B28" w14:textId="77777777" w:rsidR="005A1A44" w:rsidRDefault="0008059E">
      <w:pPr>
        <w:ind w:firstLine="480"/>
      </w:pPr>
      <w:r>
        <w:rPr>
          <w:rFonts w:hint="eastAsia"/>
        </w:rPr>
        <w:t>（</w:t>
      </w:r>
      <w:r>
        <w:rPr>
          <w:rFonts w:hint="eastAsia"/>
        </w:rPr>
        <w:t>2</w:t>
      </w:r>
      <w:r>
        <w:rPr>
          <w:rFonts w:hint="eastAsia"/>
        </w:rPr>
        <w:t>）天然建筑材料</w:t>
      </w:r>
    </w:p>
    <w:p w14:paraId="5EF9A3BE" w14:textId="77777777" w:rsidR="005A1A44" w:rsidRDefault="0008059E">
      <w:pPr>
        <w:ind w:firstLine="480"/>
      </w:pPr>
      <w:r>
        <w:rPr>
          <w:rFonts w:hint="eastAsia"/>
        </w:rPr>
        <w:t>防洪堤填方土料来源于防洪堤迎水面侧宽阔的戈壁荒滩，岩性为戈壁碎石层和粗粒土为主，储量丰富，土料的质量技术指标满足规范要求，且开采运输条件较好，</w:t>
      </w:r>
      <w:r>
        <w:rPr>
          <w:rFonts w:hint="eastAsia"/>
        </w:rPr>
        <w:lastRenderedPageBreak/>
        <w:t>开采后易恢复，符合环保要求，可充分满足工程所需。全堤段平均运距</w:t>
      </w:r>
      <w:r>
        <w:rPr>
          <w:rFonts w:hint="eastAsia"/>
        </w:rPr>
        <w:t xml:space="preserve"> 5km</w:t>
      </w:r>
      <w:r>
        <w:rPr>
          <w:rFonts w:hint="eastAsia"/>
        </w:rPr>
        <w:t>。</w:t>
      </w:r>
    </w:p>
    <w:p w14:paraId="2A0BA24A" w14:textId="77777777" w:rsidR="005A1A44" w:rsidRDefault="0008059E">
      <w:pPr>
        <w:ind w:firstLine="480"/>
      </w:pPr>
      <w:r>
        <w:rPr>
          <w:rFonts w:hint="eastAsia"/>
        </w:rPr>
        <w:t>砂砾石垫层料选在防洪堤下游河道附近大面积的戈壁荒滩，为冲洪积所形成的卵砾石层，分布稳定，厚度较大，平均运距</w:t>
      </w:r>
      <w:r>
        <w:rPr>
          <w:rFonts w:hint="eastAsia"/>
        </w:rPr>
        <w:t xml:space="preserve"> 10km</w:t>
      </w:r>
      <w:r>
        <w:rPr>
          <w:rFonts w:hint="eastAsia"/>
        </w:rPr>
        <w:t>。</w:t>
      </w:r>
    </w:p>
    <w:p w14:paraId="1B5DCACD" w14:textId="77777777" w:rsidR="005A1A44" w:rsidRDefault="0008059E">
      <w:pPr>
        <w:ind w:firstLine="480"/>
      </w:pPr>
      <w:r>
        <w:rPr>
          <w:rFonts w:hint="eastAsia"/>
        </w:rPr>
        <w:t>砼骨料场位于洛浦县城东南</w:t>
      </w:r>
      <w:r>
        <w:rPr>
          <w:rFonts w:hint="eastAsia"/>
        </w:rPr>
        <w:t xml:space="preserve"> 3km </w:t>
      </w:r>
      <w:r>
        <w:rPr>
          <w:rFonts w:hint="eastAsia"/>
        </w:rPr>
        <w:t>处，</w:t>
      </w:r>
      <w:r>
        <w:rPr>
          <w:rFonts w:hint="eastAsia"/>
        </w:rPr>
        <w:t xml:space="preserve">315 </w:t>
      </w:r>
      <w:r>
        <w:rPr>
          <w:rFonts w:hint="eastAsia"/>
        </w:rPr>
        <w:t>国道两侧，开采面积取</w:t>
      </w:r>
      <w:r>
        <w:rPr>
          <w:rFonts w:hint="eastAsia"/>
        </w:rPr>
        <w:t xml:space="preserve"> 2km</w:t>
      </w:r>
      <w:r>
        <w:rPr>
          <w:rFonts w:hint="eastAsia"/>
          <w:vertAlign w:val="superscript"/>
        </w:rPr>
        <w:t>2</w:t>
      </w:r>
      <w:r>
        <w:rPr>
          <w:rFonts w:hint="eastAsia"/>
        </w:rPr>
        <w:t>，开采厚度</w:t>
      </w:r>
      <w:r>
        <w:rPr>
          <w:rFonts w:hint="eastAsia"/>
        </w:rPr>
        <w:t xml:space="preserve"> 3m</w:t>
      </w:r>
      <w:r>
        <w:rPr>
          <w:rFonts w:hint="eastAsia"/>
        </w:rPr>
        <w:t>，储量达</w:t>
      </w:r>
      <w:r>
        <w:rPr>
          <w:rFonts w:hint="eastAsia"/>
        </w:rPr>
        <w:t xml:space="preserve"> 12.5</w:t>
      </w:r>
      <w:r>
        <w:rPr>
          <w:rFonts w:hint="eastAsia"/>
        </w:rPr>
        <w:t>×</w:t>
      </w:r>
      <w:r>
        <w:rPr>
          <w:rFonts w:hint="eastAsia"/>
        </w:rPr>
        <w:t>10</w:t>
      </w:r>
      <w:r>
        <w:rPr>
          <w:rFonts w:hint="eastAsia"/>
          <w:vertAlign w:val="superscript"/>
        </w:rPr>
        <w:t>4</w:t>
      </w:r>
      <w:r>
        <w:rPr>
          <w:rFonts w:hint="eastAsia"/>
        </w:rPr>
        <w:t>m</w:t>
      </w:r>
      <w:r>
        <w:rPr>
          <w:rFonts w:hint="eastAsia"/>
          <w:vertAlign w:val="superscript"/>
        </w:rPr>
        <w:t>3</w:t>
      </w:r>
      <w:r>
        <w:rPr>
          <w:rFonts w:hint="eastAsia"/>
        </w:rPr>
        <w:t>，距工程区平均</w:t>
      </w:r>
      <w:r>
        <w:rPr>
          <w:rFonts w:hint="eastAsia"/>
        </w:rPr>
        <w:t>30km</w:t>
      </w:r>
      <w:r>
        <w:rPr>
          <w:rFonts w:hint="eastAsia"/>
        </w:rPr>
        <w:t>。工程用砼骨料可在此购买成品方。</w:t>
      </w:r>
    </w:p>
    <w:p w14:paraId="7839CCBF" w14:textId="77777777" w:rsidR="005A1A44" w:rsidRDefault="0008059E">
      <w:pPr>
        <w:ind w:firstLine="480"/>
      </w:pPr>
      <w:r>
        <w:rPr>
          <w:rFonts w:hint="eastAsia"/>
        </w:rPr>
        <w:t>卵石料场位于洛浦县与和田市交界的玉河大桥上游</w:t>
      </w:r>
      <w:r>
        <w:rPr>
          <w:rFonts w:hint="eastAsia"/>
        </w:rPr>
        <w:t xml:space="preserve"> 3km</w:t>
      </w:r>
      <w:r>
        <w:rPr>
          <w:rFonts w:hint="eastAsia"/>
        </w:rPr>
        <w:t>～</w:t>
      </w:r>
      <w:r>
        <w:rPr>
          <w:rFonts w:hint="eastAsia"/>
        </w:rPr>
        <w:t xml:space="preserve">10km </w:t>
      </w:r>
      <w:r>
        <w:rPr>
          <w:rFonts w:hint="eastAsia"/>
        </w:rPr>
        <w:t>范围内的玉河河床及河漫滩内，卵石储量及质量满足需要，距工程区平均</w:t>
      </w:r>
      <w:r>
        <w:rPr>
          <w:rFonts w:hint="eastAsia"/>
        </w:rPr>
        <w:t xml:space="preserve"> 5km</w:t>
      </w:r>
      <w:r>
        <w:rPr>
          <w:rFonts w:hint="eastAsia"/>
        </w:rPr>
        <w:t>。</w:t>
      </w:r>
    </w:p>
    <w:p w14:paraId="5C70B704" w14:textId="77777777" w:rsidR="005A1A44" w:rsidRDefault="0008059E">
      <w:pPr>
        <w:pStyle w:val="4"/>
        <w:numPr>
          <w:ilvl w:val="3"/>
          <w:numId w:val="2"/>
        </w:numPr>
      </w:pPr>
      <w:r>
        <w:rPr>
          <w:rFonts w:hint="eastAsia"/>
        </w:rPr>
        <w:t xml:space="preserve"> </w:t>
      </w:r>
      <w:r>
        <w:rPr>
          <w:rFonts w:hint="eastAsia"/>
        </w:rPr>
        <w:t>施工用电、水</w:t>
      </w:r>
    </w:p>
    <w:p w14:paraId="6B2A0990" w14:textId="77777777" w:rsidR="005A1A44" w:rsidRDefault="0008059E">
      <w:pPr>
        <w:ind w:firstLine="480"/>
      </w:pPr>
      <w:r>
        <w:rPr>
          <w:rFonts w:hint="eastAsia"/>
        </w:rPr>
        <w:t>施工用水从总干渠或河道抽取，施工生活用水可抽取井水至各施工点，用水十分方便。本工程外部输电线路没有专门架设，建议施工用电采用自备电源，由施工单位自行发电解决。</w:t>
      </w:r>
    </w:p>
    <w:p w14:paraId="46BDD5D8" w14:textId="77777777" w:rsidR="005A1A44" w:rsidRDefault="0008059E">
      <w:pPr>
        <w:pStyle w:val="4"/>
        <w:numPr>
          <w:ilvl w:val="3"/>
          <w:numId w:val="2"/>
        </w:numPr>
      </w:pPr>
      <w:r>
        <w:rPr>
          <w:rFonts w:hint="eastAsia"/>
        </w:rPr>
        <w:t xml:space="preserve"> </w:t>
      </w:r>
      <w:r>
        <w:rPr>
          <w:rFonts w:hint="eastAsia"/>
        </w:rPr>
        <w:t>施工生产、生活区</w:t>
      </w:r>
    </w:p>
    <w:p w14:paraId="7BC1951C" w14:textId="77777777" w:rsidR="005A1A44" w:rsidRDefault="0008059E">
      <w:pPr>
        <w:ind w:firstLine="480"/>
      </w:pPr>
      <w:r>
        <w:rPr>
          <w:rFonts w:hint="eastAsia"/>
        </w:rPr>
        <w:t>主要包括施工材料加工区、机修配备区，施工设备停放、各类物资仓库，人员住宿生活等区域，项目可研未明确其选址、占地和施工区布置。</w:t>
      </w:r>
    </w:p>
    <w:p w14:paraId="4C82449D" w14:textId="77777777" w:rsidR="005A1A44" w:rsidRDefault="0008059E">
      <w:pPr>
        <w:pStyle w:val="4"/>
        <w:numPr>
          <w:ilvl w:val="3"/>
          <w:numId w:val="2"/>
        </w:numPr>
      </w:pPr>
      <w:r>
        <w:rPr>
          <w:rFonts w:hint="eastAsia"/>
        </w:rPr>
        <w:t xml:space="preserve"> </w:t>
      </w:r>
      <w:r>
        <w:rPr>
          <w:rFonts w:hint="eastAsia"/>
        </w:rPr>
        <w:t>混凝土拌合系统</w:t>
      </w:r>
    </w:p>
    <w:p w14:paraId="3C8F152D" w14:textId="77777777" w:rsidR="005A1A44" w:rsidRDefault="0008059E">
      <w:pPr>
        <w:ind w:firstLine="480"/>
      </w:pPr>
      <w:r>
        <w:rPr>
          <w:rFonts w:hint="eastAsia"/>
        </w:rPr>
        <w:t>项目涉及砼浇筑，项目可研未明确混凝土拌合系统的数量、位置和占地。</w:t>
      </w:r>
    </w:p>
    <w:p w14:paraId="582C2687" w14:textId="77777777" w:rsidR="005A1A44" w:rsidRDefault="0008059E">
      <w:pPr>
        <w:pStyle w:val="4"/>
        <w:numPr>
          <w:ilvl w:val="3"/>
          <w:numId w:val="2"/>
        </w:numPr>
      </w:pPr>
      <w:r>
        <w:rPr>
          <w:rFonts w:hint="eastAsia"/>
        </w:rPr>
        <w:t xml:space="preserve"> </w:t>
      </w:r>
      <w:r>
        <w:rPr>
          <w:rFonts w:hint="eastAsia"/>
        </w:rPr>
        <w:t>弃渣场设置</w:t>
      </w:r>
    </w:p>
    <w:p w14:paraId="30CEF850" w14:textId="77777777" w:rsidR="005A1A44" w:rsidRDefault="0008059E">
      <w:pPr>
        <w:ind w:firstLine="480"/>
        <w:rPr>
          <w:rFonts w:ascii="宋体" w:eastAsia="宋体" w:hAnsi="宋体" w:cs="宋体" w:hint="eastAsia"/>
        </w:rPr>
      </w:pPr>
      <w:r>
        <w:rPr>
          <w:rFonts w:hint="eastAsia"/>
        </w:rPr>
        <w:t>项目涉及到河道疏浚，清</w:t>
      </w:r>
      <w:r>
        <w:rPr>
          <w:rFonts w:ascii="宋体" w:eastAsia="宋体" w:hAnsi="宋体" w:cs="宋体" w:hint="eastAsia"/>
        </w:rPr>
        <w:t>障量806.54万m³，项目可研未明确弃渣场设置的位置、数量和占地。</w:t>
      </w:r>
    </w:p>
    <w:p w14:paraId="0F18E4CA" w14:textId="77777777" w:rsidR="005A1A44" w:rsidRDefault="0008059E">
      <w:pPr>
        <w:pStyle w:val="4"/>
        <w:numPr>
          <w:ilvl w:val="3"/>
          <w:numId w:val="2"/>
        </w:numPr>
      </w:pPr>
      <w:r>
        <w:rPr>
          <w:rFonts w:hint="eastAsia"/>
        </w:rPr>
        <w:lastRenderedPageBreak/>
        <w:t xml:space="preserve"> </w:t>
      </w:r>
      <w:r>
        <w:rPr>
          <w:rFonts w:hint="eastAsia"/>
        </w:rPr>
        <w:t>施工进度</w:t>
      </w:r>
    </w:p>
    <w:p w14:paraId="490DD70C" w14:textId="77777777" w:rsidR="005A1A44" w:rsidRDefault="0008059E">
      <w:pPr>
        <w:ind w:firstLine="480"/>
        <w:rPr>
          <w:rFonts w:ascii="宋体" w:eastAsia="宋体" w:hAnsi="宋体" w:cs="宋体" w:hint="eastAsia"/>
        </w:rPr>
      </w:pPr>
      <w:r>
        <w:rPr>
          <w:rFonts w:ascii="宋体" w:eastAsia="宋体" w:hAnsi="宋体" w:cs="宋体" w:hint="eastAsia"/>
        </w:rPr>
        <w:t>项目建设期3年，计划于2019年3月份开工建设，预计2022年2  工程全部竣工。</w:t>
      </w:r>
    </w:p>
    <w:p w14:paraId="32FFD402" w14:textId="77777777" w:rsidR="005A1A44" w:rsidRDefault="0008059E">
      <w:pPr>
        <w:pStyle w:val="ac"/>
        <w:widowControl/>
        <w:ind w:firstLineChars="0" w:firstLine="0"/>
        <w:jc w:val="center"/>
        <w:rPr>
          <w:rFonts w:ascii="宋体" w:eastAsia="黑体" w:hAnsi="宋体" w:cs="宋体" w:hint="eastAsia"/>
        </w:rPr>
      </w:pPr>
      <w:r>
        <w:rPr>
          <w:rFonts w:ascii="黑体" w:eastAsia="黑体" w:hAnsi="黑体" w:cs="黑体" w:hint="eastAsia"/>
          <w:bCs/>
          <w:color w:val="000000"/>
        </w:rPr>
        <w:t>表3.4-4  玉龙喀什河河道整治工程施工经度表</w:t>
      </w:r>
    </w:p>
    <w:p w14:paraId="1B7512BE" w14:textId="77777777" w:rsidR="005A1A44" w:rsidRDefault="0008059E">
      <w:pPr>
        <w:widowControl/>
        <w:ind w:firstLineChars="0" w:firstLine="0"/>
        <w:jc w:val="center"/>
      </w:pPr>
      <w:r>
        <w:rPr>
          <w:rFonts w:ascii="宋体" w:eastAsia="宋体" w:hAnsi="宋体" w:cs="宋体"/>
          <w:noProof/>
          <w:kern w:val="0"/>
        </w:rPr>
        <w:drawing>
          <wp:inline distT="0" distB="0" distL="114300" distR="114300" wp14:anchorId="47BF285E" wp14:editId="0B7C6CE7">
            <wp:extent cx="5542280" cy="2679065"/>
            <wp:effectExtent l="0" t="0" r="1270" b="6985"/>
            <wp:docPr id="2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IMG_256"/>
                    <pic:cNvPicPr>
                      <a:picLocks noChangeAspect="1"/>
                    </pic:cNvPicPr>
                  </pic:nvPicPr>
                  <pic:blipFill>
                    <a:blip r:embed="rId30" cstate="print"/>
                    <a:stretch>
                      <a:fillRect/>
                    </a:stretch>
                  </pic:blipFill>
                  <pic:spPr>
                    <a:xfrm>
                      <a:off x="0" y="0"/>
                      <a:ext cx="5542280" cy="2679065"/>
                    </a:xfrm>
                    <a:prstGeom prst="rect">
                      <a:avLst/>
                    </a:prstGeom>
                    <a:noFill/>
                    <a:ln w="9525">
                      <a:noFill/>
                    </a:ln>
                  </pic:spPr>
                </pic:pic>
              </a:graphicData>
            </a:graphic>
          </wp:inline>
        </w:drawing>
      </w:r>
    </w:p>
    <w:p w14:paraId="755CB778" w14:textId="77777777" w:rsidR="005A1A44" w:rsidRDefault="0008059E">
      <w:pPr>
        <w:pStyle w:val="3"/>
        <w:numPr>
          <w:ilvl w:val="2"/>
          <w:numId w:val="2"/>
        </w:numPr>
      </w:pPr>
      <w:bookmarkStart w:id="140" w:name="_Toc1413_WPSOffice_Level2"/>
      <w:r>
        <w:rPr>
          <w:rFonts w:hint="eastAsia"/>
        </w:rPr>
        <w:t xml:space="preserve">  </w:t>
      </w:r>
      <w:r>
        <w:rPr>
          <w:rFonts w:hint="eastAsia"/>
        </w:rPr>
        <w:t>临时工程</w:t>
      </w:r>
      <w:bookmarkEnd w:id="140"/>
    </w:p>
    <w:p w14:paraId="00F77C7F" w14:textId="77777777" w:rsidR="005A1A44" w:rsidRDefault="0008059E">
      <w:pPr>
        <w:ind w:firstLine="480"/>
        <w:jc w:val="left"/>
      </w:pPr>
      <w:r>
        <w:rPr>
          <w:rFonts w:hint="eastAsia"/>
        </w:rPr>
        <w:t>临时工程为施工导流围堰，根据《水利水电工程等级划分及洪水标准》（</w:t>
      </w:r>
      <w:r>
        <w:rPr>
          <w:rFonts w:hint="eastAsia"/>
        </w:rPr>
        <w:t>SL252-2017</w:t>
      </w:r>
      <w:r>
        <w:rPr>
          <w:rFonts w:hint="eastAsia"/>
        </w:rPr>
        <w:t>）规定，临时性水工建筑物保护对象为</w:t>
      </w:r>
      <w:r>
        <w:rPr>
          <w:rFonts w:hint="eastAsia"/>
        </w:rPr>
        <w:t>2</w:t>
      </w:r>
      <w:r>
        <w:rPr>
          <w:rFonts w:hint="eastAsia"/>
        </w:rPr>
        <w:t>级永久性建筑物时，其工程级别为</w:t>
      </w:r>
      <w:r>
        <w:rPr>
          <w:rFonts w:hint="eastAsia"/>
        </w:rPr>
        <w:t>4</w:t>
      </w:r>
      <w:r>
        <w:rPr>
          <w:rFonts w:hint="eastAsia"/>
        </w:rPr>
        <w:t>级。</w:t>
      </w:r>
    </w:p>
    <w:p w14:paraId="316FB807" w14:textId="77777777" w:rsidR="005A1A44" w:rsidRDefault="0008059E">
      <w:pPr>
        <w:pStyle w:val="3"/>
        <w:numPr>
          <w:ilvl w:val="2"/>
          <w:numId w:val="2"/>
        </w:numPr>
      </w:pPr>
      <w:bookmarkStart w:id="141" w:name="_Toc15004_WPSOffice_Level2"/>
      <w:r>
        <w:rPr>
          <w:rFonts w:hint="eastAsia"/>
        </w:rPr>
        <w:t xml:space="preserve"> </w:t>
      </w:r>
      <w:r>
        <w:rPr>
          <w:rFonts w:hint="eastAsia"/>
        </w:rPr>
        <w:t>征地拆迁</w:t>
      </w:r>
      <w:bookmarkEnd w:id="141"/>
    </w:p>
    <w:p w14:paraId="25F3BE9C" w14:textId="77777777" w:rsidR="005A1A44" w:rsidRDefault="0008059E">
      <w:pPr>
        <w:ind w:firstLine="480"/>
        <w:jc w:val="left"/>
      </w:pPr>
      <w:r>
        <w:rPr>
          <w:rFonts w:hint="eastAsia"/>
        </w:rPr>
        <w:t>项目为玉龙喀什河河道治理及两岸生态修复，项目范围内有果园</w:t>
      </w:r>
      <w:r>
        <w:rPr>
          <w:rFonts w:hint="eastAsia"/>
        </w:rPr>
        <w:t>20.48hm</w:t>
      </w:r>
      <w:r>
        <w:rPr>
          <w:rFonts w:hint="eastAsia"/>
          <w:vertAlign w:val="superscript"/>
        </w:rPr>
        <w:t>2</w:t>
      </w:r>
      <w:r>
        <w:rPr>
          <w:rFonts w:hint="eastAsia"/>
        </w:rPr>
        <w:t>、水浇地</w:t>
      </w:r>
      <w:r>
        <w:rPr>
          <w:rFonts w:hint="eastAsia"/>
        </w:rPr>
        <w:t>29.34hm</w:t>
      </w:r>
      <w:r>
        <w:rPr>
          <w:rFonts w:hint="eastAsia"/>
          <w:vertAlign w:val="superscript"/>
        </w:rPr>
        <w:t>2</w:t>
      </w:r>
      <w:r>
        <w:rPr>
          <w:rFonts w:hint="eastAsia"/>
        </w:rPr>
        <w:t>、设施农用地</w:t>
      </w:r>
      <w:r>
        <w:rPr>
          <w:rFonts w:hint="eastAsia"/>
        </w:rPr>
        <w:t>2.05hm</w:t>
      </w:r>
      <w:r>
        <w:rPr>
          <w:rFonts w:hint="eastAsia"/>
          <w:vertAlign w:val="superscript"/>
        </w:rPr>
        <w:t>2</w:t>
      </w:r>
      <w:r>
        <w:rPr>
          <w:rFonts w:hint="eastAsia"/>
        </w:rPr>
        <w:t>。项目可研报告未明确永久占地、临时占地是否占用上述农业用地，环评要求如果项目建设有占用上述农业用地，对占用土地按照有关征地的要求进行补偿征用。</w:t>
      </w:r>
    </w:p>
    <w:p w14:paraId="12E43264" w14:textId="77777777" w:rsidR="005A1A44" w:rsidRDefault="0008059E">
      <w:pPr>
        <w:pStyle w:val="3"/>
        <w:numPr>
          <w:ilvl w:val="2"/>
          <w:numId w:val="2"/>
        </w:numPr>
      </w:pPr>
      <w:r>
        <w:rPr>
          <w:rFonts w:hint="eastAsia"/>
        </w:rPr>
        <w:lastRenderedPageBreak/>
        <w:t xml:space="preserve"> </w:t>
      </w:r>
      <w:r>
        <w:rPr>
          <w:rFonts w:hint="eastAsia"/>
        </w:rPr>
        <w:t>工程投资</w:t>
      </w:r>
    </w:p>
    <w:p w14:paraId="576DDBA3" w14:textId="77777777" w:rsidR="005A1A44" w:rsidRDefault="0008059E">
      <w:pPr>
        <w:ind w:firstLine="480"/>
        <w:rPr>
          <w:rFonts w:ascii="宋体" w:eastAsia="宋体" w:hAnsi="宋体" w:cs="宋体" w:hint="eastAsia"/>
        </w:rPr>
      </w:pPr>
      <w:r>
        <w:rPr>
          <w:rFonts w:ascii="宋体" w:eastAsia="宋体" w:hAnsi="宋体" w:cs="宋体" w:hint="eastAsia"/>
        </w:rPr>
        <w:t>本项目总投资 300000.00 万元，其中工程费用 259751.06 万元，其他费用 18391.71 万元，预备费 21857.23 万元。详见下表总投资估算。</w:t>
      </w:r>
    </w:p>
    <w:p w14:paraId="2C8FF257" w14:textId="77777777" w:rsidR="005A1A44" w:rsidRDefault="0008059E">
      <w:pPr>
        <w:ind w:firstLine="480"/>
        <w:rPr>
          <w:rFonts w:ascii="宋体" w:eastAsia="宋体" w:hAnsi="宋体" w:cs="宋体" w:hint="eastAsia"/>
        </w:rPr>
      </w:pPr>
      <w:r>
        <w:rPr>
          <w:rFonts w:ascii="宋体" w:eastAsia="宋体" w:hAnsi="宋体" w:cs="宋体" w:hint="eastAsia"/>
        </w:rPr>
        <w:t>项目所需资金全部由建设单位自筹解决。</w:t>
      </w:r>
    </w:p>
    <w:p w14:paraId="2950C7FA" w14:textId="77777777" w:rsidR="005A1A44" w:rsidRDefault="0008059E">
      <w:pPr>
        <w:pStyle w:val="ac"/>
        <w:widowControl/>
        <w:ind w:firstLineChars="0" w:firstLine="0"/>
        <w:jc w:val="center"/>
        <w:rPr>
          <w:rFonts w:ascii="宋体" w:eastAsia="黑体" w:hAnsi="宋体" w:cs="宋体" w:hint="eastAsia"/>
        </w:rPr>
      </w:pPr>
      <w:r>
        <w:rPr>
          <w:rFonts w:ascii="黑体" w:eastAsia="黑体" w:hAnsi="黑体" w:cs="黑体" w:hint="eastAsia"/>
          <w:bCs/>
          <w:color w:val="000000"/>
        </w:rPr>
        <w:t>表3.4-5  玉龙喀什河河道整治工程总投资估算表</w:t>
      </w:r>
    </w:p>
    <w:p w14:paraId="1B148987" w14:textId="77777777" w:rsidR="005A1A44" w:rsidRDefault="0008059E">
      <w:pPr>
        <w:widowControl/>
        <w:ind w:firstLineChars="0" w:firstLine="0"/>
        <w:jc w:val="left"/>
      </w:pPr>
      <w:r>
        <w:rPr>
          <w:rFonts w:ascii="宋体" w:eastAsia="宋体" w:hAnsi="宋体" w:cs="宋体"/>
          <w:noProof/>
          <w:kern w:val="0"/>
        </w:rPr>
        <w:drawing>
          <wp:inline distT="0" distB="0" distL="114300" distR="114300" wp14:anchorId="3F6A89B9" wp14:editId="753253B3">
            <wp:extent cx="5346700" cy="3508375"/>
            <wp:effectExtent l="0" t="0" r="6350" b="15875"/>
            <wp:docPr id="2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IMG_256"/>
                    <pic:cNvPicPr>
                      <a:picLocks noChangeAspect="1"/>
                    </pic:cNvPicPr>
                  </pic:nvPicPr>
                  <pic:blipFill>
                    <a:blip r:embed="rId31" cstate="print"/>
                    <a:srcRect t="5765"/>
                    <a:stretch>
                      <a:fillRect/>
                    </a:stretch>
                  </pic:blipFill>
                  <pic:spPr>
                    <a:xfrm>
                      <a:off x="0" y="0"/>
                      <a:ext cx="5346700" cy="3508375"/>
                    </a:xfrm>
                    <a:prstGeom prst="rect">
                      <a:avLst/>
                    </a:prstGeom>
                    <a:noFill/>
                    <a:ln w="9525">
                      <a:noFill/>
                    </a:ln>
                  </pic:spPr>
                </pic:pic>
              </a:graphicData>
            </a:graphic>
          </wp:inline>
        </w:drawing>
      </w:r>
    </w:p>
    <w:p w14:paraId="7DECD35C" w14:textId="77777777" w:rsidR="005A1A44" w:rsidRDefault="005A1A44">
      <w:pPr>
        <w:ind w:firstLine="480"/>
        <w:rPr>
          <w:rFonts w:ascii="宋体" w:eastAsia="宋体" w:hAnsi="宋体" w:cs="宋体" w:hint="eastAsia"/>
        </w:rPr>
      </w:pPr>
    </w:p>
    <w:p w14:paraId="01757007" w14:textId="77777777" w:rsidR="005A1A44" w:rsidRDefault="0008059E">
      <w:pPr>
        <w:spacing w:line="520" w:lineRule="exact"/>
        <w:ind w:firstLine="480"/>
        <w:jc w:val="center"/>
        <w:rPr>
          <w:rFonts w:eastAsia="黑体"/>
          <w:color w:val="000000" w:themeColor="text1"/>
        </w:rPr>
      </w:pPr>
      <w:r>
        <w:rPr>
          <w:rFonts w:eastAsia="黑体"/>
          <w:color w:val="000000" w:themeColor="text1"/>
        </w:rPr>
        <w:t>表</w:t>
      </w:r>
      <w:r>
        <w:rPr>
          <w:rFonts w:eastAsia="黑体" w:hint="eastAsia"/>
          <w:color w:val="000000" w:themeColor="text1"/>
        </w:rPr>
        <w:t>3</w:t>
      </w:r>
      <w:r>
        <w:rPr>
          <w:rFonts w:eastAsia="黑体"/>
          <w:color w:val="000000" w:themeColor="text1"/>
        </w:rPr>
        <w:t>.</w:t>
      </w:r>
      <w:r>
        <w:rPr>
          <w:rFonts w:eastAsia="黑体" w:hint="eastAsia"/>
          <w:color w:val="000000" w:themeColor="text1"/>
        </w:rPr>
        <w:t>4</w:t>
      </w:r>
      <w:r>
        <w:rPr>
          <w:rFonts w:eastAsia="黑体"/>
          <w:color w:val="000000" w:themeColor="text1"/>
        </w:rPr>
        <w:t>-</w:t>
      </w:r>
      <w:r>
        <w:rPr>
          <w:rFonts w:eastAsia="黑体" w:hint="eastAsia"/>
          <w:color w:val="000000" w:themeColor="text1"/>
        </w:rPr>
        <w:t xml:space="preserve">6  </w:t>
      </w:r>
      <w:r>
        <w:rPr>
          <w:rFonts w:eastAsia="黑体"/>
          <w:color w:val="000000" w:themeColor="text1"/>
        </w:rPr>
        <w:t>项目主要工程组成内容一览表</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914"/>
        <w:gridCol w:w="4534"/>
        <w:gridCol w:w="1854"/>
      </w:tblGrid>
      <w:tr w:rsidR="005A1A44" w14:paraId="458472C2" w14:textId="77777777">
        <w:trPr>
          <w:trHeight w:val="357"/>
          <w:tblHeader/>
        </w:trPr>
        <w:tc>
          <w:tcPr>
            <w:tcW w:w="1914" w:type="dxa"/>
            <w:shd w:val="clear" w:color="auto" w:fill="BFBFBF" w:themeFill="background1" w:themeFillShade="BF"/>
            <w:vAlign w:val="center"/>
          </w:tcPr>
          <w:p w14:paraId="11577CE9" w14:textId="77777777" w:rsidR="005A1A44" w:rsidRDefault="0008059E">
            <w:pPr>
              <w:pStyle w:val="a6"/>
              <w:adjustRightInd w:val="0"/>
              <w:snapToGrid w:val="0"/>
              <w:spacing w:after="240" w:line="240" w:lineRule="auto"/>
              <w:ind w:firstLineChars="0" w:firstLine="0"/>
              <w:jc w:val="center"/>
              <w:rPr>
                <w:b/>
                <w:sz w:val="21"/>
                <w:szCs w:val="21"/>
              </w:rPr>
            </w:pPr>
            <w:r>
              <w:rPr>
                <w:rFonts w:hint="eastAsia"/>
                <w:b/>
                <w:sz w:val="21"/>
                <w:szCs w:val="21"/>
              </w:rPr>
              <w:t>工程名称</w:t>
            </w:r>
          </w:p>
        </w:tc>
        <w:tc>
          <w:tcPr>
            <w:tcW w:w="4534" w:type="dxa"/>
            <w:shd w:val="clear" w:color="auto" w:fill="BFBFBF" w:themeFill="background1" w:themeFillShade="BF"/>
            <w:vAlign w:val="center"/>
          </w:tcPr>
          <w:p w14:paraId="645FAB3E" w14:textId="77777777" w:rsidR="005A1A44" w:rsidRDefault="0008059E">
            <w:pPr>
              <w:pStyle w:val="a6"/>
              <w:adjustRightInd w:val="0"/>
              <w:snapToGrid w:val="0"/>
              <w:spacing w:after="240" w:line="240" w:lineRule="auto"/>
              <w:ind w:firstLineChars="0" w:firstLine="0"/>
              <w:jc w:val="center"/>
              <w:rPr>
                <w:b/>
                <w:sz w:val="21"/>
                <w:szCs w:val="21"/>
              </w:rPr>
            </w:pPr>
            <w:r>
              <w:rPr>
                <w:rFonts w:hint="eastAsia"/>
                <w:b/>
                <w:sz w:val="21"/>
                <w:szCs w:val="21"/>
              </w:rPr>
              <w:t>工程内容</w:t>
            </w:r>
          </w:p>
        </w:tc>
        <w:tc>
          <w:tcPr>
            <w:tcW w:w="1854" w:type="dxa"/>
            <w:shd w:val="clear" w:color="auto" w:fill="BFBFBF" w:themeFill="background1" w:themeFillShade="BF"/>
            <w:vAlign w:val="center"/>
          </w:tcPr>
          <w:p w14:paraId="4539627F" w14:textId="77777777" w:rsidR="005A1A44" w:rsidRDefault="0008059E">
            <w:pPr>
              <w:pStyle w:val="a6"/>
              <w:adjustRightInd w:val="0"/>
              <w:snapToGrid w:val="0"/>
              <w:spacing w:after="240" w:line="240" w:lineRule="auto"/>
              <w:ind w:firstLineChars="0" w:firstLine="0"/>
              <w:jc w:val="center"/>
              <w:rPr>
                <w:b/>
                <w:sz w:val="21"/>
                <w:szCs w:val="21"/>
              </w:rPr>
            </w:pPr>
            <w:r>
              <w:rPr>
                <w:rFonts w:hint="eastAsia"/>
                <w:b/>
                <w:sz w:val="21"/>
                <w:szCs w:val="21"/>
              </w:rPr>
              <w:t>备注</w:t>
            </w:r>
          </w:p>
        </w:tc>
      </w:tr>
      <w:tr w:rsidR="005A1A44" w14:paraId="78D82DF4" w14:textId="77777777">
        <w:trPr>
          <w:trHeight w:val="454"/>
        </w:trPr>
        <w:tc>
          <w:tcPr>
            <w:tcW w:w="1914" w:type="dxa"/>
            <w:shd w:val="clear" w:color="auto" w:fill="auto"/>
            <w:vAlign w:val="center"/>
          </w:tcPr>
          <w:p w14:paraId="05336767" w14:textId="77777777" w:rsidR="005A1A44" w:rsidRDefault="0008059E">
            <w:pPr>
              <w:pStyle w:val="a6"/>
              <w:adjustRightInd w:val="0"/>
              <w:snapToGrid w:val="0"/>
              <w:spacing w:after="240" w:line="240" w:lineRule="auto"/>
              <w:ind w:firstLineChars="0" w:firstLine="0"/>
              <w:rPr>
                <w:b/>
                <w:sz w:val="21"/>
                <w:szCs w:val="21"/>
              </w:rPr>
            </w:pPr>
            <w:r>
              <w:rPr>
                <w:rFonts w:hint="eastAsia"/>
                <w:b/>
                <w:sz w:val="21"/>
                <w:szCs w:val="21"/>
              </w:rPr>
              <w:t>一、主体工程</w:t>
            </w:r>
          </w:p>
        </w:tc>
        <w:tc>
          <w:tcPr>
            <w:tcW w:w="4534" w:type="dxa"/>
            <w:shd w:val="clear" w:color="auto" w:fill="auto"/>
            <w:vAlign w:val="center"/>
          </w:tcPr>
          <w:p w14:paraId="2012959D" w14:textId="77777777" w:rsidR="005A1A44" w:rsidRDefault="005A1A44">
            <w:pPr>
              <w:spacing w:line="240" w:lineRule="auto"/>
              <w:ind w:firstLineChars="0" w:firstLine="0"/>
              <w:rPr>
                <w:rFonts w:ascii="宋体" w:eastAsia="宋体" w:hAnsi="宋体" w:cs="宋体" w:hint="eastAsia"/>
                <w:sz w:val="21"/>
                <w:szCs w:val="21"/>
              </w:rPr>
            </w:pPr>
          </w:p>
          <w:p w14:paraId="04026E8C" w14:textId="77777777" w:rsidR="005A1A44" w:rsidRDefault="005A1A44">
            <w:pPr>
              <w:pStyle w:val="a6"/>
              <w:adjustRightInd w:val="0"/>
              <w:snapToGrid w:val="0"/>
              <w:spacing w:after="240" w:line="240" w:lineRule="auto"/>
              <w:ind w:firstLineChars="0" w:firstLine="0"/>
              <w:rPr>
                <w:rFonts w:ascii="宋体" w:eastAsia="宋体" w:hAnsi="宋体" w:cs="宋体" w:hint="eastAsia"/>
                <w:sz w:val="21"/>
                <w:szCs w:val="21"/>
              </w:rPr>
            </w:pPr>
          </w:p>
        </w:tc>
        <w:tc>
          <w:tcPr>
            <w:tcW w:w="1854" w:type="dxa"/>
            <w:shd w:val="clear" w:color="auto" w:fill="auto"/>
            <w:vAlign w:val="center"/>
          </w:tcPr>
          <w:p w14:paraId="6C57A169" w14:textId="77777777" w:rsidR="005A1A44" w:rsidRDefault="005A1A44">
            <w:pPr>
              <w:pStyle w:val="a6"/>
              <w:adjustRightInd w:val="0"/>
              <w:snapToGrid w:val="0"/>
              <w:spacing w:after="240" w:line="240" w:lineRule="auto"/>
              <w:ind w:firstLineChars="0" w:firstLine="0"/>
              <w:rPr>
                <w:sz w:val="21"/>
                <w:szCs w:val="21"/>
              </w:rPr>
            </w:pPr>
          </w:p>
        </w:tc>
      </w:tr>
      <w:tr w:rsidR="005A1A44" w14:paraId="79A0C95C" w14:textId="77777777">
        <w:trPr>
          <w:trHeight w:val="888"/>
        </w:trPr>
        <w:tc>
          <w:tcPr>
            <w:tcW w:w="1914" w:type="dxa"/>
            <w:shd w:val="clear" w:color="auto" w:fill="auto"/>
            <w:vAlign w:val="center"/>
          </w:tcPr>
          <w:p w14:paraId="1867F0BD"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1</w:t>
            </w:r>
            <w:r>
              <w:rPr>
                <w:rFonts w:hint="eastAsia"/>
                <w:sz w:val="21"/>
                <w:szCs w:val="21"/>
              </w:rPr>
              <w:t>、防洪堤</w:t>
            </w:r>
          </w:p>
        </w:tc>
        <w:tc>
          <w:tcPr>
            <w:tcW w:w="4534" w:type="dxa"/>
            <w:shd w:val="clear" w:color="auto" w:fill="auto"/>
            <w:vAlign w:val="center"/>
          </w:tcPr>
          <w:p w14:paraId="668B4951" w14:textId="77777777" w:rsidR="005A1A44" w:rsidRDefault="0008059E">
            <w:pPr>
              <w:pStyle w:val="a6"/>
              <w:adjustRightInd w:val="0"/>
              <w:snapToGrid w:val="0"/>
              <w:spacing w:after="240" w:line="240" w:lineRule="auto"/>
              <w:ind w:firstLineChars="0" w:firstLine="0"/>
              <w:rPr>
                <w:rFonts w:ascii="宋体" w:eastAsia="宋体" w:hAnsi="宋体" w:cs="宋体" w:hint="eastAsia"/>
                <w:kern w:val="0"/>
                <w:sz w:val="21"/>
                <w:szCs w:val="21"/>
              </w:rPr>
            </w:pPr>
            <w:r>
              <w:rPr>
                <w:rFonts w:ascii="宋体" w:eastAsia="宋体" w:hAnsi="宋体" w:cs="宋体" w:hint="eastAsia"/>
                <w:sz w:val="21"/>
                <w:szCs w:val="21"/>
              </w:rPr>
              <w:t>河道堤防总长45.797km，其中左岸防洪堤从土和高速公路桥（桩号K8+725）起，沿玉龙喀什河左岸往下游延伸，止于玉龙喀什河4桥下游500m处（桩号K35+850），防洪堤总长 26.92km，其中新建堤防</w:t>
            </w:r>
            <w:r>
              <w:rPr>
                <w:rFonts w:hint="eastAsia"/>
              </w:rPr>
              <w:t xml:space="preserve"> </w:t>
            </w:r>
            <w:r>
              <w:rPr>
                <w:rFonts w:ascii="宋体" w:eastAsia="宋体" w:hAnsi="宋体" w:cs="宋体" w:hint="eastAsia"/>
                <w:sz w:val="21"/>
                <w:szCs w:val="21"/>
              </w:rPr>
              <w:t>9.709km；右岸防洪堤从和田市与洛</w:t>
            </w:r>
            <w:r>
              <w:rPr>
                <w:rFonts w:ascii="宋体" w:eastAsia="宋体" w:hAnsi="宋体" w:cs="宋体" w:hint="eastAsia"/>
                <w:sz w:val="21"/>
                <w:szCs w:val="21"/>
              </w:rPr>
              <w:lastRenderedPageBreak/>
              <w:t>浦县的交界处（桩号K17+229）起，沿玉龙喀什河右岸往下游延伸，止于玉龙喀什河四桥下游500m处（桩号K35+850），防洪堤总长 18.797km，其中新建堤防8.896km，采用土堤型式，混凝土面板，堤顶采用卵石路面。</w:t>
            </w:r>
          </w:p>
        </w:tc>
        <w:tc>
          <w:tcPr>
            <w:tcW w:w="1854" w:type="dxa"/>
            <w:shd w:val="clear" w:color="auto" w:fill="auto"/>
            <w:vAlign w:val="center"/>
          </w:tcPr>
          <w:p w14:paraId="08888D48"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lastRenderedPageBreak/>
              <w:t>工程等级为Ⅱ等，主要建筑物级别按</w:t>
            </w:r>
            <w:r>
              <w:rPr>
                <w:rFonts w:hint="eastAsia"/>
                <w:sz w:val="21"/>
                <w:szCs w:val="21"/>
              </w:rPr>
              <w:t xml:space="preserve"> 2 </w:t>
            </w:r>
            <w:r>
              <w:rPr>
                <w:rFonts w:hint="eastAsia"/>
                <w:sz w:val="21"/>
                <w:szCs w:val="21"/>
              </w:rPr>
              <w:t>级设计，防洪标准采用</w:t>
            </w:r>
            <w:r>
              <w:rPr>
                <w:rFonts w:hint="eastAsia"/>
                <w:sz w:val="21"/>
                <w:szCs w:val="21"/>
              </w:rPr>
              <w:t xml:space="preserve"> 50 </w:t>
            </w:r>
            <w:r>
              <w:rPr>
                <w:rFonts w:hint="eastAsia"/>
                <w:sz w:val="21"/>
                <w:szCs w:val="21"/>
              </w:rPr>
              <w:t>年一遇</w:t>
            </w:r>
          </w:p>
        </w:tc>
      </w:tr>
      <w:tr w:rsidR="005A1A44" w14:paraId="6456E934" w14:textId="77777777">
        <w:trPr>
          <w:trHeight w:val="888"/>
        </w:trPr>
        <w:tc>
          <w:tcPr>
            <w:tcW w:w="1914" w:type="dxa"/>
            <w:shd w:val="clear" w:color="auto" w:fill="auto"/>
            <w:vAlign w:val="center"/>
          </w:tcPr>
          <w:p w14:paraId="2859D632" w14:textId="77777777" w:rsidR="005A1A44" w:rsidRDefault="0008059E">
            <w:pPr>
              <w:pStyle w:val="a6"/>
              <w:adjustRightInd w:val="0"/>
              <w:snapToGrid w:val="0"/>
              <w:spacing w:after="240"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2、河道疏浚</w:t>
            </w:r>
          </w:p>
        </w:tc>
        <w:tc>
          <w:tcPr>
            <w:tcW w:w="4534" w:type="dxa"/>
            <w:shd w:val="clear" w:color="auto" w:fill="auto"/>
            <w:vAlign w:val="center"/>
          </w:tcPr>
          <w:p w14:paraId="197AF4BD" w14:textId="77777777" w:rsidR="005A1A44" w:rsidRDefault="0008059E">
            <w:pPr>
              <w:pStyle w:val="a6"/>
              <w:adjustRightInd w:val="0"/>
              <w:snapToGrid w:val="0"/>
              <w:spacing w:after="240"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在城区桩号21+800 往下游沿河道中心线开挖河槽，河槽沿河道中心线对称布置，左右侧底宽各 25m，河槽底两侧按 1:5.0 向设计河床放坡，河槽深 1m，顶宽 60m，根据河道坡降选取合适的位置设置跌水，跌水结构采用格宾笼结构，顶高程高出河槽底高程 0.80m，清障量1148.44万m³。</w:t>
            </w:r>
          </w:p>
        </w:tc>
        <w:tc>
          <w:tcPr>
            <w:tcW w:w="1854" w:type="dxa"/>
            <w:shd w:val="clear" w:color="auto" w:fill="auto"/>
            <w:vAlign w:val="center"/>
          </w:tcPr>
          <w:p w14:paraId="1D0BAF75" w14:textId="77777777" w:rsidR="005A1A44" w:rsidRDefault="005A1A44">
            <w:pPr>
              <w:pStyle w:val="a6"/>
              <w:adjustRightInd w:val="0"/>
              <w:snapToGrid w:val="0"/>
              <w:spacing w:after="240" w:line="240" w:lineRule="auto"/>
              <w:ind w:firstLineChars="0" w:firstLine="0"/>
              <w:rPr>
                <w:sz w:val="21"/>
                <w:szCs w:val="21"/>
              </w:rPr>
            </w:pPr>
          </w:p>
        </w:tc>
      </w:tr>
      <w:tr w:rsidR="005A1A44" w14:paraId="6D4399A2" w14:textId="77777777">
        <w:trPr>
          <w:trHeight w:val="888"/>
        </w:trPr>
        <w:tc>
          <w:tcPr>
            <w:tcW w:w="1914" w:type="dxa"/>
            <w:shd w:val="clear" w:color="auto" w:fill="auto"/>
            <w:vAlign w:val="center"/>
          </w:tcPr>
          <w:p w14:paraId="753D5797" w14:textId="77777777" w:rsidR="005A1A44" w:rsidRDefault="0008059E">
            <w:pPr>
              <w:pStyle w:val="a6"/>
              <w:adjustRightInd w:val="0"/>
              <w:snapToGrid w:val="0"/>
              <w:spacing w:after="240"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3、堤顶绿行慢道</w:t>
            </w:r>
          </w:p>
        </w:tc>
        <w:tc>
          <w:tcPr>
            <w:tcW w:w="4534" w:type="dxa"/>
            <w:shd w:val="clear" w:color="auto" w:fill="auto"/>
            <w:vAlign w:val="center"/>
          </w:tcPr>
          <w:p w14:paraId="4D5624AE" w14:textId="77777777" w:rsidR="005A1A44" w:rsidRDefault="0008059E">
            <w:pPr>
              <w:pStyle w:val="a6"/>
              <w:adjustRightInd w:val="0"/>
              <w:snapToGrid w:val="0"/>
              <w:spacing w:after="240"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绿道总长约27.4km，环绕整个生态岸线，其中跑道慢跑道宽度为1.5m，自行车道为2m，整体绿道3.5m全部采用彩色混凝土铺装。人行步道路面宽度为2.0</w:t>
            </w:r>
            <w:r>
              <w:rPr>
                <w:rFonts w:eastAsia="宋体" w:hAnsi="宋体" w:cs="宋体" w:hint="eastAsia"/>
                <w:sz w:val="21"/>
                <w:szCs w:val="21"/>
              </w:rPr>
              <w:t>~</w:t>
            </w:r>
            <w:r>
              <w:rPr>
                <w:rFonts w:ascii="宋体" w:eastAsia="宋体" w:hAnsi="宋体" w:cs="宋体" w:hint="eastAsia"/>
                <w:sz w:val="21"/>
                <w:szCs w:val="21"/>
              </w:rPr>
              <w:t>3.5m。</w:t>
            </w:r>
          </w:p>
        </w:tc>
        <w:tc>
          <w:tcPr>
            <w:tcW w:w="1854" w:type="dxa"/>
            <w:shd w:val="clear" w:color="auto" w:fill="auto"/>
            <w:vAlign w:val="center"/>
          </w:tcPr>
          <w:p w14:paraId="7CCA058B" w14:textId="77777777" w:rsidR="005A1A44" w:rsidRDefault="005A1A44">
            <w:pPr>
              <w:pStyle w:val="a6"/>
              <w:adjustRightInd w:val="0"/>
              <w:snapToGrid w:val="0"/>
              <w:spacing w:after="240" w:line="240" w:lineRule="auto"/>
              <w:ind w:firstLineChars="0" w:firstLine="0"/>
              <w:rPr>
                <w:sz w:val="21"/>
                <w:szCs w:val="21"/>
              </w:rPr>
            </w:pPr>
          </w:p>
        </w:tc>
      </w:tr>
      <w:tr w:rsidR="005A1A44" w14:paraId="2DD132B9" w14:textId="77777777">
        <w:trPr>
          <w:trHeight w:val="888"/>
        </w:trPr>
        <w:tc>
          <w:tcPr>
            <w:tcW w:w="1914" w:type="dxa"/>
            <w:shd w:val="clear" w:color="auto" w:fill="auto"/>
            <w:vAlign w:val="center"/>
          </w:tcPr>
          <w:p w14:paraId="5569CAAB"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4</w:t>
            </w:r>
            <w:r>
              <w:rPr>
                <w:rFonts w:hint="eastAsia"/>
                <w:sz w:val="21"/>
                <w:szCs w:val="21"/>
              </w:rPr>
              <w:t>、特色景观</w:t>
            </w:r>
          </w:p>
        </w:tc>
        <w:tc>
          <w:tcPr>
            <w:tcW w:w="4534" w:type="dxa"/>
            <w:shd w:val="clear" w:color="auto" w:fill="auto"/>
            <w:vAlign w:val="center"/>
          </w:tcPr>
          <w:p w14:paraId="5690F4D6" w14:textId="77777777" w:rsidR="005A1A44" w:rsidRDefault="0008059E">
            <w:pPr>
              <w:pStyle w:val="a6"/>
              <w:adjustRightInd w:val="0"/>
              <w:snapToGrid w:val="0"/>
              <w:spacing w:after="240" w:line="240" w:lineRule="auto"/>
              <w:ind w:firstLineChars="0" w:firstLine="0"/>
              <w:rPr>
                <w:kern w:val="0"/>
                <w:sz w:val="21"/>
                <w:szCs w:val="21"/>
              </w:rPr>
            </w:pPr>
            <w:r>
              <w:rPr>
                <w:rFonts w:hint="eastAsia"/>
                <w:kern w:val="0"/>
                <w:sz w:val="21"/>
                <w:szCs w:val="21"/>
              </w:rPr>
              <w:t>整个景观带顺河流方向分成三段，从上游至一桥为“体育休闲公园、城市湿地公园”，一桥至三桥之间为“文化休闲公园”，三桥至四桥之间为“滨河休闲公园、生态休闲公园”，总计绿化面积</w:t>
            </w:r>
            <w:r>
              <w:rPr>
                <w:rFonts w:ascii="宋体" w:eastAsia="宋体" w:hAnsi="宋体" w:cs="宋体" w:hint="eastAsia"/>
                <w:sz w:val="21"/>
                <w:szCs w:val="21"/>
              </w:rPr>
              <w:t>667.241hm</w:t>
            </w:r>
            <w:r>
              <w:rPr>
                <w:rFonts w:ascii="宋体" w:eastAsia="宋体" w:hAnsi="宋体" w:cs="宋体" w:hint="eastAsia"/>
                <w:sz w:val="21"/>
                <w:szCs w:val="21"/>
                <w:vertAlign w:val="superscript"/>
              </w:rPr>
              <w:t>2</w:t>
            </w:r>
            <w:r>
              <w:rPr>
                <w:rFonts w:ascii="宋体" w:eastAsia="宋体" w:hAnsi="宋体" w:cs="宋体" w:hint="eastAsia"/>
                <w:sz w:val="21"/>
                <w:szCs w:val="21"/>
              </w:rPr>
              <w:t>。</w:t>
            </w:r>
          </w:p>
        </w:tc>
        <w:tc>
          <w:tcPr>
            <w:tcW w:w="1854" w:type="dxa"/>
            <w:shd w:val="clear" w:color="auto" w:fill="auto"/>
            <w:vAlign w:val="center"/>
          </w:tcPr>
          <w:p w14:paraId="120D931B" w14:textId="77777777" w:rsidR="005A1A44" w:rsidRDefault="005A1A44">
            <w:pPr>
              <w:pStyle w:val="a6"/>
              <w:adjustRightInd w:val="0"/>
              <w:snapToGrid w:val="0"/>
              <w:spacing w:after="240" w:line="240" w:lineRule="auto"/>
              <w:ind w:firstLineChars="0" w:firstLine="0"/>
              <w:rPr>
                <w:sz w:val="21"/>
                <w:szCs w:val="21"/>
              </w:rPr>
            </w:pPr>
          </w:p>
        </w:tc>
      </w:tr>
      <w:tr w:rsidR="005A1A44" w14:paraId="4067968D" w14:textId="77777777">
        <w:trPr>
          <w:trHeight w:val="344"/>
        </w:trPr>
        <w:tc>
          <w:tcPr>
            <w:tcW w:w="1914" w:type="dxa"/>
            <w:shd w:val="clear" w:color="auto" w:fill="auto"/>
            <w:vAlign w:val="center"/>
          </w:tcPr>
          <w:p w14:paraId="4D93BAB9" w14:textId="77777777" w:rsidR="005A1A44" w:rsidRDefault="0008059E">
            <w:pPr>
              <w:pStyle w:val="a6"/>
              <w:adjustRightInd w:val="0"/>
              <w:snapToGrid w:val="0"/>
              <w:spacing w:after="240" w:line="240" w:lineRule="auto"/>
              <w:ind w:firstLineChars="0" w:firstLine="0"/>
              <w:rPr>
                <w:b/>
                <w:sz w:val="21"/>
                <w:szCs w:val="21"/>
              </w:rPr>
            </w:pPr>
            <w:r>
              <w:rPr>
                <w:rFonts w:hint="eastAsia"/>
                <w:b/>
                <w:sz w:val="21"/>
                <w:szCs w:val="21"/>
              </w:rPr>
              <w:t>二、辅助工程</w:t>
            </w:r>
          </w:p>
        </w:tc>
        <w:tc>
          <w:tcPr>
            <w:tcW w:w="4534" w:type="dxa"/>
            <w:shd w:val="clear" w:color="auto" w:fill="auto"/>
            <w:vAlign w:val="center"/>
          </w:tcPr>
          <w:p w14:paraId="376F2B0B" w14:textId="77777777" w:rsidR="005A1A44" w:rsidRDefault="005A1A44">
            <w:pPr>
              <w:pStyle w:val="a6"/>
              <w:adjustRightInd w:val="0"/>
              <w:snapToGrid w:val="0"/>
              <w:spacing w:after="240" w:line="240" w:lineRule="auto"/>
              <w:ind w:firstLineChars="0" w:firstLine="0"/>
              <w:rPr>
                <w:sz w:val="21"/>
                <w:szCs w:val="21"/>
              </w:rPr>
            </w:pPr>
          </w:p>
        </w:tc>
        <w:tc>
          <w:tcPr>
            <w:tcW w:w="1854" w:type="dxa"/>
            <w:shd w:val="clear" w:color="auto" w:fill="auto"/>
            <w:vAlign w:val="center"/>
          </w:tcPr>
          <w:p w14:paraId="3ED304AF" w14:textId="77777777" w:rsidR="005A1A44" w:rsidRDefault="005A1A44">
            <w:pPr>
              <w:pStyle w:val="a6"/>
              <w:adjustRightInd w:val="0"/>
              <w:snapToGrid w:val="0"/>
              <w:spacing w:after="240" w:line="240" w:lineRule="auto"/>
              <w:ind w:firstLineChars="0" w:firstLine="0"/>
              <w:rPr>
                <w:sz w:val="21"/>
                <w:szCs w:val="21"/>
              </w:rPr>
            </w:pPr>
          </w:p>
        </w:tc>
      </w:tr>
      <w:tr w:rsidR="005A1A44" w14:paraId="1968B4FC" w14:textId="77777777">
        <w:trPr>
          <w:trHeight w:val="90"/>
        </w:trPr>
        <w:tc>
          <w:tcPr>
            <w:tcW w:w="1914" w:type="dxa"/>
            <w:shd w:val="clear" w:color="auto" w:fill="auto"/>
            <w:vAlign w:val="center"/>
          </w:tcPr>
          <w:p w14:paraId="6107650E" w14:textId="77777777" w:rsidR="005A1A44" w:rsidRDefault="0008059E">
            <w:pPr>
              <w:spacing w:line="240" w:lineRule="auto"/>
              <w:ind w:firstLineChars="0" w:firstLine="0"/>
              <w:rPr>
                <w:sz w:val="21"/>
                <w:szCs w:val="21"/>
              </w:rPr>
            </w:pPr>
            <w:r>
              <w:rPr>
                <w:rFonts w:hint="eastAsia"/>
                <w:sz w:val="21"/>
                <w:szCs w:val="21"/>
              </w:rPr>
              <w:t>1</w:t>
            </w:r>
            <w:r>
              <w:rPr>
                <w:rFonts w:hint="eastAsia"/>
                <w:sz w:val="21"/>
                <w:szCs w:val="21"/>
              </w:rPr>
              <w:t>、公用设施</w:t>
            </w:r>
          </w:p>
        </w:tc>
        <w:tc>
          <w:tcPr>
            <w:tcW w:w="4534" w:type="dxa"/>
            <w:shd w:val="clear" w:color="auto" w:fill="auto"/>
            <w:vAlign w:val="center"/>
          </w:tcPr>
          <w:p w14:paraId="73BCAF03" w14:textId="77777777" w:rsidR="005A1A44" w:rsidRDefault="0008059E">
            <w:pPr>
              <w:pStyle w:val="a6"/>
              <w:adjustRightInd w:val="0"/>
              <w:snapToGrid w:val="0"/>
              <w:spacing w:after="240" w:line="240" w:lineRule="auto"/>
              <w:ind w:firstLineChars="0" w:firstLine="0"/>
              <w:rPr>
                <w:sz w:val="21"/>
                <w:szCs w:val="21"/>
              </w:rPr>
            </w:pPr>
            <w:r>
              <w:rPr>
                <w:kern w:val="0"/>
                <w:sz w:val="21"/>
                <w:szCs w:val="21"/>
              </w:rPr>
              <w:t>坐凳、垃圾桶、厕所、照明系统等，</w:t>
            </w:r>
            <w:r>
              <w:rPr>
                <w:kern w:val="0"/>
                <w:sz w:val="21"/>
                <w:szCs w:val="21"/>
              </w:rPr>
              <w:t>5m</w:t>
            </w:r>
            <w:r>
              <w:rPr>
                <w:kern w:val="0"/>
                <w:sz w:val="21"/>
                <w:szCs w:val="21"/>
              </w:rPr>
              <w:t>高景观路灯沿堤顶道路每</w:t>
            </w:r>
            <w:r>
              <w:rPr>
                <w:kern w:val="0"/>
                <w:sz w:val="21"/>
                <w:szCs w:val="21"/>
              </w:rPr>
              <w:t>15m</w:t>
            </w:r>
            <w:r>
              <w:rPr>
                <w:kern w:val="0"/>
                <w:sz w:val="21"/>
                <w:szCs w:val="21"/>
              </w:rPr>
              <w:t>单边布置；</w:t>
            </w:r>
            <w:r>
              <w:rPr>
                <w:kern w:val="0"/>
                <w:sz w:val="21"/>
                <w:szCs w:val="21"/>
              </w:rPr>
              <w:t>3.5m</w:t>
            </w:r>
            <w:r>
              <w:rPr>
                <w:kern w:val="0"/>
                <w:sz w:val="21"/>
                <w:szCs w:val="21"/>
              </w:rPr>
              <w:t>高景观灯沿步行道每</w:t>
            </w:r>
            <w:r>
              <w:rPr>
                <w:kern w:val="0"/>
                <w:sz w:val="21"/>
                <w:szCs w:val="21"/>
              </w:rPr>
              <w:t>20m</w:t>
            </w:r>
            <w:r>
              <w:rPr>
                <w:kern w:val="0"/>
                <w:sz w:val="21"/>
                <w:szCs w:val="21"/>
              </w:rPr>
              <w:t>交叉布置；</w:t>
            </w:r>
            <w:r>
              <w:rPr>
                <w:kern w:val="0"/>
                <w:sz w:val="21"/>
                <w:szCs w:val="21"/>
              </w:rPr>
              <w:t>0.45m</w:t>
            </w:r>
            <w:r>
              <w:rPr>
                <w:kern w:val="0"/>
                <w:sz w:val="21"/>
                <w:szCs w:val="21"/>
              </w:rPr>
              <w:t>高地灯沿步行道每</w:t>
            </w:r>
            <w:r>
              <w:rPr>
                <w:kern w:val="0"/>
                <w:sz w:val="21"/>
                <w:szCs w:val="21"/>
              </w:rPr>
              <w:t>20m</w:t>
            </w:r>
            <w:r>
              <w:rPr>
                <w:kern w:val="0"/>
                <w:sz w:val="21"/>
                <w:szCs w:val="21"/>
              </w:rPr>
              <w:t>交叉布置；休闲座椅沿步行道间隔</w:t>
            </w:r>
            <w:r>
              <w:rPr>
                <w:kern w:val="0"/>
                <w:sz w:val="21"/>
                <w:szCs w:val="21"/>
              </w:rPr>
              <w:t>30m</w:t>
            </w:r>
            <w:r>
              <w:rPr>
                <w:kern w:val="0"/>
                <w:sz w:val="21"/>
                <w:szCs w:val="21"/>
              </w:rPr>
              <w:t>左右；垃圾桶沿步行道间隔</w:t>
            </w:r>
            <w:r>
              <w:rPr>
                <w:kern w:val="0"/>
                <w:sz w:val="21"/>
                <w:szCs w:val="21"/>
              </w:rPr>
              <w:t>50m</w:t>
            </w:r>
            <w:r>
              <w:rPr>
                <w:kern w:val="0"/>
                <w:sz w:val="21"/>
                <w:szCs w:val="21"/>
              </w:rPr>
              <w:t>左右。园区内重要节点路段设置厕所，每</w:t>
            </w:r>
            <w:r>
              <w:rPr>
                <w:kern w:val="0"/>
                <w:sz w:val="21"/>
                <w:szCs w:val="21"/>
              </w:rPr>
              <w:t>250</w:t>
            </w:r>
            <w:r>
              <w:rPr>
                <w:kern w:val="0"/>
                <w:sz w:val="21"/>
                <w:szCs w:val="21"/>
              </w:rPr>
              <w:t>米</w:t>
            </w:r>
            <w:r>
              <w:rPr>
                <w:kern w:val="0"/>
                <w:sz w:val="21"/>
                <w:szCs w:val="21"/>
              </w:rPr>
              <w:t>/</w:t>
            </w:r>
            <w:r>
              <w:rPr>
                <w:kern w:val="0"/>
                <w:sz w:val="21"/>
                <w:szCs w:val="21"/>
              </w:rPr>
              <w:t>个。</w:t>
            </w:r>
          </w:p>
        </w:tc>
        <w:tc>
          <w:tcPr>
            <w:tcW w:w="1854" w:type="dxa"/>
            <w:shd w:val="clear" w:color="auto" w:fill="auto"/>
            <w:vAlign w:val="center"/>
          </w:tcPr>
          <w:p w14:paraId="2892F9A2" w14:textId="77777777" w:rsidR="005A1A44" w:rsidRDefault="005A1A44">
            <w:pPr>
              <w:pStyle w:val="a6"/>
              <w:adjustRightInd w:val="0"/>
              <w:snapToGrid w:val="0"/>
              <w:spacing w:after="240" w:line="240" w:lineRule="auto"/>
              <w:ind w:firstLineChars="0" w:firstLine="0"/>
              <w:rPr>
                <w:sz w:val="21"/>
                <w:szCs w:val="21"/>
              </w:rPr>
            </w:pPr>
          </w:p>
          <w:p w14:paraId="297F72ED" w14:textId="77777777" w:rsidR="005A1A44" w:rsidRDefault="005A1A44">
            <w:pPr>
              <w:pStyle w:val="a6"/>
              <w:adjustRightInd w:val="0"/>
              <w:snapToGrid w:val="0"/>
              <w:spacing w:after="240" w:line="240" w:lineRule="auto"/>
              <w:ind w:firstLineChars="0" w:firstLine="0"/>
              <w:rPr>
                <w:sz w:val="21"/>
                <w:szCs w:val="21"/>
              </w:rPr>
            </w:pPr>
          </w:p>
        </w:tc>
      </w:tr>
      <w:tr w:rsidR="005A1A44" w14:paraId="705C4147" w14:textId="77777777">
        <w:trPr>
          <w:trHeight w:val="2357"/>
        </w:trPr>
        <w:tc>
          <w:tcPr>
            <w:tcW w:w="1914" w:type="dxa"/>
            <w:shd w:val="clear" w:color="auto" w:fill="auto"/>
            <w:vAlign w:val="center"/>
          </w:tcPr>
          <w:p w14:paraId="60F3D494" w14:textId="77777777" w:rsidR="005A1A44" w:rsidRDefault="0008059E">
            <w:pPr>
              <w:pStyle w:val="a6"/>
              <w:adjustRightInd w:val="0"/>
              <w:snapToGrid w:val="0"/>
              <w:spacing w:after="240" w:line="240" w:lineRule="auto"/>
              <w:ind w:firstLineChars="0" w:firstLine="0"/>
              <w:rPr>
                <w:sz w:val="21"/>
                <w:szCs w:val="21"/>
              </w:rPr>
            </w:pPr>
            <w:r>
              <w:rPr>
                <w:rFonts w:hint="eastAsia"/>
                <w:bCs/>
                <w:spacing w:val="-4"/>
                <w:sz w:val="21"/>
                <w:szCs w:val="21"/>
              </w:rPr>
              <w:t>2</w:t>
            </w:r>
            <w:r>
              <w:rPr>
                <w:rFonts w:hint="eastAsia"/>
                <w:bCs/>
                <w:spacing w:val="-4"/>
                <w:sz w:val="21"/>
                <w:szCs w:val="21"/>
              </w:rPr>
              <w:t>、临时导流工程</w:t>
            </w:r>
          </w:p>
        </w:tc>
        <w:tc>
          <w:tcPr>
            <w:tcW w:w="4534" w:type="dxa"/>
            <w:shd w:val="clear" w:color="auto" w:fill="auto"/>
            <w:vAlign w:val="center"/>
          </w:tcPr>
          <w:p w14:paraId="052F11FA"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沿线新建堤防全线</w:t>
            </w:r>
            <w:r>
              <w:rPr>
                <w:rFonts w:hint="eastAsia"/>
                <w:sz w:val="21"/>
                <w:szCs w:val="21"/>
              </w:rPr>
              <w:t>40m</w:t>
            </w:r>
            <w:r>
              <w:rPr>
                <w:rFonts w:hint="eastAsia"/>
                <w:sz w:val="21"/>
                <w:szCs w:val="21"/>
              </w:rPr>
              <w:t>外布置导流围堰，为防止洪水绕过围堰两端，蔓延至施工区，需考虑围堰首尾端各延长</w:t>
            </w:r>
            <w:r>
              <w:rPr>
                <w:rFonts w:hint="eastAsia"/>
                <w:sz w:val="21"/>
                <w:szCs w:val="21"/>
              </w:rPr>
              <w:t>100m</w:t>
            </w:r>
            <w:r>
              <w:rPr>
                <w:rFonts w:hint="eastAsia"/>
                <w:sz w:val="21"/>
                <w:szCs w:val="21"/>
              </w:rPr>
              <w:t>。设计围堰填筑高度为</w:t>
            </w:r>
            <w:r>
              <w:rPr>
                <w:rFonts w:hint="eastAsia"/>
                <w:sz w:val="21"/>
                <w:szCs w:val="21"/>
              </w:rPr>
              <w:t>1.5m</w:t>
            </w:r>
            <w:r>
              <w:rPr>
                <w:rFonts w:hint="eastAsia"/>
                <w:sz w:val="21"/>
                <w:szCs w:val="21"/>
              </w:rPr>
              <w:t>，引水面边坡系数取</w:t>
            </w:r>
            <w:r>
              <w:rPr>
                <w:rFonts w:hint="eastAsia"/>
                <w:sz w:val="21"/>
                <w:szCs w:val="21"/>
              </w:rPr>
              <w:t>1:1.75</w:t>
            </w:r>
            <w:r>
              <w:rPr>
                <w:rFonts w:hint="eastAsia"/>
                <w:sz w:val="21"/>
                <w:szCs w:val="21"/>
              </w:rPr>
              <w:t>，背水面边坡系数取</w:t>
            </w:r>
            <w:r>
              <w:rPr>
                <w:rFonts w:hint="eastAsia"/>
                <w:sz w:val="21"/>
                <w:szCs w:val="21"/>
              </w:rPr>
              <w:t>1:1.5</w:t>
            </w:r>
            <w:r>
              <w:rPr>
                <w:rFonts w:hint="eastAsia"/>
                <w:sz w:val="21"/>
                <w:szCs w:val="21"/>
              </w:rPr>
              <w:t>，顶宽</w:t>
            </w:r>
            <w:r>
              <w:rPr>
                <w:rFonts w:hint="eastAsia"/>
                <w:sz w:val="21"/>
                <w:szCs w:val="21"/>
              </w:rPr>
              <w:t>2m</w:t>
            </w:r>
            <w:r>
              <w:rPr>
                <w:rFonts w:hint="eastAsia"/>
                <w:sz w:val="21"/>
                <w:szCs w:val="21"/>
              </w:rPr>
              <w:t>，迎水面采用临时性干砌卵石护面。</w:t>
            </w:r>
          </w:p>
        </w:tc>
        <w:tc>
          <w:tcPr>
            <w:tcW w:w="1854" w:type="dxa"/>
            <w:shd w:val="clear" w:color="auto" w:fill="auto"/>
            <w:vAlign w:val="center"/>
          </w:tcPr>
          <w:p w14:paraId="79D15FFC"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工程级别为</w:t>
            </w:r>
            <w:r>
              <w:rPr>
                <w:rFonts w:hint="eastAsia"/>
                <w:sz w:val="21"/>
                <w:szCs w:val="21"/>
              </w:rPr>
              <w:t>4</w:t>
            </w:r>
            <w:r>
              <w:rPr>
                <w:rFonts w:hint="eastAsia"/>
                <w:sz w:val="21"/>
                <w:szCs w:val="21"/>
              </w:rPr>
              <w:t>级。相对应洪水标准</w:t>
            </w:r>
            <w:r>
              <w:rPr>
                <w:rFonts w:hint="eastAsia"/>
                <w:sz w:val="21"/>
                <w:szCs w:val="21"/>
              </w:rPr>
              <w:t>10</w:t>
            </w:r>
            <w:r>
              <w:rPr>
                <w:rFonts w:hint="eastAsia"/>
                <w:sz w:val="21"/>
                <w:szCs w:val="21"/>
              </w:rPr>
              <w:t>年一遇，虽春汛洪水发生频率较低，为提高保证程度，本次设计按照</w:t>
            </w:r>
            <w:r>
              <w:rPr>
                <w:rFonts w:hint="eastAsia"/>
                <w:sz w:val="21"/>
                <w:szCs w:val="21"/>
              </w:rPr>
              <w:t>10</w:t>
            </w:r>
            <w:r>
              <w:rPr>
                <w:rFonts w:hint="eastAsia"/>
                <w:sz w:val="21"/>
                <w:szCs w:val="21"/>
              </w:rPr>
              <w:t>年一遇洪水标准设计，设计洪水流量为</w:t>
            </w:r>
            <w:r>
              <w:rPr>
                <w:rFonts w:hint="eastAsia"/>
                <w:sz w:val="21"/>
                <w:szCs w:val="21"/>
              </w:rPr>
              <w:t>43.6m</w:t>
            </w:r>
            <w:r>
              <w:rPr>
                <w:rFonts w:hint="eastAsia"/>
                <w:sz w:val="21"/>
                <w:szCs w:val="21"/>
              </w:rPr>
              <w:t>³</w:t>
            </w:r>
            <w:r>
              <w:rPr>
                <w:rFonts w:hint="eastAsia"/>
                <w:sz w:val="21"/>
                <w:szCs w:val="21"/>
              </w:rPr>
              <w:t>/s</w:t>
            </w:r>
          </w:p>
        </w:tc>
      </w:tr>
      <w:tr w:rsidR="005A1A44" w14:paraId="4522F1CF" w14:textId="77777777">
        <w:trPr>
          <w:trHeight w:val="391"/>
        </w:trPr>
        <w:tc>
          <w:tcPr>
            <w:tcW w:w="1914" w:type="dxa"/>
            <w:shd w:val="clear" w:color="auto" w:fill="auto"/>
            <w:vAlign w:val="center"/>
          </w:tcPr>
          <w:p w14:paraId="1E412F04" w14:textId="77777777" w:rsidR="005A1A44" w:rsidRDefault="0008059E">
            <w:pPr>
              <w:pStyle w:val="a6"/>
              <w:adjustRightInd w:val="0"/>
              <w:snapToGrid w:val="0"/>
              <w:spacing w:after="240" w:line="240" w:lineRule="auto"/>
              <w:ind w:firstLineChars="0" w:firstLine="0"/>
              <w:rPr>
                <w:b/>
                <w:sz w:val="21"/>
                <w:szCs w:val="21"/>
              </w:rPr>
            </w:pPr>
            <w:r>
              <w:rPr>
                <w:rFonts w:hint="eastAsia"/>
                <w:b/>
                <w:sz w:val="21"/>
                <w:szCs w:val="21"/>
              </w:rPr>
              <w:t>三、公用工程</w:t>
            </w:r>
          </w:p>
        </w:tc>
        <w:tc>
          <w:tcPr>
            <w:tcW w:w="4534" w:type="dxa"/>
            <w:shd w:val="clear" w:color="auto" w:fill="auto"/>
            <w:vAlign w:val="center"/>
          </w:tcPr>
          <w:p w14:paraId="45B5676C" w14:textId="77777777" w:rsidR="005A1A44" w:rsidRDefault="005A1A44">
            <w:pPr>
              <w:pStyle w:val="a6"/>
              <w:adjustRightInd w:val="0"/>
              <w:snapToGrid w:val="0"/>
              <w:spacing w:after="240" w:line="240" w:lineRule="auto"/>
              <w:ind w:firstLineChars="0" w:firstLine="0"/>
              <w:rPr>
                <w:sz w:val="21"/>
                <w:szCs w:val="21"/>
              </w:rPr>
            </w:pPr>
          </w:p>
        </w:tc>
        <w:tc>
          <w:tcPr>
            <w:tcW w:w="1854" w:type="dxa"/>
            <w:shd w:val="clear" w:color="auto" w:fill="auto"/>
            <w:vAlign w:val="center"/>
          </w:tcPr>
          <w:p w14:paraId="5B4D7233" w14:textId="77777777" w:rsidR="005A1A44" w:rsidRDefault="005A1A44">
            <w:pPr>
              <w:pStyle w:val="a6"/>
              <w:adjustRightInd w:val="0"/>
              <w:snapToGrid w:val="0"/>
              <w:spacing w:after="240" w:line="240" w:lineRule="auto"/>
              <w:ind w:firstLineChars="0" w:firstLine="0"/>
              <w:rPr>
                <w:sz w:val="21"/>
                <w:szCs w:val="21"/>
              </w:rPr>
            </w:pPr>
          </w:p>
        </w:tc>
      </w:tr>
      <w:tr w:rsidR="005A1A44" w14:paraId="6B3BD5EE" w14:textId="77777777">
        <w:trPr>
          <w:trHeight w:val="1338"/>
        </w:trPr>
        <w:tc>
          <w:tcPr>
            <w:tcW w:w="1914" w:type="dxa"/>
            <w:shd w:val="clear" w:color="auto" w:fill="auto"/>
            <w:vAlign w:val="center"/>
          </w:tcPr>
          <w:p w14:paraId="68A35F86"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lastRenderedPageBreak/>
              <w:t>1</w:t>
            </w:r>
            <w:r>
              <w:rPr>
                <w:rFonts w:hint="eastAsia"/>
                <w:sz w:val="21"/>
                <w:szCs w:val="21"/>
              </w:rPr>
              <w:t>、供水</w:t>
            </w:r>
          </w:p>
        </w:tc>
        <w:tc>
          <w:tcPr>
            <w:tcW w:w="4534" w:type="dxa"/>
            <w:shd w:val="clear" w:color="auto" w:fill="auto"/>
            <w:vAlign w:val="center"/>
          </w:tcPr>
          <w:p w14:paraId="5E9482E7" w14:textId="77777777" w:rsidR="005A1A44" w:rsidRDefault="0008059E">
            <w:pPr>
              <w:spacing w:line="240" w:lineRule="auto"/>
              <w:ind w:firstLineChars="0" w:firstLine="0"/>
              <w:rPr>
                <w:rFonts w:eastAsia="宋体"/>
                <w:sz w:val="21"/>
                <w:szCs w:val="21"/>
              </w:rPr>
            </w:pPr>
            <w:r>
              <w:rPr>
                <w:rFonts w:ascii="宋体" w:eastAsia="宋体" w:hAnsi="宋体" w:cs="宋体" w:hint="eastAsia"/>
                <w:sz w:val="21"/>
                <w:szCs w:val="21"/>
              </w:rPr>
              <w:t>施工期用水水源取自地下水（自备井），用水量100.0m³/d；运营期用水量，浇洒绿化用水单位用水量取1.5L/㎡·d，年用水时间90 天，则年耗水量为 90.08万吨，利用喀什河引水和综水供给绿化浇灌用水。</w:t>
            </w:r>
          </w:p>
        </w:tc>
        <w:tc>
          <w:tcPr>
            <w:tcW w:w="1854" w:type="dxa"/>
            <w:shd w:val="clear" w:color="auto" w:fill="auto"/>
            <w:vAlign w:val="center"/>
          </w:tcPr>
          <w:p w14:paraId="026EAEFD" w14:textId="77777777" w:rsidR="005A1A44" w:rsidRDefault="005A1A44">
            <w:pPr>
              <w:pStyle w:val="a6"/>
              <w:adjustRightInd w:val="0"/>
              <w:snapToGrid w:val="0"/>
              <w:spacing w:after="240" w:line="240" w:lineRule="auto"/>
              <w:ind w:firstLineChars="0" w:firstLine="0"/>
              <w:rPr>
                <w:sz w:val="21"/>
                <w:szCs w:val="21"/>
              </w:rPr>
            </w:pPr>
          </w:p>
        </w:tc>
      </w:tr>
      <w:tr w:rsidR="005A1A44" w14:paraId="322F9857" w14:textId="77777777">
        <w:trPr>
          <w:trHeight w:val="90"/>
        </w:trPr>
        <w:tc>
          <w:tcPr>
            <w:tcW w:w="1914" w:type="dxa"/>
            <w:shd w:val="clear" w:color="auto" w:fill="auto"/>
            <w:vAlign w:val="center"/>
          </w:tcPr>
          <w:p w14:paraId="718B0A3D"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2</w:t>
            </w:r>
            <w:r>
              <w:rPr>
                <w:rFonts w:hint="eastAsia"/>
                <w:sz w:val="21"/>
                <w:szCs w:val="21"/>
              </w:rPr>
              <w:t>、排水</w:t>
            </w:r>
          </w:p>
        </w:tc>
        <w:tc>
          <w:tcPr>
            <w:tcW w:w="4534" w:type="dxa"/>
            <w:shd w:val="clear" w:color="auto" w:fill="auto"/>
            <w:vAlign w:val="center"/>
          </w:tcPr>
          <w:p w14:paraId="7E14C3F6"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采用雨水口收集雨水并最终排到市政雨水井或直排河道。给水管网采用</w:t>
            </w:r>
            <w:r>
              <w:rPr>
                <w:rFonts w:hint="eastAsia"/>
                <w:sz w:val="21"/>
                <w:szCs w:val="21"/>
              </w:rPr>
              <w:t>PPR</w:t>
            </w:r>
            <w:r>
              <w:rPr>
                <w:rFonts w:hint="eastAsia"/>
                <w:sz w:val="21"/>
                <w:szCs w:val="21"/>
              </w:rPr>
              <w:t>管，热熔连接；排水管道采用</w:t>
            </w:r>
            <w:r>
              <w:rPr>
                <w:rFonts w:hint="eastAsia"/>
                <w:sz w:val="21"/>
                <w:szCs w:val="21"/>
              </w:rPr>
              <w:t>HDPE</w:t>
            </w:r>
            <w:r>
              <w:rPr>
                <w:rFonts w:hint="eastAsia"/>
                <w:sz w:val="21"/>
                <w:szCs w:val="21"/>
              </w:rPr>
              <w:t>管，弹性密封橡胶圈及粘接接口。</w:t>
            </w:r>
          </w:p>
        </w:tc>
        <w:tc>
          <w:tcPr>
            <w:tcW w:w="1854" w:type="dxa"/>
            <w:shd w:val="clear" w:color="auto" w:fill="auto"/>
            <w:vAlign w:val="center"/>
          </w:tcPr>
          <w:p w14:paraId="7DAEB3AB" w14:textId="77777777" w:rsidR="005A1A44" w:rsidRDefault="005A1A44">
            <w:pPr>
              <w:pStyle w:val="a6"/>
              <w:adjustRightInd w:val="0"/>
              <w:snapToGrid w:val="0"/>
              <w:spacing w:after="240" w:line="240" w:lineRule="auto"/>
              <w:ind w:firstLineChars="0" w:firstLine="0"/>
              <w:rPr>
                <w:sz w:val="21"/>
                <w:szCs w:val="21"/>
              </w:rPr>
            </w:pPr>
          </w:p>
        </w:tc>
      </w:tr>
      <w:tr w:rsidR="005A1A44" w14:paraId="77125CDC" w14:textId="77777777">
        <w:trPr>
          <w:trHeight w:val="454"/>
        </w:trPr>
        <w:tc>
          <w:tcPr>
            <w:tcW w:w="1914" w:type="dxa"/>
            <w:shd w:val="clear" w:color="auto" w:fill="auto"/>
            <w:vAlign w:val="center"/>
          </w:tcPr>
          <w:p w14:paraId="66F406C3"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3</w:t>
            </w:r>
            <w:r>
              <w:rPr>
                <w:rFonts w:hint="eastAsia"/>
                <w:sz w:val="21"/>
                <w:szCs w:val="21"/>
              </w:rPr>
              <w:t>、供电</w:t>
            </w:r>
          </w:p>
        </w:tc>
        <w:tc>
          <w:tcPr>
            <w:tcW w:w="4534" w:type="dxa"/>
            <w:shd w:val="clear" w:color="auto" w:fill="auto"/>
            <w:vAlign w:val="center"/>
          </w:tcPr>
          <w:p w14:paraId="3AB459C8"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工程施工期间的机电设备、照明用电估算总容量约为</w:t>
            </w:r>
            <w:r>
              <w:rPr>
                <w:rFonts w:hint="eastAsia"/>
                <w:sz w:val="21"/>
                <w:szCs w:val="21"/>
              </w:rPr>
              <w:t>120KW</w:t>
            </w:r>
            <w:r>
              <w:rPr>
                <w:rFonts w:hint="eastAsia"/>
                <w:sz w:val="21"/>
                <w:szCs w:val="21"/>
              </w:rPr>
              <w:t>，总用电量约为</w:t>
            </w:r>
            <w:r>
              <w:rPr>
                <w:rFonts w:hint="eastAsia"/>
                <w:sz w:val="21"/>
                <w:szCs w:val="21"/>
              </w:rPr>
              <w:t xml:space="preserve">63.07 </w:t>
            </w:r>
            <w:r>
              <w:rPr>
                <w:rFonts w:hint="eastAsia"/>
                <w:sz w:val="21"/>
                <w:szCs w:val="21"/>
              </w:rPr>
              <w:t>万</w:t>
            </w:r>
            <w:r>
              <w:rPr>
                <w:rFonts w:hint="eastAsia"/>
                <w:sz w:val="21"/>
                <w:szCs w:val="21"/>
              </w:rPr>
              <w:t xml:space="preserve"> kWh</w:t>
            </w:r>
            <w:r>
              <w:rPr>
                <w:rFonts w:hint="eastAsia"/>
                <w:sz w:val="21"/>
                <w:szCs w:val="21"/>
              </w:rPr>
              <w:t>；运营期用电量项目年耗电量为</w:t>
            </w:r>
            <w:r>
              <w:rPr>
                <w:rFonts w:hint="eastAsia"/>
                <w:sz w:val="21"/>
                <w:szCs w:val="21"/>
              </w:rPr>
              <w:t xml:space="preserve"> 87.60 </w:t>
            </w:r>
            <w:r>
              <w:rPr>
                <w:rFonts w:hint="eastAsia"/>
                <w:sz w:val="21"/>
                <w:szCs w:val="21"/>
              </w:rPr>
              <w:t>万</w:t>
            </w:r>
            <w:r>
              <w:rPr>
                <w:rFonts w:hint="eastAsia"/>
                <w:sz w:val="21"/>
                <w:szCs w:val="21"/>
              </w:rPr>
              <w:t xml:space="preserve"> kWh</w:t>
            </w:r>
            <w:r>
              <w:rPr>
                <w:rFonts w:hint="eastAsia"/>
                <w:sz w:val="21"/>
                <w:szCs w:val="21"/>
              </w:rPr>
              <w:t>。以河道沿路两岸主干道为主线引入供电线。</w:t>
            </w:r>
          </w:p>
        </w:tc>
        <w:tc>
          <w:tcPr>
            <w:tcW w:w="1854" w:type="dxa"/>
            <w:shd w:val="clear" w:color="auto" w:fill="auto"/>
            <w:vAlign w:val="center"/>
          </w:tcPr>
          <w:p w14:paraId="33E5198F" w14:textId="77777777" w:rsidR="005A1A44" w:rsidRDefault="005A1A44">
            <w:pPr>
              <w:pStyle w:val="a6"/>
              <w:adjustRightInd w:val="0"/>
              <w:snapToGrid w:val="0"/>
              <w:spacing w:after="240" w:line="240" w:lineRule="auto"/>
              <w:ind w:firstLineChars="0" w:firstLine="0"/>
              <w:rPr>
                <w:sz w:val="21"/>
                <w:szCs w:val="21"/>
              </w:rPr>
            </w:pPr>
          </w:p>
        </w:tc>
      </w:tr>
      <w:tr w:rsidR="005A1A44" w14:paraId="1CCE9706" w14:textId="77777777">
        <w:trPr>
          <w:trHeight w:val="454"/>
        </w:trPr>
        <w:tc>
          <w:tcPr>
            <w:tcW w:w="1914" w:type="dxa"/>
            <w:shd w:val="clear" w:color="auto" w:fill="auto"/>
            <w:vAlign w:val="center"/>
          </w:tcPr>
          <w:p w14:paraId="168162EE" w14:textId="77777777" w:rsidR="005A1A44" w:rsidRDefault="0008059E">
            <w:pPr>
              <w:pStyle w:val="a6"/>
              <w:adjustRightInd w:val="0"/>
              <w:snapToGrid w:val="0"/>
              <w:spacing w:after="240" w:line="240" w:lineRule="auto"/>
              <w:ind w:firstLineChars="0" w:firstLine="0"/>
              <w:rPr>
                <w:rFonts w:eastAsia="宋体"/>
                <w:sz w:val="21"/>
                <w:szCs w:val="21"/>
              </w:rPr>
            </w:pPr>
            <w:r>
              <w:rPr>
                <w:rFonts w:hint="eastAsia"/>
                <w:sz w:val="21"/>
                <w:szCs w:val="21"/>
              </w:rPr>
              <w:t>4</w:t>
            </w:r>
            <w:r>
              <w:rPr>
                <w:rFonts w:hint="eastAsia"/>
                <w:sz w:val="21"/>
                <w:szCs w:val="21"/>
              </w:rPr>
              <w:t>、供暖</w:t>
            </w:r>
          </w:p>
        </w:tc>
        <w:tc>
          <w:tcPr>
            <w:tcW w:w="4534" w:type="dxa"/>
            <w:shd w:val="clear" w:color="auto" w:fill="auto"/>
            <w:vAlign w:val="center"/>
          </w:tcPr>
          <w:p w14:paraId="7CBCF370" w14:textId="77777777" w:rsidR="005A1A44" w:rsidRDefault="0008059E">
            <w:pPr>
              <w:pStyle w:val="a6"/>
              <w:adjustRightInd w:val="0"/>
              <w:snapToGrid w:val="0"/>
              <w:spacing w:after="240" w:line="240" w:lineRule="auto"/>
              <w:ind w:firstLineChars="0" w:firstLine="0"/>
              <w:rPr>
                <w:rFonts w:eastAsia="宋体"/>
                <w:sz w:val="21"/>
                <w:szCs w:val="21"/>
              </w:rPr>
            </w:pPr>
            <w:r>
              <w:rPr>
                <w:rFonts w:hint="eastAsia"/>
                <w:sz w:val="21"/>
                <w:szCs w:val="21"/>
              </w:rPr>
              <w:t>本项目不需要供暖</w:t>
            </w:r>
          </w:p>
        </w:tc>
        <w:tc>
          <w:tcPr>
            <w:tcW w:w="1854" w:type="dxa"/>
            <w:shd w:val="clear" w:color="auto" w:fill="auto"/>
            <w:vAlign w:val="center"/>
          </w:tcPr>
          <w:p w14:paraId="77D40B9E" w14:textId="77777777" w:rsidR="005A1A44" w:rsidRDefault="005A1A44">
            <w:pPr>
              <w:pStyle w:val="a6"/>
              <w:adjustRightInd w:val="0"/>
              <w:snapToGrid w:val="0"/>
              <w:spacing w:after="240" w:line="240" w:lineRule="auto"/>
              <w:ind w:firstLineChars="0" w:firstLine="0"/>
              <w:rPr>
                <w:sz w:val="21"/>
                <w:szCs w:val="21"/>
              </w:rPr>
            </w:pPr>
          </w:p>
        </w:tc>
      </w:tr>
      <w:tr w:rsidR="005A1A44" w14:paraId="2B1B345C" w14:textId="77777777">
        <w:trPr>
          <w:trHeight w:val="458"/>
        </w:trPr>
        <w:tc>
          <w:tcPr>
            <w:tcW w:w="1914" w:type="dxa"/>
            <w:shd w:val="clear" w:color="auto" w:fill="auto"/>
            <w:vAlign w:val="center"/>
          </w:tcPr>
          <w:p w14:paraId="3C8486F0"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5</w:t>
            </w:r>
            <w:r>
              <w:rPr>
                <w:rFonts w:hint="eastAsia"/>
                <w:sz w:val="21"/>
                <w:szCs w:val="21"/>
              </w:rPr>
              <w:t>、供气</w:t>
            </w:r>
          </w:p>
        </w:tc>
        <w:tc>
          <w:tcPr>
            <w:tcW w:w="4534" w:type="dxa"/>
            <w:shd w:val="clear" w:color="auto" w:fill="auto"/>
            <w:vAlign w:val="center"/>
          </w:tcPr>
          <w:p w14:paraId="43398326" w14:textId="77777777" w:rsidR="005A1A44" w:rsidRDefault="0008059E">
            <w:pPr>
              <w:pStyle w:val="a6"/>
              <w:adjustRightInd w:val="0"/>
              <w:snapToGrid w:val="0"/>
              <w:spacing w:after="240" w:line="240" w:lineRule="auto"/>
              <w:ind w:firstLineChars="0" w:firstLine="0"/>
              <w:rPr>
                <w:rFonts w:eastAsia="宋体"/>
                <w:sz w:val="21"/>
                <w:szCs w:val="21"/>
              </w:rPr>
            </w:pPr>
            <w:r>
              <w:rPr>
                <w:rFonts w:hint="eastAsia"/>
                <w:sz w:val="21"/>
                <w:szCs w:val="21"/>
              </w:rPr>
              <w:t>本项目使用较少液化气</w:t>
            </w:r>
          </w:p>
        </w:tc>
        <w:tc>
          <w:tcPr>
            <w:tcW w:w="1854" w:type="dxa"/>
            <w:shd w:val="clear" w:color="auto" w:fill="auto"/>
            <w:vAlign w:val="center"/>
          </w:tcPr>
          <w:p w14:paraId="10691A1B"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施工生活区餐饮用气</w:t>
            </w:r>
          </w:p>
        </w:tc>
      </w:tr>
      <w:tr w:rsidR="005A1A44" w14:paraId="77BE686C" w14:textId="77777777">
        <w:trPr>
          <w:trHeight w:val="596"/>
        </w:trPr>
        <w:tc>
          <w:tcPr>
            <w:tcW w:w="1914" w:type="dxa"/>
            <w:shd w:val="clear" w:color="auto" w:fill="auto"/>
            <w:vAlign w:val="center"/>
          </w:tcPr>
          <w:p w14:paraId="4DB469E3"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6</w:t>
            </w:r>
            <w:r>
              <w:rPr>
                <w:rFonts w:hint="eastAsia"/>
                <w:sz w:val="21"/>
                <w:szCs w:val="21"/>
              </w:rPr>
              <w:t>、柴油</w:t>
            </w:r>
          </w:p>
        </w:tc>
        <w:tc>
          <w:tcPr>
            <w:tcW w:w="4534" w:type="dxa"/>
            <w:shd w:val="clear" w:color="auto" w:fill="auto"/>
            <w:vAlign w:val="center"/>
          </w:tcPr>
          <w:p w14:paraId="1D4F19B6" w14:textId="77777777" w:rsidR="005A1A44" w:rsidRDefault="0008059E">
            <w:pPr>
              <w:pStyle w:val="a6"/>
              <w:adjustRightInd w:val="0"/>
              <w:snapToGrid w:val="0"/>
              <w:spacing w:after="240" w:line="240" w:lineRule="auto"/>
              <w:ind w:firstLineChars="0" w:firstLine="0"/>
            </w:pPr>
            <w:r>
              <w:rPr>
                <w:rFonts w:hint="eastAsia"/>
                <w:sz w:val="21"/>
                <w:szCs w:val="21"/>
              </w:rPr>
              <w:t>项目建设期耗用柴油</w:t>
            </w:r>
            <w:r>
              <w:rPr>
                <w:rFonts w:hint="eastAsia"/>
                <w:sz w:val="21"/>
                <w:szCs w:val="21"/>
              </w:rPr>
              <w:t xml:space="preserve"> 551.88 </w:t>
            </w:r>
            <w:r>
              <w:rPr>
                <w:rFonts w:hint="eastAsia"/>
                <w:sz w:val="21"/>
                <w:szCs w:val="21"/>
              </w:rPr>
              <w:t>吨。可研未提及柴油储存区域和储存量</w:t>
            </w:r>
          </w:p>
        </w:tc>
        <w:tc>
          <w:tcPr>
            <w:tcW w:w="1854" w:type="dxa"/>
            <w:shd w:val="clear" w:color="auto" w:fill="auto"/>
            <w:vAlign w:val="center"/>
          </w:tcPr>
          <w:p w14:paraId="7E9A1256" w14:textId="77777777" w:rsidR="005A1A44" w:rsidRDefault="005A1A44">
            <w:pPr>
              <w:pStyle w:val="a6"/>
              <w:adjustRightInd w:val="0"/>
              <w:snapToGrid w:val="0"/>
              <w:spacing w:after="240" w:line="240" w:lineRule="auto"/>
              <w:ind w:firstLineChars="0" w:firstLine="0"/>
              <w:rPr>
                <w:sz w:val="21"/>
                <w:szCs w:val="21"/>
              </w:rPr>
            </w:pPr>
          </w:p>
        </w:tc>
      </w:tr>
      <w:tr w:rsidR="005A1A44" w14:paraId="4A429316" w14:textId="77777777">
        <w:trPr>
          <w:trHeight w:val="454"/>
        </w:trPr>
        <w:tc>
          <w:tcPr>
            <w:tcW w:w="1914" w:type="dxa"/>
            <w:shd w:val="clear" w:color="auto" w:fill="auto"/>
            <w:vAlign w:val="center"/>
          </w:tcPr>
          <w:p w14:paraId="5EB8E8C0" w14:textId="77777777" w:rsidR="005A1A44" w:rsidRDefault="0008059E">
            <w:pPr>
              <w:pStyle w:val="a6"/>
              <w:adjustRightInd w:val="0"/>
              <w:snapToGrid w:val="0"/>
              <w:spacing w:after="240" w:line="240" w:lineRule="auto"/>
              <w:ind w:firstLineChars="0" w:firstLine="0"/>
              <w:rPr>
                <w:sz w:val="21"/>
                <w:szCs w:val="21"/>
              </w:rPr>
            </w:pPr>
            <w:r>
              <w:rPr>
                <w:rFonts w:hint="eastAsia"/>
                <w:b/>
                <w:bCs/>
                <w:sz w:val="21"/>
                <w:szCs w:val="21"/>
              </w:rPr>
              <w:t>四、储运工程</w:t>
            </w:r>
          </w:p>
        </w:tc>
        <w:tc>
          <w:tcPr>
            <w:tcW w:w="4534" w:type="dxa"/>
            <w:shd w:val="clear" w:color="auto" w:fill="auto"/>
            <w:vAlign w:val="center"/>
          </w:tcPr>
          <w:p w14:paraId="76C5EEC7" w14:textId="77777777" w:rsidR="005A1A44" w:rsidRDefault="005A1A44">
            <w:pPr>
              <w:pStyle w:val="a6"/>
              <w:adjustRightInd w:val="0"/>
              <w:snapToGrid w:val="0"/>
              <w:spacing w:after="240" w:line="240" w:lineRule="auto"/>
              <w:ind w:firstLineChars="0" w:firstLine="0"/>
              <w:rPr>
                <w:sz w:val="21"/>
                <w:szCs w:val="21"/>
              </w:rPr>
            </w:pPr>
          </w:p>
        </w:tc>
        <w:tc>
          <w:tcPr>
            <w:tcW w:w="1854" w:type="dxa"/>
            <w:shd w:val="clear" w:color="auto" w:fill="auto"/>
            <w:vAlign w:val="center"/>
          </w:tcPr>
          <w:p w14:paraId="2266511D" w14:textId="77777777" w:rsidR="005A1A44" w:rsidRDefault="005A1A44">
            <w:pPr>
              <w:pStyle w:val="a6"/>
              <w:adjustRightInd w:val="0"/>
              <w:snapToGrid w:val="0"/>
              <w:spacing w:after="240" w:line="240" w:lineRule="auto"/>
              <w:ind w:firstLineChars="0" w:firstLine="0"/>
              <w:rPr>
                <w:sz w:val="21"/>
                <w:szCs w:val="21"/>
              </w:rPr>
            </w:pPr>
          </w:p>
        </w:tc>
      </w:tr>
      <w:tr w:rsidR="005A1A44" w14:paraId="6BD0F380" w14:textId="77777777">
        <w:trPr>
          <w:trHeight w:val="454"/>
        </w:trPr>
        <w:tc>
          <w:tcPr>
            <w:tcW w:w="1914" w:type="dxa"/>
            <w:shd w:val="clear" w:color="auto" w:fill="auto"/>
            <w:vAlign w:val="center"/>
          </w:tcPr>
          <w:p w14:paraId="77118CC1"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场内、场外道路</w:t>
            </w:r>
          </w:p>
        </w:tc>
        <w:tc>
          <w:tcPr>
            <w:tcW w:w="4534" w:type="dxa"/>
            <w:shd w:val="clear" w:color="auto" w:fill="auto"/>
            <w:vAlign w:val="center"/>
          </w:tcPr>
          <w:p w14:paraId="7751B92D"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项目区场外道路系统完善，施工期可研未设计场内施工道路</w:t>
            </w:r>
          </w:p>
        </w:tc>
        <w:tc>
          <w:tcPr>
            <w:tcW w:w="1854" w:type="dxa"/>
            <w:shd w:val="clear" w:color="auto" w:fill="auto"/>
            <w:vAlign w:val="center"/>
          </w:tcPr>
          <w:p w14:paraId="1539F74D"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主体工程设计有绿行慢道</w:t>
            </w:r>
            <w:r>
              <w:rPr>
                <w:rFonts w:hint="eastAsia"/>
                <w:sz w:val="21"/>
                <w:szCs w:val="21"/>
              </w:rPr>
              <w:t>27.4km</w:t>
            </w:r>
          </w:p>
        </w:tc>
      </w:tr>
      <w:tr w:rsidR="005A1A44" w14:paraId="144DE362" w14:textId="77777777">
        <w:trPr>
          <w:trHeight w:val="421"/>
        </w:trPr>
        <w:tc>
          <w:tcPr>
            <w:tcW w:w="1914" w:type="dxa"/>
            <w:shd w:val="clear" w:color="auto" w:fill="auto"/>
            <w:vAlign w:val="center"/>
          </w:tcPr>
          <w:p w14:paraId="4A1A6DFC" w14:textId="77777777" w:rsidR="005A1A44" w:rsidRDefault="0008059E">
            <w:pPr>
              <w:pStyle w:val="a6"/>
              <w:adjustRightInd w:val="0"/>
              <w:snapToGrid w:val="0"/>
              <w:spacing w:after="240" w:line="240" w:lineRule="auto"/>
              <w:ind w:firstLineChars="0" w:firstLine="0"/>
              <w:rPr>
                <w:sz w:val="21"/>
                <w:szCs w:val="21"/>
              </w:rPr>
            </w:pPr>
            <w:r>
              <w:rPr>
                <w:rFonts w:hint="eastAsia"/>
                <w:b/>
                <w:bCs/>
                <w:sz w:val="21"/>
                <w:szCs w:val="21"/>
              </w:rPr>
              <w:t>五、环保工程</w:t>
            </w:r>
          </w:p>
        </w:tc>
        <w:tc>
          <w:tcPr>
            <w:tcW w:w="4534" w:type="dxa"/>
            <w:shd w:val="clear" w:color="auto" w:fill="auto"/>
            <w:vAlign w:val="center"/>
          </w:tcPr>
          <w:p w14:paraId="72FA3961" w14:textId="77777777" w:rsidR="005A1A44" w:rsidRDefault="005A1A44">
            <w:pPr>
              <w:pStyle w:val="a6"/>
              <w:adjustRightInd w:val="0"/>
              <w:snapToGrid w:val="0"/>
              <w:spacing w:after="240" w:line="240" w:lineRule="auto"/>
              <w:ind w:firstLineChars="0" w:firstLine="0"/>
              <w:rPr>
                <w:sz w:val="21"/>
                <w:szCs w:val="21"/>
              </w:rPr>
            </w:pPr>
          </w:p>
        </w:tc>
        <w:tc>
          <w:tcPr>
            <w:tcW w:w="1854" w:type="dxa"/>
            <w:shd w:val="clear" w:color="auto" w:fill="auto"/>
            <w:vAlign w:val="center"/>
          </w:tcPr>
          <w:p w14:paraId="04784078" w14:textId="77777777" w:rsidR="005A1A44" w:rsidRDefault="005A1A44">
            <w:pPr>
              <w:pStyle w:val="a6"/>
              <w:adjustRightInd w:val="0"/>
              <w:snapToGrid w:val="0"/>
              <w:spacing w:after="240" w:line="240" w:lineRule="auto"/>
              <w:ind w:firstLineChars="0" w:firstLine="0"/>
              <w:rPr>
                <w:sz w:val="21"/>
                <w:szCs w:val="21"/>
              </w:rPr>
            </w:pPr>
          </w:p>
        </w:tc>
      </w:tr>
      <w:tr w:rsidR="005A1A44" w14:paraId="20617CD5" w14:textId="77777777">
        <w:trPr>
          <w:trHeight w:val="513"/>
        </w:trPr>
        <w:tc>
          <w:tcPr>
            <w:tcW w:w="1914" w:type="dxa"/>
            <w:vMerge w:val="restart"/>
            <w:shd w:val="clear" w:color="auto" w:fill="auto"/>
            <w:vAlign w:val="center"/>
          </w:tcPr>
          <w:p w14:paraId="0B18EB64"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1</w:t>
            </w:r>
            <w:r>
              <w:rPr>
                <w:rFonts w:hint="eastAsia"/>
                <w:sz w:val="21"/>
                <w:szCs w:val="21"/>
              </w:rPr>
              <w:t>、生活污水处理</w:t>
            </w:r>
          </w:p>
        </w:tc>
        <w:tc>
          <w:tcPr>
            <w:tcW w:w="4534" w:type="dxa"/>
            <w:vMerge w:val="restart"/>
            <w:shd w:val="clear" w:color="auto" w:fill="auto"/>
            <w:vAlign w:val="center"/>
          </w:tcPr>
          <w:p w14:paraId="560B0510"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由于施工人员生活区基本沿河布置，沿岸大部分为居民区，因此可以尽量使用施工场地附近已有的生活设施，生活污水产生的数量较少，其排放对环境不会产生不利影响。在施工人员相对集中的工地，可设立化粪池对其进行处理并及时清运。</w:t>
            </w:r>
          </w:p>
        </w:tc>
        <w:tc>
          <w:tcPr>
            <w:tcW w:w="1854" w:type="dxa"/>
            <w:shd w:val="clear" w:color="auto" w:fill="auto"/>
            <w:vAlign w:val="center"/>
          </w:tcPr>
          <w:p w14:paraId="7FCE1751" w14:textId="77777777" w:rsidR="005A1A44" w:rsidRDefault="005A1A44">
            <w:pPr>
              <w:pStyle w:val="a6"/>
              <w:adjustRightInd w:val="0"/>
              <w:snapToGrid w:val="0"/>
              <w:spacing w:after="240" w:line="240" w:lineRule="auto"/>
              <w:ind w:firstLineChars="0" w:firstLine="0"/>
              <w:rPr>
                <w:sz w:val="21"/>
                <w:szCs w:val="21"/>
              </w:rPr>
            </w:pPr>
          </w:p>
        </w:tc>
      </w:tr>
      <w:tr w:rsidR="005A1A44" w14:paraId="6AB7967C" w14:textId="77777777">
        <w:trPr>
          <w:trHeight w:val="1129"/>
        </w:trPr>
        <w:tc>
          <w:tcPr>
            <w:tcW w:w="1914" w:type="dxa"/>
            <w:vMerge/>
            <w:shd w:val="clear" w:color="auto" w:fill="auto"/>
            <w:vAlign w:val="center"/>
          </w:tcPr>
          <w:p w14:paraId="56FEBB56" w14:textId="77777777" w:rsidR="005A1A44" w:rsidRDefault="005A1A44">
            <w:pPr>
              <w:pStyle w:val="a6"/>
              <w:adjustRightInd w:val="0"/>
              <w:snapToGrid w:val="0"/>
              <w:spacing w:after="240" w:line="240" w:lineRule="auto"/>
              <w:ind w:firstLineChars="0" w:firstLine="0"/>
              <w:rPr>
                <w:sz w:val="21"/>
                <w:szCs w:val="21"/>
              </w:rPr>
            </w:pPr>
          </w:p>
        </w:tc>
        <w:tc>
          <w:tcPr>
            <w:tcW w:w="4534" w:type="dxa"/>
            <w:vMerge/>
            <w:shd w:val="clear" w:color="auto" w:fill="auto"/>
            <w:vAlign w:val="center"/>
          </w:tcPr>
          <w:p w14:paraId="0565C8C8" w14:textId="77777777" w:rsidR="005A1A44" w:rsidRDefault="005A1A44">
            <w:pPr>
              <w:pStyle w:val="a6"/>
              <w:adjustRightInd w:val="0"/>
              <w:snapToGrid w:val="0"/>
              <w:spacing w:after="240" w:line="240" w:lineRule="auto"/>
              <w:ind w:firstLineChars="0" w:firstLine="0"/>
              <w:rPr>
                <w:sz w:val="21"/>
                <w:szCs w:val="21"/>
              </w:rPr>
            </w:pPr>
          </w:p>
        </w:tc>
        <w:tc>
          <w:tcPr>
            <w:tcW w:w="1854" w:type="dxa"/>
            <w:shd w:val="clear" w:color="auto" w:fill="auto"/>
            <w:vAlign w:val="center"/>
          </w:tcPr>
          <w:p w14:paraId="2CD461C5" w14:textId="77777777" w:rsidR="005A1A44" w:rsidRDefault="005A1A44">
            <w:pPr>
              <w:pStyle w:val="a6"/>
              <w:adjustRightInd w:val="0"/>
              <w:snapToGrid w:val="0"/>
              <w:spacing w:after="240" w:line="240" w:lineRule="auto"/>
              <w:ind w:firstLineChars="0" w:firstLine="0"/>
              <w:rPr>
                <w:sz w:val="21"/>
                <w:szCs w:val="21"/>
              </w:rPr>
            </w:pPr>
          </w:p>
        </w:tc>
      </w:tr>
      <w:tr w:rsidR="005A1A44" w14:paraId="15866175" w14:textId="77777777">
        <w:trPr>
          <w:trHeight w:val="454"/>
        </w:trPr>
        <w:tc>
          <w:tcPr>
            <w:tcW w:w="1914" w:type="dxa"/>
            <w:shd w:val="clear" w:color="auto" w:fill="auto"/>
            <w:vAlign w:val="center"/>
          </w:tcPr>
          <w:p w14:paraId="2014FDAC"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2</w:t>
            </w:r>
            <w:r>
              <w:rPr>
                <w:rFonts w:hint="eastAsia"/>
                <w:sz w:val="21"/>
                <w:szCs w:val="21"/>
              </w:rPr>
              <w:t>、生活垃圾处理</w:t>
            </w:r>
          </w:p>
        </w:tc>
        <w:tc>
          <w:tcPr>
            <w:tcW w:w="4534" w:type="dxa"/>
            <w:shd w:val="clear" w:color="auto" w:fill="auto"/>
            <w:vAlign w:val="center"/>
          </w:tcPr>
          <w:p w14:paraId="6054752B"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生活垃圾要定点堆放，严禁混入建筑垃圾当中，并及时运送至环卫部门指定地点进行处理，避免对周围环境造成的不良影响。</w:t>
            </w:r>
          </w:p>
        </w:tc>
        <w:tc>
          <w:tcPr>
            <w:tcW w:w="1854" w:type="dxa"/>
            <w:shd w:val="clear" w:color="auto" w:fill="auto"/>
            <w:vAlign w:val="center"/>
          </w:tcPr>
          <w:p w14:paraId="231FC99D" w14:textId="77777777" w:rsidR="005A1A44" w:rsidRDefault="005A1A44">
            <w:pPr>
              <w:pStyle w:val="a6"/>
              <w:adjustRightInd w:val="0"/>
              <w:snapToGrid w:val="0"/>
              <w:spacing w:after="240" w:line="240" w:lineRule="auto"/>
              <w:ind w:firstLineChars="0" w:firstLine="0"/>
              <w:rPr>
                <w:sz w:val="21"/>
                <w:szCs w:val="21"/>
              </w:rPr>
            </w:pPr>
          </w:p>
        </w:tc>
      </w:tr>
      <w:tr w:rsidR="005A1A44" w14:paraId="6AF8F7E0" w14:textId="77777777">
        <w:trPr>
          <w:trHeight w:val="454"/>
        </w:trPr>
        <w:tc>
          <w:tcPr>
            <w:tcW w:w="1914" w:type="dxa"/>
            <w:shd w:val="clear" w:color="auto" w:fill="auto"/>
            <w:vAlign w:val="center"/>
          </w:tcPr>
          <w:p w14:paraId="5F557BAD"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3</w:t>
            </w:r>
            <w:r>
              <w:rPr>
                <w:rFonts w:hint="eastAsia"/>
                <w:sz w:val="21"/>
                <w:szCs w:val="21"/>
              </w:rPr>
              <w:t>、施工固废</w:t>
            </w:r>
          </w:p>
        </w:tc>
        <w:tc>
          <w:tcPr>
            <w:tcW w:w="4534" w:type="dxa"/>
            <w:shd w:val="clear" w:color="auto" w:fill="auto"/>
            <w:vAlign w:val="center"/>
          </w:tcPr>
          <w:p w14:paraId="6D768232"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在该项目施工建设过程中，石料、灰渣、建材等的损耗与遗弃将产牛大量的建筑垃圾，应首先考虑用于市政与规划部门指定的建设工程基础填方、洼地填筑或在本工程沿河绿化时进行消纳。剩余部分垃圾可运送至垃圾填埋场进行填埋。垃圾的外运车辆应加盖篷布，尽量减少沿路遗洒，</w:t>
            </w:r>
            <w:r>
              <w:rPr>
                <w:rFonts w:hint="eastAsia"/>
                <w:sz w:val="21"/>
                <w:szCs w:val="21"/>
              </w:rPr>
              <w:lastRenderedPageBreak/>
              <w:t>影响环境。</w:t>
            </w:r>
          </w:p>
        </w:tc>
        <w:tc>
          <w:tcPr>
            <w:tcW w:w="1854" w:type="dxa"/>
            <w:shd w:val="clear" w:color="auto" w:fill="auto"/>
            <w:vAlign w:val="center"/>
          </w:tcPr>
          <w:p w14:paraId="766DBD02" w14:textId="77777777" w:rsidR="005A1A44" w:rsidRDefault="005A1A44">
            <w:pPr>
              <w:pStyle w:val="a6"/>
              <w:adjustRightInd w:val="0"/>
              <w:snapToGrid w:val="0"/>
              <w:spacing w:after="240" w:line="240" w:lineRule="auto"/>
              <w:ind w:firstLineChars="0" w:firstLine="0"/>
              <w:rPr>
                <w:sz w:val="21"/>
                <w:szCs w:val="21"/>
              </w:rPr>
            </w:pPr>
          </w:p>
        </w:tc>
      </w:tr>
      <w:tr w:rsidR="005A1A44" w14:paraId="433351A3" w14:textId="77777777">
        <w:trPr>
          <w:trHeight w:val="447"/>
        </w:trPr>
        <w:tc>
          <w:tcPr>
            <w:tcW w:w="1914" w:type="dxa"/>
            <w:shd w:val="clear" w:color="auto" w:fill="auto"/>
            <w:vAlign w:val="center"/>
          </w:tcPr>
          <w:p w14:paraId="6C4A39D8" w14:textId="77777777" w:rsidR="005A1A44" w:rsidRDefault="0008059E">
            <w:pPr>
              <w:pStyle w:val="a6"/>
              <w:adjustRightInd w:val="0"/>
              <w:snapToGrid w:val="0"/>
              <w:spacing w:after="240" w:line="240" w:lineRule="auto"/>
              <w:ind w:firstLineChars="0" w:firstLine="0"/>
              <w:rPr>
                <w:sz w:val="21"/>
                <w:szCs w:val="21"/>
              </w:rPr>
            </w:pPr>
            <w:r>
              <w:rPr>
                <w:rFonts w:hint="eastAsia"/>
                <w:b/>
                <w:bCs/>
                <w:sz w:val="21"/>
                <w:szCs w:val="21"/>
              </w:rPr>
              <w:t>六、行政与生活设施</w:t>
            </w:r>
          </w:p>
        </w:tc>
        <w:tc>
          <w:tcPr>
            <w:tcW w:w="4534" w:type="dxa"/>
            <w:shd w:val="clear" w:color="auto" w:fill="auto"/>
            <w:vAlign w:val="center"/>
          </w:tcPr>
          <w:p w14:paraId="7699FBD7" w14:textId="77777777" w:rsidR="005A1A44" w:rsidRDefault="005A1A44">
            <w:pPr>
              <w:pStyle w:val="a6"/>
              <w:adjustRightInd w:val="0"/>
              <w:snapToGrid w:val="0"/>
              <w:spacing w:after="240" w:line="240" w:lineRule="auto"/>
              <w:ind w:firstLineChars="0" w:firstLine="0"/>
              <w:rPr>
                <w:sz w:val="21"/>
                <w:szCs w:val="21"/>
              </w:rPr>
            </w:pPr>
          </w:p>
        </w:tc>
        <w:tc>
          <w:tcPr>
            <w:tcW w:w="1854" w:type="dxa"/>
            <w:shd w:val="clear" w:color="auto" w:fill="auto"/>
            <w:vAlign w:val="center"/>
          </w:tcPr>
          <w:p w14:paraId="0C5F685C" w14:textId="77777777" w:rsidR="005A1A44" w:rsidRDefault="005A1A44">
            <w:pPr>
              <w:pStyle w:val="a6"/>
              <w:adjustRightInd w:val="0"/>
              <w:snapToGrid w:val="0"/>
              <w:spacing w:after="240" w:line="240" w:lineRule="auto"/>
              <w:ind w:firstLineChars="0" w:firstLine="0"/>
              <w:rPr>
                <w:sz w:val="21"/>
                <w:szCs w:val="21"/>
              </w:rPr>
            </w:pPr>
          </w:p>
        </w:tc>
      </w:tr>
      <w:tr w:rsidR="005A1A44" w14:paraId="24771D34" w14:textId="77777777">
        <w:trPr>
          <w:trHeight w:val="454"/>
        </w:trPr>
        <w:tc>
          <w:tcPr>
            <w:tcW w:w="1914" w:type="dxa"/>
            <w:shd w:val="clear" w:color="auto" w:fill="auto"/>
            <w:vAlign w:val="center"/>
          </w:tcPr>
          <w:p w14:paraId="22CFA73E"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1</w:t>
            </w:r>
            <w:r>
              <w:rPr>
                <w:rFonts w:hint="eastAsia"/>
                <w:sz w:val="21"/>
                <w:szCs w:val="21"/>
              </w:rPr>
              <w:t>、施工生产、生活区</w:t>
            </w:r>
          </w:p>
        </w:tc>
        <w:tc>
          <w:tcPr>
            <w:tcW w:w="4534" w:type="dxa"/>
            <w:shd w:val="clear" w:color="auto" w:fill="auto"/>
            <w:vAlign w:val="center"/>
          </w:tcPr>
          <w:p w14:paraId="134FC4E0"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项目可研未明确施工生产、生活区的位置、占地面积、类型及分布等，只提及“施工区内劳动力的住宿将会安排在工作区域内，施工人员生活区基本沿河布置”。</w:t>
            </w:r>
          </w:p>
        </w:tc>
        <w:tc>
          <w:tcPr>
            <w:tcW w:w="1854" w:type="dxa"/>
            <w:shd w:val="clear" w:color="auto" w:fill="auto"/>
            <w:vAlign w:val="center"/>
          </w:tcPr>
          <w:p w14:paraId="7640868F" w14:textId="77777777" w:rsidR="005A1A44" w:rsidRDefault="0008059E">
            <w:pPr>
              <w:pStyle w:val="a6"/>
              <w:adjustRightInd w:val="0"/>
              <w:snapToGrid w:val="0"/>
              <w:spacing w:after="240" w:line="240" w:lineRule="auto"/>
              <w:ind w:firstLineChars="0" w:firstLine="0"/>
              <w:rPr>
                <w:sz w:val="21"/>
                <w:szCs w:val="21"/>
              </w:rPr>
            </w:pPr>
            <w:r>
              <w:rPr>
                <w:rFonts w:hint="eastAsia"/>
                <w:sz w:val="21"/>
                <w:szCs w:val="21"/>
              </w:rPr>
              <w:t>未明确取弃土场位置</w:t>
            </w:r>
          </w:p>
        </w:tc>
      </w:tr>
    </w:tbl>
    <w:p w14:paraId="08A8141C" w14:textId="77777777" w:rsidR="005A1A44" w:rsidRDefault="0008059E">
      <w:pPr>
        <w:pStyle w:val="2"/>
        <w:numPr>
          <w:ilvl w:val="1"/>
          <w:numId w:val="2"/>
        </w:numPr>
      </w:pPr>
      <w:r>
        <w:rPr>
          <w:rFonts w:hint="eastAsia"/>
        </w:rPr>
        <w:t xml:space="preserve"> </w:t>
      </w:r>
      <w:bookmarkStart w:id="142" w:name="_Toc24718_WPSOffice_Level2"/>
      <w:bookmarkStart w:id="143" w:name="_Toc6990_WPSOffice_Level2"/>
      <w:bookmarkStart w:id="144" w:name="_Toc21347_WPSOffice_Level2"/>
      <w:r>
        <w:rPr>
          <w:rFonts w:hint="eastAsia"/>
        </w:rPr>
        <w:t>工程分析</w:t>
      </w:r>
      <w:bookmarkEnd w:id="142"/>
      <w:bookmarkEnd w:id="143"/>
      <w:bookmarkEnd w:id="144"/>
    </w:p>
    <w:p w14:paraId="33181CD6" w14:textId="77777777" w:rsidR="005A1A44" w:rsidRDefault="0008059E">
      <w:pPr>
        <w:pStyle w:val="3"/>
        <w:numPr>
          <w:ilvl w:val="2"/>
          <w:numId w:val="2"/>
        </w:numPr>
      </w:pPr>
      <w:r>
        <w:rPr>
          <w:rFonts w:hint="eastAsia"/>
        </w:rPr>
        <w:t xml:space="preserve"> </w:t>
      </w:r>
      <w:r>
        <w:rPr>
          <w:rFonts w:hint="eastAsia"/>
        </w:rPr>
        <w:t>施工期环境影响因素分析</w:t>
      </w:r>
    </w:p>
    <w:p w14:paraId="3F170D17" w14:textId="77777777" w:rsidR="005A1A44" w:rsidRDefault="0008059E">
      <w:pPr>
        <w:ind w:firstLine="480"/>
      </w:pPr>
      <w:r>
        <w:rPr>
          <w:rFonts w:hint="eastAsia"/>
        </w:rPr>
        <w:t>（</w:t>
      </w:r>
      <w:r>
        <w:rPr>
          <w:rFonts w:hint="eastAsia"/>
        </w:rPr>
        <w:t>1</w:t>
      </w:r>
      <w:r>
        <w:rPr>
          <w:rFonts w:hint="eastAsia"/>
        </w:rPr>
        <w:t>）施工期对环境产生影响的主要因素</w:t>
      </w:r>
    </w:p>
    <w:p w14:paraId="725E12E7" w14:textId="77777777" w:rsidR="005A1A44" w:rsidRDefault="0008059E">
      <w:pPr>
        <w:ind w:firstLine="480"/>
      </w:pPr>
      <w:r>
        <w:rPr>
          <w:rFonts w:hint="eastAsia"/>
        </w:rPr>
        <w:t>①施工扬尘：地表开挖与回填、土石方清运等施工过程和施工车辆运输过程产生的扬尘直接影响周围空气环境。</w:t>
      </w:r>
    </w:p>
    <w:p w14:paraId="1E08292C" w14:textId="77777777" w:rsidR="005A1A44" w:rsidRDefault="0008059E">
      <w:pPr>
        <w:ind w:firstLine="480"/>
      </w:pPr>
      <w:r>
        <w:rPr>
          <w:rFonts w:hint="eastAsia"/>
        </w:rPr>
        <w:t>②水土流失：地表开挖与回填、渣土临时堆放场及施工过程由于植被破坏降雨季节将产生水土流失，对河道水质将发生影响。</w:t>
      </w:r>
    </w:p>
    <w:p w14:paraId="3A203D33" w14:textId="77777777" w:rsidR="005A1A44" w:rsidRDefault="0008059E">
      <w:pPr>
        <w:ind w:firstLine="480"/>
      </w:pPr>
      <w:r>
        <w:rPr>
          <w:rFonts w:hint="eastAsia"/>
        </w:rPr>
        <w:t>③水体悬浮物：河床清挖、修筑及其他建筑物施工会产生一定的悬浮物、泥浊水，对水质产生较大影响。</w:t>
      </w:r>
    </w:p>
    <w:p w14:paraId="01D89A8F" w14:textId="77777777" w:rsidR="005A1A44" w:rsidRDefault="0008059E">
      <w:pPr>
        <w:ind w:firstLine="480"/>
      </w:pPr>
      <w:r>
        <w:rPr>
          <w:rFonts w:hint="eastAsia"/>
        </w:rPr>
        <w:t>④施工噪声：施工机械和车辆交通噪声将对周围产生一定的噪声污染。</w:t>
      </w:r>
    </w:p>
    <w:p w14:paraId="6DAE08EF" w14:textId="77777777" w:rsidR="005A1A44" w:rsidRDefault="0008059E">
      <w:pPr>
        <w:ind w:firstLine="480"/>
      </w:pPr>
      <w:r>
        <w:rPr>
          <w:rFonts w:hint="eastAsia"/>
        </w:rPr>
        <w:t>⑤废水排放：其来源主要有两个方面，其一为施工机械冲洗油污水，其二为施工人员的生活污水。</w:t>
      </w:r>
    </w:p>
    <w:p w14:paraId="4899A061" w14:textId="77777777" w:rsidR="005A1A44" w:rsidRDefault="0008059E">
      <w:pPr>
        <w:ind w:firstLine="480"/>
      </w:pPr>
      <w:r>
        <w:rPr>
          <w:rFonts w:hint="eastAsia"/>
        </w:rPr>
        <w:t>⑥废气排放：施工机械、车辆排放的废气对环境产生一定影响。</w:t>
      </w:r>
    </w:p>
    <w:p w14:paraId="48AA74D7" w14:textId="77777777" w:rsidR="005A1A44" w:rsidRDefault="0008059E">
      <w:pPr>
        <w:ind w:firstLine="480"/>
      </w:pPr>
      <w:r>
        <w:rPr>
          <w:rFonts w:hint="eastAsia"/>
        </w:rPr>
        <w:t>⑦固体废弃物：施工期挖除的泥土、砂石如果处置不当将对环境产生影响；各种类型的施工垃圾、生活垃圾，若处理不当随意扔置，对附近区域将产生污染，如污染水体和大气。</w:t>
      </w:r>
    </w:p>
    <w:p w14:paraId="4E514082" w14:textId="77777777" w:rsidR="005A1A44" w:rsidRDefault="0008059E">
      <w:pPr>
        <w:ind w:firstLine="480"/>
      </w:pPr>
      <w:r>
        <w:rPr>
          <w:rFonts w:hint="eastAsia"/>
        </w:rPr>
        <w:t>工程施工中产生的废水、废气、扬尘和噪声，会对施工区域局部的水环境、声环境、环境空气产生影响；取土场、弃土、弃渣会破坏地表植被、新增水土流失；施工占地、噪声、人员活动等对鸟类动物栖息会产生影响。</w:t>
      </w:r>
    </w:p>
    <w:p w14:paraId="1E24A45A" w14:textId="77777777" w:rsidR="005A1A44" w:rsidRDefault="0008059E">
      <w:pPr>
        <w:ind w:firstLine="480"/>
      </w:pPr>
      <w:r>
        <w:rPr>
          <w:rFonts w:hint="eastAsia"/>
        </w:rPr>
        <w:lastRenderedPageBreak/>
        <w:t>（</w:t>
      </w:r>
      <w:r>
        <w:rPr>
          <w:rFonts w:hint="eastAsia"/>
        </w:rPr>
        <w:t>2</w:t>
      </w:r>
      <w:r>
        <w:rPr>
          <w:rFonts w:hint="eastAsia"/>
        </w:rPr>
        <w:t>）生态环境影响因素</w:t>
      </w:r>
    </w:p>
    <w:p w14:paraId="7EC1E476" w14:textId="77777777" w:rsidR="005A1A44" w:rsidRDefault="0008059E">
      <w:pPr>
        <w:ind w:firstLine="480"/>
      </w:pPr>
      <w:r>
        <w:rPr>
          <w:rFonts w:hint="eastAsia"/>
        </w:rPr>
        <w:t>①施工活动</w:t>
      </w:r>
    </w:p>
    <w:p w14:paraId="6F6685EA" w14:textId="77777777" w:rsidR="005A1A44" w:rsidRDefault="0008059E">
      <w:pPr>
        <w:ind w:firstLine="480"/>
      </w:pPr>
      <w:r>
        <w:rPr>
          <w:rFonts w:hint="eastAsia"/>
        </w:rPr>
        <w:t>主体工程施工会造成地表植被破坏，并影响项目区动物栖息；施工机械噪声、交通噪声也可能对项目区动物栖息产生一定不利影响。</w:t>
      </w:r>
    </w:p>
    <w:p w14:paraId="4B2C565F" w14:textId="77777777" w:rsidR="005A1A44" w:rsidRDefault="0008059E">
      <w:pPr>
        <w:ind w:firstLine="480"/>
      </w:pPr>
      <w:r>
        <w:rPr>
          <w:rFonts w:hint="eastAsia"/>
        </w:rPr>
        <w:t>②施工人员活动</w:t>
      </w:r>
    </w:p>
    <w:p w14:paraId="7EFA57CB" w14:textId="77777777" w:rsidR="005A1A44" w:rsidRDefault="0008059E">
      <w:pPr>
        <w:ind w:firstLine="480"/>
      </w:pPr>
      <w:r>
        <w:rPr>
          <w:rFonts w:hint="eastAsia"/>
        </w:rPr>
        <w:t>工程施工场地建设及施工人员活动会扰动地表对植被造成破坏。</w:t>
      </w:r>
    </w:p>
    <w:p w14:paraId="65070C6B" w14:textId="77777777" w:rsidR="005A1A44" w:rsidRDefault="0008059E">
      <w:pPr>
        <w:ind w:firstLine="480"/>
      </w:pPr>
      <w:r>
        <w:rPr>
          <w:rFonts w:hint="eastAsia"/>
        </w:rPr>
        <w:t>③临时占地</w:t>
      </w:r>
    </w:p>
    <w:p w14:paraId="5A744082" w14:textId="77777777" w:rsidR="005A1A44" w:rsidRDefault="0008059E">
      <w:pPr>
        <w:ind w:firstLine="480"/>
      </w:pPr>
      <w:r>
        <w:rPr>
          <w:rFonts w:hint="eastAsia"/>
        </w:rPr>
        <w:t>本项目临时占地，在占用过程中会破坏取土场上少量杂草或农作物。</w:t>
      </w:r>
    </w:p>
    <w:p w14:paraId="38DB9AB0" w14:textId="77777777" w:rsidR="005A1A44" w:rsidRDefault="0008059E">
      <w:pPr>
        <w:ind w:firstLine="480"/>
      </w:pPr>
      <w:r>
        <w:rPr>
          <w:rFonts w:hint="eastAsia"/>
        </w:rPr>
        <w:t>④弃渣</w:t>
      </w:r>
    </w:p>
    <w:p w14:paraId="5BCA1526" w14:textId="77777777" w:rsidR="005A1A44" w:rsidRDefault="0008059E">
      <w:pPr>
        <w:ind w:firstLine="480"/>
      </w:pPr>
      <w:r>
        <w:rPr>
          <w:rFonts w:hint="eastAsia"/>
        </w:rPr>
        <w:t>在弃渣过程中主要是临时占地，会压覆临河地上的少量杂草或农作物。</w:t>
      </w:r>
    </w:p>
    <w:p w14:paraId="729A2A05" w14:textId="77777777" w:rsidR="005A1A44" w:rsidRDefault="0008059E">
      <w:pPr>
        <w:ind w:firstLine="480"/>
      </w:pPr>
      <w:r>
        <w:rPr>
          <w:rFonts w:hint="eastAsia"/>
        </w:rPr>
        <w:t>（</w:t>
      </w:r>
      <w:r>
        <w:rPr>
          <w:rFonts w:hint="eastAsia"/>
        </w:rPr>
        <w:t>3</w:t>
      </w:r>
      <w:r>
        <w:rPr>
          <w:rFonts w:hint="eastAsia"/>
        </w:rPr>
        <w:t>）地表水环境影响因素</w:t>
      </w:r>
    </w:p>
    <w:p w14:paraId="1F4AEC24" w14:textId="77777777" w:rsidR="005A1A44" w:rsidRDefault="0008059E">
      <w:pPr>
        <w:ind w:firstLine="480"/>
      </w:pPr>
      <w:r>
        <w:rPr>
          <w:rFonts w:hint="eastAsia"/>
        </w:rPr>
        <w:t>①机械车辆冲洗废水</w:t>
      </w:r>
    </w:p>
    <w:p w14:paraId="1851F154" w14:textId="77777777" w:rsidR="005A1A44" w:rsidRDefault="0008059E">
      <w:pPr>
        <w:ind w:firstLine="480"/>
      </w:pPr>
      <w:r>
        <w:rPr>
          <w:rFonts w:hint="eastAsia"/>
        </w:rPr>
        <w:t>本项目施工营地不设专门的修配厂，仅在施工营地配设机械停放场。机械车辆冲洗废水量很小，主要污染物为石油类和悬浮物</w:t>
      </w:r>
    </w:p>
    <w:p w14:paraId="1AA3EB99" w14:textId="77777777" w:rsidR="005A1A44" w:rsidRDefault="0008059E">
      <w:pPr>
        <w:ind w:firstLine="480"/>
      </w:pPr>
      <w:r>
        <w:rPr>
          <w:rFonts w:hint="eastAsia"/>
        </w:rPr>
        <w:t>②生活污水</w:t>
      </w:r>
    </w:p>
    <w:p w14:paraId="1D921C62" w14:textId="77777777" w:rsidR="005A1A44" w:rsidRDefault="0008059E">
      <w:pPr>
        <w:ind w:firstLine="480"/>
      </w:pPr>
      <w:r>
        <w:rPr>
          <w:rFonts w:hint="eastAsia"/>
        </w:rPr>
        <w:t>施工生活营地，施工期生活污水主要为施工人员生活污水、生活垃圾等。</w:t>
      </w:r>
    </w:p>
    <w:p w14:paraId="0957A03D" w14:textId="77777777" w:rsidR="005A1A44" w:rsidRDefault="0008059E">
      <w:pPr>
        <w:ind w:firstLine="480"/>
      </w:pPr>
      <w:r>
        <w:rPr>
          <w:rFonts w:hint="eastAsia"/>
        </w:rPr>
        <w:t>（</w:t>
      </w:r>
      <w:r>
        <w:rPr>
          <w:rFonts w:hint="eastAsia"/>
        </w:rPr>
        <w:t>4</w:t>
      </w:r>
      <w:r>
        <w:rPr>
          <w:rFonts w:hint="eastAsia"/>
        </w:rPr>
        <w:t>）声环境影响因素</w:t>
      </w:r>
    </w:p>
    <w:p w14:paraId="01AB0653" w14:textId="77777777" w:rsidR="005A1A44" w:rsidRDefault="0008059E">
      <w:pPr>
        <w:ind w:firstLine="480"/>
      </w:pPr>
      <w:r>
        <w:rPr>
          <w:rFonts w:hint="eastAsia"/>
        </w:rPr>
        <w:t>①施工噪声</w:t>
      </w:r>
    </w:p>
    <w:p w14:paraId="191E608B" w14:textId="77777777" w:rsidR="005A1A44" w:rsidRDefault="0008059E">
      <w:pPr>
        <w:ind w:firstLine="480"/>
      </w:pPr>
      <w:r>
        <w:rPr>
          <w:rFonts w:hint="eastAsia"/>
        </w:rPr>
        <w:t>本项目施工噪声主要来自施工机械噪声，工程使用的施工机械主要有推土机、挖掘机、振动碾、打夯机等，噪声级一般在</w:t>
      </w:r>
      <w:r>
        <w:rPr>
          <w:rFonts w:hint="eastAsia"/>
        </w:rPr>
        <w:t>65</w:t>
      </w:r>
      <w:r>
        <w:rPr>
          <w:rFonts w:hint="eastAsia"/>
        </w:rPr>
        <w:t>～</w:t>
      </w:r>
      <w:r>
        <w:rPr>
          <w:rFonts w:hint="eastAsia"/>
        </w:rPr>
        <w:t>85dB</w:t>
      </w:r>
      <w:r>
        <w:rPr>
          <w:rFonts w:hint="eastAsia"/>
        </w:rPr>
        <w:t>（</w:t>
      </w:r>
      <w:r>
        <w:rPr>
          <w:rFonts w:hint="eastAsia"/>
        </w:rPr>
        <w:t>A</w:t>
      </w:r>
      <w:r>
        <w:rPr>
          <w:rFonts w:hint="eastAsia"/>
        </w:rPr>
        <w:t>）之间。施工机械噪声会对附近城乡居民产生影响。</w:t>
      </w:r>
    </w:p>
    <w:p w14:paraId="3D6A656D" w14:textId="77777777" w:rsidR="005A1A44" w:rsidRDefault="0008059E">
      <w:pPr>
        <w:ind w:firstLine="480"/>
      </w:pPr>
      <w:r>
        <w:rPr>
          <w:rFonts w:hint="eastAsia"/>
        </w:rPr>
        <w:t>②交通噪声</w:t>
      </w:r>
    </w:p>
    <w:p w14:paraId="35C1E888" w14:textId="77777777" w:rsidR="005A1A44" w:rsidRDefault="0008059E">
      <w:pPr>
        <w:ind w:firstLine="480"/>
      </w:pPr>
      <w:r>
        <w:rPr>
          <w:rFonts w:hint="eastAsia"/>
        </w:rPr>
        <w:t>工程使用的运输车辆主要为拖拉机、自卸汽车、油罐车和洒水车等，噪声级一般在</w:t>
      </w:r>
      <w:r>
        <w:rPr>
          <w:rFonts w:hint="eastAsia"/>
        </w:rPr>
        <w:t>72</w:t>
      </w:r>
      <w:r>
        <w:rPr>
          <w:rFonts w:hint="eastAsia"/>
        </w:rPr>
        <w:t>～</w:t>
      </w:r>
      <w:r>
        <w:rPr>
          <w:rFonts w:hint="eastAsia"/>
        </w:rPr>
        <w:t>75dB</w:t>
      </w:r>
      <w:r>
        <w:rPr>
          <w:rFonts w:hint="eastAsia"/>
        </w:rPr>
        <w:t>（</w:t>
      </w:r>
      <w:r>
        <w:rPr>
          <w:rFonts w:hint="eastAsia"/>
        </w:rPr>
        <w:t>A</w:t>
      </w:r>
      <w:r>
        <w:rPr>
          <w:rFonts w:hint="eastAsia"/>
        </w:rPr>
        <w:t>）之间。在施工运输集中时段，运输车辆噪声可能对位于道路附近的居民点声环境产生不利影响。</w:t>
      </w:r>
    </w:p>
    <w:p w14:paraId="6B026C64" w14:textId="77777777" w:rsidR="005A1A44" w:rsidRDefault="0008059E">
      <w:pPr>
        <w:ind w:firstLine="480"/>
      </w:pPr>
      <w:r>
        <w:rPr>
          <w:rFonts w:hint="eastAsia"/>
        </w:rPr>
        <w:t>（</w:t>
      </w:r>
      <w:r>
        <w:rPr>
          <w:rFonts w:hint="eastAsia"/>
        </w:rPr>
        <w:t>5</w:t>
      </w:r>
      <w:r>
        <w:rPr>
          <w:rFonts w:hint="eastAsia"/>
        </w:rPr>
        <w:t>）大气环境影响因素</w:t>
      </w:r>
    </w:p>
    <w:p w14:paraId="57052100" w14:textId="77777777" w:rsidR="005A1A44" w:rsidRDefault="0008059E">
      <w:pPr>
        <w:ind w:firstLine="480"/>
      </w:pPr>
      <w:r>
        <w:rPr>
          <w:rFonts w:hint="eastAsia"/>
        </w:rPr>
        <w:t>①施工废气</w:t>
      </w:r>
    </w:p>
    <w:p w14:paraId="7ACFF3C2" w14:textId="77777777" w:rsidR="005A1A44" w:rsidRDefault="0008059E">
      <w:pPr>
        <w:ind w:firstLine="480"/>
      </w:pPr>
      <w:r>
        <w:rPr>
          <w:rFonts w:hint="eastAsia"/>
        </w:rPr>
        <w:t>工程施工废气主要来源为：施工扬尘和挖掘机、推土机等燃油机械排放的尾气，</w:t>
      </w:r>
      <w:r>
        <w:rPr>
          <w:rFonts w:hint="eastAsia"/>
        </w:rPr>
        <w:lastRenderedPageBreak/>
        <w:t>主要污染物为</w:t>
      </w:r>
      <w:r>
        <w:rPr>
          <w:rFonts w:hint="eastAsia"/>
        </w:rPr>
        <w:t>TSP</w:t>
      </w:r>
      <w:r>
        <w:rPr>
          <w:rFonts w:hint="eastAsia"/>
        </w:rPr>
        <w:t>、</w:t>
      </w:r>
      <w:r>
        <w:rPr>
          <w:rFonts w:hint="eastAsia"/>
        </w:rPr>
        <w:t>SO</w:t>
      </w:r>
      <w:r>
        <w:rPr>
          <w:rFonts w:hint="eastAsia"/>
          <w:vertAlign w:val="subscript"/>
        </w:rPr>
        <w:t>2</w:t>
      </w:r>
      <w:r>
        <w:rPr>
          <w:rFonts w:hint="eastAsia"/>
        </w:rPr>
        <w:t>和</w:t>
      </w:r>
      <w:r>
        <w:rPr>
          <w:rFonts w:hint="eastAsia"/>
        </w:rPr>
        <w:t>NOx</w:t>
      </w:r>
      <w:r>
        <w:rPr>
          <w:rFonts w:hint="eastAsia"/>
        </w:rPr>
        <w:t>、</w:t>
      </w:r>
      <w:r>
        <w:rPr>
          <w:rFonts w:hint="eastAsia"/>
        </w:rPr>
        <w:t>CO</w:t>
      </w:r>
      <w:r>
        <w:rPr>
          <w:rFonts w:hint="eastAsia"/>
        </w:rPr>
        <w:t>、</w:t>
      </w:r>
      <w:r>
        <w:rPr>
          <w:rFonts w:hint="eastAsia"/>
        </w:rPr>
        <w:t>THC</w:t>
      </w:r>
      <w:r>
        <w:rPr>
          <w:rFonts w:hint="eastAsia"/>
        </w:rPr>
        <w:t>。</w:t>
      </w:r>
    </w:p>
    <w:p w14:paraId="16C755DC" w14:textId="77777777" w:rsidR="005A1A44" w:rsidRDefault="0008059E">
      <w:pPr>
        <w:ind w:firstLine="480"/>
      </w:pPr>
      <w:r>
        <w:rPr>
          <w:rFonts w:hint="eastAsia"/>
        </w:rPr>
        <w:t>②交通运输废气</w:t>
      </w:r>
    </w:p>
    <w:p w14:paraId="7835A07A" w14:textId="77777777" w:rsidR="005A1A44" w:rsidRDefault="0008059E">
      <w:pPr>
        <w:ind w:firstLine="480"/>
      </w:pPr>
      <w:r>
        <w:rPr>
          <w:rFonts w:hint="eastAsia"/>
        </w:rPr>
        <w:t>运输车辆排放的尾气（主要污染物为</w:t>
      </w:r>
      <w:r>
        <w:rPr>
          <w:rFonts w:hint="eastAsia"/>
        </w:rPr>
        <w:t>SO</w:t>
      </w:r>
      <w:r>
        <w:rPr>
          <w:rFonts w:hint="eastAsia"/>
          <w:vertAlign w:val="subscript"/>
        </w:rPr>
        <w:t>2</w:t>
      </w:r>
      <w:r>
        <w:rPr>
          <w:rFonts w:hint="eastAsia"/>
        </w:rPr>
        <w:t>和</w:t>
      </w:r>
      <w:r>
        <w:rPr>
          <w:rFonts w:hint="eastAsia"/>
        </w:rPr>
        <w:t>NOx</w:t>
      </w:r>
      <w:r>
        <w:rPr>
          <w:rFonts w:hint="eastAsia"/>
        </w:rPr>
        <w:t>、</w:t>
      </w:r>
      <w:r>
        <w:rPr>
          <w:rFonts w:hint="eastAsia"/>
        </w:rPr>
        <w:t>CO</w:t>
      </w:r>
      <w:r>
        <w:rPr>
          <w:rFonts w:hint="eastAsia"/>
        </w:rPr>
        <w:t>、</w:t>
      </w:r>
      <w:r>
        <w:rPr>
          <w:rFonts w:hint="eastAsia"/>
        </w:rPr>
        <w:t>THC</w:t>
      </w:r>
      <w:r>
        <w:rPr>
          <w:rFonts w:hint="eastAsia"/>
        </w:rPr>
        <w:t>）以及车辆行驶产生的扬尘（主要污染物为</w:t>
      </w:r>
      <w:r>
        <w:rPr>
          <w:rFonts w:hint="eastAsia"/>
        </w:rPr>
        <w:t>TSP</w:t>
      </w:r>
      <w:r>
        <w:rPr>
          <w:rFonts w:hint="eastAsia"/>
        </w:rPr>
        <w:t>），影响施工区及主要运输路线两侧区域大气质量。</w:t>
      </w:r>
    </w:p>
    <w:p w14:paraId="3C5A5411" w14:textId="77777777" w:rsidR="005A1A44" w:rsidRDefault="0008059E">
      <w:pPr>
        <w:ind w:firstLine="480"/>
      </w:pPr>
      <w:r>
        <w:rPr>
          <w:rFonts w:hint="eastAsia"/>
        </w:rPr>
        <w:t>（</w:t>
      </w:r>
      <w:r>
        <w:rPr>
          <w:rFonts w:hint="eastAsia"/>
        </w:rPr>
        <w:t>6</w:t>
      </w:r>
      <w:r>
        <w:rPr>
          <w:rFonts w:hint="eastAsia"/>
        </w:rPr>
        <w:t>）固体废物影响因素</w:t>
      </w:r>
    </w:p>
    <w:p w14:paraId="7057F1CE" w14:textId="77777777" w:rsidR="005A1A44" w:rsidRDefault="0008059E">
      <w:pPr>
        <w:ind w:firstLine="480"/>
      </w:pPr>
      <w:r>
        <w:rPr>
          <w:rFonts w:hint="eastAsia"/>
        </w:rPr>
        <w:t>本项目产生的固废主要是河床清理垃圾、道路建筑垃圾、施工生活垃圾等，这些固废若无妥善处置方式，会产生二次污染，带来水土流失、土壤污染、水环境污染等不利环境影响。</w:t>
      </w:r>
    </w:p>
    <w:p w14:paraId="78E45FAC" w14:textId="77777777" w:rsidR="005A1A44" w:rsidRDefault="0008059E">
      <w:pPr>
        <w:ind w:firstLine="480"/>
      </w:pPr>
      <w:r>
        <w:rPr>
          <w:rFonts w:hint="eastAsia"/>
        </w:rPr>
        <w:t>（</w:t>
      </w:r>
      <w:r>
        <w:rPr>
          <w:rFonts w:hint="eastAsia"/>
        </w:rPr>
        <w:t>7</w:t>
      </w:r>
      <w:r>
        <w:rPr>
          <w:rFonts w:hint="eastAsia"/>
        </w:rPr>
        <w:t>）人群健康影响因素</w:t>
      </w:r>
    </w:p>
    <w:p w14:paraId="6C3742CA" w14:textId="77777777" w:rsidR="005A1A44" w:rsidRDefault="0008059E">
      <w:pPr>
        <w:ind w:firstLine="480"/>
      </w:pPr>
      <w:r>
        <w:rPr>
          <w:rFonts w:hint="eastAsia"/>
        </w:rPr>
        <w:t>工程本身不会增加某些地方传染病的流行等人群健康问题，但施工期间，由于人员相对集中，增加了疾病交叉感染的机率，加之生活居住条件较差，有可能导致疾病的流行，对局部区域环境卫生和施工人群健康带来影响。</w:t>
      </w:r>
    </w:p>
    <w:p w14:paraId="1F0A4296" w14:textId="77777777" w:rsidR="005A1A44" w:rsidRDefault="0008059E">
      <w:pPr>
        <w:ind w:firstLine="480"/>
      </w:pPr>
      <w:r>
        <w:rPr>
          <w:rFonts w:hint="eastAsia"/>
        </w:rPr>
        <w:t>（</w:t>
      </w:r>
      <w:r>
        <w:rPr>
          <w:rFonts w:hint="eastAsia"/>
        </w:rPr>
        <w:t>8</w:t>
      </w:r>
      <w:r>
        <w:rPr>
          <w:rFonts w:hint="eastAsia"/>
        </w:rPr>
        <w:t>）社会环境影响因素</w:t>
      </w:r>
    </w:p>
    <w:p w14:paraId="67A92A10" w14:textId="77777777" w:rsidR="005A1A44" w:rsidRDefault="0008059E">
      <w:pPr>
        <w:ind w:firstLine="480"/>
      </w:pPr>
      <w:r>
        <w:rPr>
          <w:rFonts w:hint="eastAsia"/>
        </w:rPr>
        <w:t>施工过程将占用原有交通道路和其他土地资源，造成一定时期内的交通略有不便。</w:t>
      </w:r>
    </w:p>
    <w:p w14:paraId="5FBFA325" w14:textId="77777777" w:rsidR="005A1A44" w:rsidRDefault="0008059E">
      <w:pPr>
        <w:pStyle w:val="3"/>
        <w:numPr>
          <w:ilvl w:val="2"/>
          <w:numId w:val="2"/>
        </w:numPr>
      </w:pPr>
      <w:bookmarkStart w:id="145" w:name="_Toc8337_WPSOffice_Level2"/>
      <w:r>
        <w:rPr>
          <w:rFonts w:hint="eastAsia"/>
        </w:rPr>
        <w:t xml:space="preserve"> </w:t>
      </w:r>
      <w:r>
        <w:rPr>
          <w:rFonts w:hint="eastAsia"/>
        </w:rPr>
        <w:t>施工工艺</w:t>
      </w:r>
      <w:bookmarkEnd w:id="145"/>
    </w:p>
    <w:p w14:paraId="55E29B88" w14:textId="77777777" w:rsidR="005A1A44" w:rsidRDefault="0008059E">
      <w:pPr>
        <w:ind w:firstLine="480"/>
        <w:jc w:val="left"/>
      </w:pPr>
      <w:r>
        <w:rPr>
          <w:rFonts w:hint="eastAsia"/>
        </w:rPr>
        <w:t>土方施工以机械施工为主，人工为辅，其中土方回填全部利用挖方。为了土方挖填结合，各部位开挖前及地表建基面填筑前均应先行清基，按照施工交通方便和就近结合的原则确定调配流程。</w:t>
      </w:r>
    </w:p>
    <w:p w14:paraId="7175891E" w14:textId="77777777" w:rsidR="005A1A44" w:rsidRDefault="0008059E">
      <w:pPr>
        <w:pStyle w:val="4"/>
        <w:numPr>
          <w:ilvl w:val="3"/>
          <w:numId w:val="2"/>
        </w:numPr>
      </w:pPr>
      <w:r>
        <w:rPr>
          <w:rFonts w:hint="eastAsia"/>
        </w:rPr>
        <w:t xml:space="preserve"> </w:t>
      </w:r>
      <w:r>
        <w:rPr>
          <w:rFonts w:hint="eastAsia"/>
        </w:rPr>
        <w:t>防洪堤施工工艺</w:t>
      </w:r>
    </w:p>
    <w:p w14:paraId="451A4680" w14:textId="77777777" w:rsidR="005A1A44" w:rsidRDefault="0008059E">
      <w:pPr>
        <w:ind w:firstLine="480"/>
      </w:pPr>
      <w:r>
        <w:rPr>
          <w:rFonts w:hint="eastAsia"/>
        </w:rPr>
        <w:t>（</w:t>
      </w:r>
      <w:r>
        <w:rPr>
          <w:rFonts w:hint="eastAsia"/>
        </w:rPr>
        <w:t>1</w:t>
      </w:r>
      <w:r>
        <w:rPr>
          <w:rFonts w:hint="eastAsia"/>
        </w:rPr>
        <w:t>）施工工序</w:t>
      </w:r>
    </w:p>
    <w:p w14:paraId="1C0F670E" w14:textId="77777777" w:rsidR="005A1A44" w:rsidRDefault="0008059E">
      <w:pPr>
        <w:ind w:firstLine="480"/>
      </w:pPr>
      <w:r>
        <w:rPr>
          <w:rFonts w:hint="eastAsia"/>
        </w:rPr>
        <w:t>新建防洪堤的施工程序为施工单位进场→</w:t>
      </w:r>
      <w:r>
        <w:rPr>
          <w:color w:val="000000"/>
        </w:rPr>
        <w:t>场地清理</w:t>
      </w:r>
      <w:r>
        <w:rPr>
          <w:rFonts w:hint="eastAsia"/>
        </w:rPr>
        <w:t>→基础土石方开挖→</w:t>
      </w:r>
      <w:r>
        <w:rPr>
          <w:rFonts w:hint="eastAsia"/>
        </w:rPr>
        <w:t xml:space="preserve">C20 </w:t>
      </w:r>
      <w:r>
        <w:rPr>
          <w:rFonts w:hint="eastAsia"/>
        </w:rPr>
        <w:t>砼基础处理→防渗处理（土工膜铺设）→土石方回填→坡面修整→堤顶施工（</w:t>
      </w:r>
      <w:r>
        <w:rPr>
          <w:rFonts w:hint="eastAsia"/>
        </w:rPr>
        <w:t xml:space="preserve">C20 </w:t>
      </w:r>
      <w:r>
        <w:rPr>
          <w:rFonts w:hint="eastAsia"/>
        </w:rPr>
        <w:t>砼护肩）。</w:t>
      </w:r>
    </w:p>
    <w:p w14:paraId="15F153AA" w14:textId="77777777" w:rsidR="005A1A44" w:rsidRDefault="00000000">
      <w:pPr>
        <w:pStyle w:val="ac"/>
        <w:widowControl/>
        <w:spacing w:line="240" w:lineRule="auto"/>
        <w:ind w:firstLineChars="0" w:firstLine="0"/>
        <w:jc w:val="center"/>
      </w:pPr>
      <w:r>
        <w:rPr>
          <w:noProof/>
        </w:rPr>
      </w:r>
      <w:r>
        <w:rPr>
          <w:noProof/>
        </w:rPr>
        <w:pict w14:anchorId="765C8CA2">
          <v:group id="组合 66" o:spid="_x0000_s2050" style="width:297.85pt;height:311.4pt;mso-position-horizontal-relative:char;mso-position-vertical-relative:line" coordorigin="3904,4057" coordsize="5957,6241">
            <v:rect id="Rectangle 4" o:spid="_x0000_s2051" style="position:absolute;left:4138;top:4057;width:1935;height: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PujwwAAANoAAAAPAAAAZHJzL2Rvd25yZXYueG1sRI9Ba8JA&#10;FITvBf/D8gRvdVOLpaRuJIqCJ6Fa0N4e2dfdkOzbkN2a9N93hUKPw8x8w6zWo2vFjfpQe1bwNM9A&#10;EFde12wUfJz3j68gQkTW2HomBT8UYF1MHlaYaz/wO91O0YgE4ZCjAhtjl0sZKksOw9x3xMn78r3D&#10;mGRvpO5xSHDXykWWvUiHNacFix1tLVXN6dsp2HWfx3Jpgiwv0V4bvxn29miUmk3H8g1EpDH+h//a&#10;B63gGe5X0g2QxS8AAAD//wMAUEsBAi0AFAAGAAgAAAAhANvh9svuAAAAhQEAABMAAAAAAAAAAAAA&#10;AAAAAAAAAFtDb250ZW50X1R5cGVzXS54bWxQSwECLQAUAAYACAAAACEAWvQsW78AAAAVAQAACwAA&#10;AAAAAAAAAAAAAAAfAQAAX3JlbHMvLnJlbHNQSwECLQAUAAYACAAAACEAucD7o8MAAADaAAAADwAA&#10;AAAAAAAAAAAAAAAHAgAAZHJzL2Rvd25yZXYueG1sUEsFBgAAAAADAAMAtwAAAPcCAAAAAA==&#10;" filled="f">
              <v:textbox>
                <w:txbxContent>
                  <w:p w14:paraId="735B9399" w14:textId="77777777" w:rsidR="005A1A44" w:rsidRDefault="0008059E">
                    <w:pPr>
                      <w:ind w:firstLineChars="0" w:firstLine="0"/>
                      <w:jc w:val="center"/>
                      <w:rPr>
                        <w:sz w:val="21"/>
                        <w:szCs w:val="21"/>
                      </w:rPr>
                    </w:pPr>
                    <w:r>
                      <w:rPr>
                        <w:rFonts w:hint="eastAsia"/>
                        <w:sz w:val="21"/>
                        <w:szCs w:val="21"/>
                      </w:rPr>
                      <w:t>施工准备</w:t>
                    </w:r>
                  </w:p>
                </w:txbxContent>
              </v:textbox>
            </v:rect>
            <v:line id="Line 5" o:spid="_x0000_s2052" style="position:absolute;visibility:visible" from="5134,4514" to="5138,4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KgwwAAANoAAAAPAAAAZHJzL2Rvd25yZXYueG1sRI9BawIx&#10;FITvBf9DeIK3mlWK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YuaSoMMAAADaAAAADwAA&#10;AAAAAAAAAAAAAAAHAgAAZHJzL2Rvd25yZXYueG1sUEsFBgAAAAADAAMAtwAAAPcCAAAAAA==&#10;">
              <v:stroke endarrow="block"/>
            </v:line>
            <v:rect id="Rectangle 6" o:spid="_x0000_s2053" style="position:absolute;left:4153;top:4905;width:1934;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MwgAAANoAAAAPAAAAZHJzL2Rvd25yZXYueG1sRI9BawIx&#10;FITvQv9DeAVvbrYFS1mNspYKngStoN4em2eyuHlZNtFd/70pFHocZuYbZr4cXCPu1IXas4K3LAdB&#10;XHlds1Fw+FlPPkGEiKyx8UwKHhRguXgZzbHQvucd3ffRiAThUKACG2NbSBkqSw5D5lvi5F185zAm&#10;2RmpO+wT3DXyPc8/pMOa04LFlr4sVdf9zSn4bs/bcmqCLI/Rnq5+1a/t1ig1fh3KGYhIQ/wP/7U3&#10;WsEUfq+kGyAXTwAAAP//AwBQSwECLQAUAAYACAAAACEA2+H2y+4AAACFAQAAEwAAAAAAAAAAAAAA&#10;AAAAAAAAW0NvbnRlbnRfVHlwZXNdLnhtbFBLAQItABQABgAIAAAAIQBa9CxbvwAAABUBAAALAAAA&#10;AAAAAAAAAAAAAB8BAABfcmVscy8ucmVsc1BLAQItABQABgAIAAAAIQBZZcZMwgAAANoAAAAPAAAA&#10;AAAAAAAAAAAAAAcCAABkcnMvZG93bnJldi54bWxQSwUGAAAAAAMAAwC3AAAA9gIAAAAA&#10;" filled="f">
              <v:textbox>
                <w:txbxContent>
                  <w:p w14:paraId="253892C6" w14:textId="77777777" w:rsidR="005A1A44" w:rsidRDefault="0008059E">
                    <w:pPr>
                      <w:ind w:firstLineChars="100" w:firstLine="240"/>
                    </w:pPr>
                    <w:r>
                      <w:rPr>
                        <w:rFonts w:hint="eastAsia"/>
                      </w:rPr>
                      <w:t>场地清理</w:t>
                    </w:r>
                  </w:p>
                </w:txbxContent>
              </v:textbox>
            </v:rect>
            <v:line id="Line 7" o:spid="_x0000_s2054" style="position:absolute;flip:x;visibility:visible" from="5134,5325" to="5135,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rect id="Rectangle 8" o:spid="_x0000_s2055" style="position:absolute;left:3948;top:5694;width:2404;height: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rvwAAANsAAAAPAAAAZHJzL2Rvd25yZXYueG1sRE9Ni8Iw&#10;EL0v+B/CCN7WVMFlqUapouBJWHdh9TY0Y1JsJqWJtv57cxA8Pt73YtW7WtypDZVnBZNxBoK49Lpi&#10;o+Dvd/f5DSJEZI21Z1LwoACr5eBjgbn2Hf/Q/RiNSCEcclRgY2xyKUNpyWEY+4Y4cRffOowJtkbq&#10;FrsU7mo5zbIv6bDi1GCxoY2l8nq8OQXb5nwoZibI4j/a09Wvu509GKVGw76Yg4jUx7f45d5rBdM0&#10;Nn1JP0AunwAAAP//AwBQSwECLQAUAAYACAAAACEA2+H2y+4AAACFAQAAEwAAAAAAAAAAAAAAAAAA&#10;AAAAW0NvbnRlbnRfVHlwZXNdLnhtbFBLAQItABQABgAIAAAAIQBa9CxbvwAAABUBAAALAAAAAAAA&#10;AAAAAAAAAB8BAABfcmVscy8ucmVsc1BLAQItABQABgAIAAAAIQAgx7/rvwAAANsAAAAPAAAAAAAA&#10;AAAAAAAAAAcCAABkcnMvZG93bnJldi54bWxQSwUGAAAAAAMAAwC3AAAA8wIAAAAA&#10;" filled="f">
              <v:textbox>
                <w:txbxContent>
                  <w:p w14:paraId="2F56A660" w14:textId="77777777" w:rsidR="005A1A44" w:rsidRDefault="0008059E">
                    <w:pPr>
                      <w:ind w:firstLineChars="0" w:firstLine="0"/>
                      <w:rPr>
                        <w:sz w:val="21"/>
                        <w:szCs w:val="21"/>
                      </w:rPr>
                    </w:pPr>
                    <w:r>
                      <w:rPr>
                        <w:rFonts w:hint="eastAsia"/>
                        <w:sz w:val="21"/>
                        <w:szCs w:val="21"/>
                      </w:rPr>
                      <w:t>基础土方、石方开挖</w:t>
                    </w:r>
                  </w:p>
                  <w:p w14:paraId="2A398865" w14:textId="77777777" w:rsidR="005A1A44" w:rsidRDefault="005A1A44">
                    <w:pPr>
                      <w:ind w:firstLine="420"/>
                      <w:jc w:val="center"/>
                      <w:rPr>
                        <w:sz w:val="21"/>
                        <w:szCs w:val="21"/>
                      </w:rPr>
                    </w:pPr>
                  </w:p>
                  <w:p w14:paraId="7C324428" w14:textId="77777777" w:rsidR="005A1A44" w:rsidRDefault="005A1A44">
                    <w:pPr>
                      <w:ind w:firstLine="420"/>
                      <w:rPr>
                        <w:sz w:val="21"/>
                        <w:szCs w:val="21"/>
                      </w:rPr>
                    </w:pPr>
                  </w:p>
                </w:txbxContent>
              </v:textbox>
            </v:rect>
            <v:line id="Line 9" o:spid="_x0000_s2056" style="position:absolute;visibility:visible" from="5133,6143" to="5134,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rect id="Rectangle 10" o:spid="_x0000_s2057" style="position:absolute;left:4261;top:6480;width:1693;height:4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CrwwAAANsAAAAPAAAAZHJzL2Rvd25yZXYueG1sRI9PawIx&#10;FMTvhX6H8Aq91ayKpaxG2RaFngT/QPX22DyTxc3Lsonu+u2NIPQ4zMxvmNmid7W4UhsqzwqGgwwE&#10;cel1xUbBfrf6+AIRIrLG2jMpuFGAxfz1ZYa59h1v6LqNRiQIhxwV2BibXMpQWnIYBr4hTt7Jtw5j&#10;kq2RusUuwV0tR1n2KR1WnBYsNvRjqTxvL07Bsjmui4kJsviL9nD2393Kro1S7299MQURqY//4Wf7&#10;VysYD+HxJf0AOb8DAAD//wMAUEsBAi0AFAAGAAgAAAAhANvh9svuAAAAhQEAABMAAAAAAAAAAAAA&#10;AAAAAAAAAFtDb250ZW50X1R5cGVzXS54bWxQSwECLQAUAAYACAAAACEAWvQsW78AAAAVAQAACwAA&#10;AAAAAAAAAAAAAAAfAQAAX3JlbHMvLnJlbHNQSwECLQAUAAYACAAAACEANCSAq8MAAADbAAAADwAA&#10;AAAAAAAAAAAAAAAHAgAAZHJzL2Rvd25yZXYueG1sUEsFBgAAAAADAAMAtwAAAPcCAAAAAA==&#10;" filled="f">
              <v:textbox>
                <w:txbxContent>
                  <w:p w14:paraId="2043330A" w14:textId="77777777" w:rsidR="005A1A44" w:rsidRDefault="0008059E">
                    <w:pPr>
                      <w:ind w:firstLineChars="0" w:firstLine="0"/>
                      <w:jc w:val="center"/>
                      <w:rPr>
                        <w:sz w:val="21"/>
                        <w:szCs w:val="21"/>
                      </w:rPr>
                    </w:pPr>
                    <w:r>
                      <w:rPr>
                        <w:rFonts w:hint="eastAsia"/>
                        <w:sz w:val="21"/>
                        <w:szCs w:val="21"/>
                      </w:rPr>
                      <w:t>C20</w:t>
                    </w:r>
                    <w:r>
                      <w:rPr>
                        <w:rFonts w:hint="eastAsia"/>
                        <w:sz w:val="21"/>
                        <w:szCs w:val="21"/>
                      </w:rPr>
                      <w:t>砼基础处理</w:t>
                    </w:r>
                  </w:p>
                  <w:p w14:paraId="4D09DA67" w14:textId="77777777" w:rsidR="005A1A44" w:rsidRDefault="005A1A44">
                    <w:pPr>
                      <w:ind w:firstLine="420"/>
                      <w:rPr>
                        <w:sz w:val="21"/>
                        <w:szCs w:val="21"/>
                      </w:rPr>
                    </w:pPr>
                  </w:p>
                </w:txbxContent>
              </v:textbox>
            </v:rect>
            <v:line id="Line 11" o:spid="_x0000_s2058" style="position:absolute;visibility:visible" from="5132,6926" to="5133,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rect id="Rectangle 12" o:spid="_x0000_s2059" style="position:absolute;left:4261;top:7273;width:1752;height: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MzwwAAANsAAAAPAAAAZHJzL2Rvd25yZXYueG1sRI9BawIx&#10;FITvhf6H8Areara1FVmNsi0VPAlVQb09Ns9kcfOybFJ3/feNIHgcZuYbZrboXS0u1IbKs4K3YQaC&#10;uPS6YqNgt12+TkCEiKyx9kwKrhRgMX9+mmGufce/dNlEIxKEQ44KbIxNLmUoLTkMQ98QJ+/kW4cx&#10;ydZI3WKX4K6W71k2lg4rTgsWG/q2VJ43f07BT3NcF58myGIf7eHsv7qlXRulBi99MQURqY+P8L29&#10;0gpGH3D7kn6AnP8DAAD//wMAUEsBAi0AFAAGAAgAAAAhANvh9svuAAAAhQEAABMAAAAAAAAAAAAA&#10;AAAAAAAAAFtDb250ZW50X1R5cGVzXS54bWxQSwECLQAUAAYACAAAACEAWvQsW78AAAAVAQAACwAA&#10;AAAAAAAAAAAAAAAfAQAAX3JlbHMvLnJlbHNQSwECLQAUAAYACAAAACEAJFMjM8MAAADbAAAADwAA&#10;AAAAAAAAAAAAAAAHAgAAZHJzL2Rvd25yZXYueG1sUEsFBgAAAAADAAMAtwAAAPcCAAAAAA==&#10;" filled="f">
              <v:textbox>
                <w:txbxContent>
                  <w:p w14:paraId="104E9FBD" w14:textId="77777777" w:rsidR="005A1A44" w:rsidRDefault="0008059E">
                    <w:pPr>
                      <w:ind w:firstLineChars="0" w:firstLine="0"/>
                      <w:jc w:val="center"/>
                      <w:rPr>
                        <w:sz w:val="21"/>
                        <w:szCs w:val="21"/>
                      </w:rPr>
                    </w:pPr>
                    <w:r>
                      <w:rPr>
                        <w:rFonts w:hint="eastAsia"/>
                        <w:sz w:val="21"/>
                        <w:szCs w:val="21"/>
                      </w:rPr>
                      <w:t>防渗处理</w:t>
                    </w:r>
                  </w:p>
                  <w:p w14:paraId="3352C58A" w14:textId="77777777" w:rsidR="005A1A44" w:rsidRDefault="005A1A44">
                    <w:pPr>
                      <w:ind w:firstLine="420"/>
                      <w:rPr>
                        <w:sz w:val="21"/>
                        <w:szCs w:val="21"/>
                      </w:rPr>
                    </w:pPr>
                  </w:p>
                </w:txbxContent>
              </v:textbox>
            </v:rect>
            <v:line id="Line 13" o:spid="_x0000_s2060" style="position:absolute;flip:x;visibility:visible" from="5134,7707" to="5138,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rect id="Rectangle 14" o:spid="_x0000_s2061" style="position:absolute;left:4132;top:8113;width:1971;height: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jfwwAAANsAAAAPAAAAZHJzL2Rvd25yZXYueG1sRI9Ba8JA&#10;FITvQv/D8gq96aYW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u80Y38MAAADbAAAADwAA&#10;AAAAAAAAAAAAAAAHAgAAZHJzL2Rvd25yZXYueG1sUEsFBgAAAAADAAMAtwAAAPcCAAAAAA==&#10;" filled="f">
              <v:textbox>
                <w:txbxContent>
                  <w:p w14:paraId="533C759A" w14:textId="77777777" w:rsidR="005A1A44" w:rsidRDefault="0008059E">
                    <w:pPr>
                      <w:ind w:firstLine="420"/>
                      <w:rPr>
                        <w:sz w:val="21"/>
                        <w:szCs w:val="21"/>
                      </w:rPr>
                    </w:pPr>
                    <w:r>
                      <w:rPr>
                        <w:rFonts w:hint="eastAsia"/>
                        <w:sz w:val="21"/>
                        <w:szCs w:val="21"/>
                      </w:rPr>
                      <w:t>土方回填</w:t>
                    </w:r>
                  </w:p>
                  <w:p w14:paraId="5178778D" w14:textId="77777777" w:rsidR="005A1A44" w:rsidRDefault="005A1A44">
                    <w:pPr>
                      <w:ind w:firstLine="420"/>
                      <w:rPr>
                        <w:sz w:val="21"/>
                        <w:szCs w:val="21"/>
                      </w:rPr>
                    </w:pPr>
                  </w:p>
                </w:txbxContent>
              </v:textbox>
            </v:rect>
            <v:line id="Line 15" o:spid="_x0000_s2062" style="position:absolute;visibility:visible" from="5137,8584" to="5138,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rect id="Rectangle 16" o:spid="_x0000_s2063" style="position:absolute;left:3904;top:8901;width:2187;height:4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ytwwAAANsAAAAPAAAAZHJzL2Rvd25yZXYueG1sRI9BawIx&#10;FITvhf6H8ArearaV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ylKMrcMAAADbAAAADwAA&#10;AAAAAAAAAAAAAAAHAgAAZHJzL2Rvd25yZXYueG1sUEsFBgAAAAADAAMAtwAAAPcCAAAAAA==&#10;" filled="f">
              <v:textbox>
                <w:txbxContent>
                  <w:p w14:paraId="325352E6" w14:textId="77777777" w:rsidR="005A1A44" w:rsidRDefault="0008059E">
                    <w:pPr>
                      <w:ind w:firstLine="420"/>
                      <w:rPr>
                        <w:sz w:val="21"/>
                        <w:szCs w:val="21"/>
                      </w:rPr>
                    </w:pPr>
                    <w:r>
                      <w:rPr>
                        <w:rFonts w:hint="eastAsia"/>
                        <w:sz w:val="21"/>
                        <w:szCs w:val="21"/>
                      </w:rPr>
                      <w:t>坡面修理</w:t>
                    </w:r>
                  </w:p>
                </w:txbxContent>
              </v:textbox>
            </v:rect>
            <v:line id="Line 17" o:spid="_x0000_s2064" style="position:absolute;visibility:visible" from="5131,9354" to="5132,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rect id="Rectangle 18" o:spid="_x0000_s2065" style="position:absolute;left:4212;top:9690;width:1748;height: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PWwwAAANsAAAAPAAAAZHJzL2Rvd25yZXYueG1sRI9PawIx&#10;FMTvhX6H8Aq91ayipaxG2RaFngT/QPX22DyTxc3Lsonu+u2NIPQ4zMxvmNmid7W4UhsqzwqGgwwE&#10;cel1xUbBfrf6+AIRIrLG2jMpuFGAxfz1ZYa59h1v6LqNRiQIhxwV2BibXMpQWnIYBr4hTt7Jtw5j&#10;kq2RusUuwV0tR1n2KR1WnBYsNvRjqTxvL07Bsjmui4kJsviL9nD2393Kro1S7299MQURqY//4Wf7&#10;VysYD+HxJf0AOb8DAAD//wMAUEsBAi0AFAAGAAgAAAAhANvh9svuAAAAhQEAABMAAAAAAAAAAAAA&#10;AAAAAAAAAFtDb250ZW50X1R5cGVzXS54bWxQSwECLQAUAAYACAAAACEAWvQsW78AAAAVAQAACwAA&#10;AAAAAAAAAAAAAAAfAQAAX3JlbHMvLnJlbHNQSwECLQAUAAYACAAAACEAbCLz1sMAAADbAAAADwAA&#10;AAAAAAAAAAAAAAAHAgAAZHJzL2Rvd25yZXYueG1sUEsFBgAAAAADAAMAtwAAAPcCAAAAAA==&#10;" filled="f">
              <v:textbox>
                <w:txbxContent>
                  <w:p w14:paraId="355C0DF8" w14:textId="77777777" w:rsidR="005A1A44" w:rsidRDefault="0008059E">
                    <w:pPr>
                      <w:ind w:firstLineChars="0" w:firstLine="0"/>
                      <w:jc w:val="center"/>
                      <w:rPr>
                        <w:sz w:val="21"/>
                        <w:szCs w:val="21"/>
                      </w:rPr>
                    </w:pPr>
                    <w:r>
                      <w:rPr>
                        <w:rFonts w:hint="eastAsia"/>
                        <w:sz w:val="21"/>
                        <w:szCs w:val="21"/>
                      </w:rPr>
                      <w:t>堤顶施工</w:t>
                    </w:r>
                  </w:p>
                </w:txbxContent>
              </v:textbox>
            </v:rect>
            <v:line id="Line 20" o:spid="_x0000_s2066" style="position:absolute;visibility:visible" from="6103,5085" to="6768,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M5/wwAAANsAAAAPAAAAZHJzL2Rvd25yZXYueG1sRI/RagIx&#10;FETfBf8h3IJvmq2KldUo0iqU4j5U/YDL5rrZNrlZNlG3f98Igo/DzJxhluvOWXGlNtSeFbyOMhDE&#10;pdc1VwpOx91wDiJEZI3WMyn4owDrVb+3xFz7G3/T9RArkSAcclRgYmxyKUNpyGEY+YY4eWffOoxJ&#10;tpXULd4S3Fk5zrKZdFhzWjDY0Luh8vdwcQq2X9Z9/IyLHVnKmrfCxPN+Wig1eOk2CxCRuvgMP9qf&#10;WsF0Avcv6QfI1T8AAAD//wMAUEsBAi0AFAAGAAgAAAAhANvh9svuAAAAhQEAABMAAAAAAAAAAAAA&#10;AAAAAAAAAFtDb250ZW50X1R5cGVzXS54bWxQSwECLQAUAAYACAAAACEAWvQsW78AAAAVAQAACwAA&#10;AAAAAAAAAAAAAAAfAQAAX3JlbHMvLnJlbHNQSwECLQAUAAYACAAAACEAK3jOf8MAAADbAAAADwAA&#10;AAAAAAAAAAAAAAAHAgAAZHJzL2Rvd25yZXYueG1sUEsFBgAAAAADAAMAtwAAAPcCAAAAAA==&#10;">
              <v:stroke dashstyle="1 1" endarrow="classic" endcap="round"/>
            </v:line>
            <v:shapetype id="_x0000_t202" coordsize="21600,21600" o:spt="202" path="m,l,21600r21600,l21600,xe">
              <v:stroke joinstyle="miter"/>
              <v:path gradientshapeok="t" o:connecttype="rect"/>
            </v:shapetype>
            <v:shape id="Text Box 21" o:spid="_x0000_s2067" type="#_x0000_t202" style="position:absolute;left:6381;top:4885;width:3445;height: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581FBF1" w14:textId="77777777" w:rsidR="005A1A44" w:rsidRDefault="0008059E">
                    <w:pPr>
                      <w:ind w:firstLine="420"/>
                      <w:rPr>
                        <w:sz w:val="21"/>
                        <w:szCs w:val="21"/>
                      </w:rPr>
                    </w:pPr>
                    <w:r>
                      <w:rPr>
                        <w:rFonts w:hint="eastAsia"/>
                        <w:sz w:val="21"/>
                        <w:szCs w:val="21"/>
                      </w:rPr>
                      <w:t>废水、粉尘、噪声、建筑垃圾</w:t>
                    </w:r>
                  </w:p>
                </w:txbxContent>
              </v:textbox>
            </v:shape>
            <v:line id="Line 22" o:spid="_x0000_s2068" style="position:absolute;visibility:visible" from="6401,5919" to="7066,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fOQxAAAANsAAAAPAAAAZHJzL2Rvd25yZXYueG1sRI/NasMw&#10;EITvhb6D2EBvjZyQNMGxEkrbQCj1IT8PsFhry4m0MpaauG9fFQo5DjPzDVNsBmfFlfrQelYwGWcg&#10;iCuvW24UnI7b5yWIEJE1Ws+k4IcCbNaPDwXm2t94T9dDbESCcMhRgYmxy6UMlSGHYew74uTVvncY&#10;k+wbqXu8JbizcpplL9Jhy2nBYEdvhqrL4dsp+Pi07v08LbdkKesWpYn116xU6mk0vK5ARBriPfzf&#10;3mkFszn8fUk/QK5/AQAA//8DAFBLAQItABQABgAIAAAAIQDb4fbL7gAAAIUBAAATAAAAAAAAAAAA&#10;AAAAAAAAAABbQ29udGVudF9UeXBlc10ueG1sUEsBAi0AFAAGAAgAAAAhAFr0LFu/AAAAFQEAAAsA&#10;AAAAAAAAAAAAAAAAHwEAAF9yZWxzLy5yZWxzUEsBAi0AFAAGAAgAAAAhAMvd85DEAAAA2wAAAA8A&#10;AAAAAAAAAAAAAAAABwIAAGRycy9kb3ducmV2LnhtbFBLBQYAAAAAAwADALcAAAD4AgAAAAA=&#10;">
              <v:stroke dashstyle="1 1" endarrow="classic" endcap="round"/>
            </v:line>
            <v:shape id="Text Box 23" o:spid="_x0000_s2069" type="#_x0000_t202" style="position:absolute;left:6504;top:5694;width:3357;height: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5980F41" w14:textId="77777777" w:rsidR="005A1A44" w:rsidRDefault="0008059E">
                    <w:pPr>
                      <w:ind w:firstLine="420"/>
                      <w:rPr>
                        <w:sz w:val="21"/>
                        <w:szCs w:val="21"/>
                      </w:rPr>
                    </w:pPr>
                    <w:r>
                      <w:rPr>
                        <w:rFonts w:hint="eastAsia"/>
                        <w:sz w:val="21"/>
                        <w:szCs w:val="21"/>
                      </w:rPr>
                      <w:t>废水、粉尘、噪声、建筑垃圾</w:t>
                    </w:r>
                  </w:p>
                </w:txbxContent>
              </v:textbox>
            </v:shape>
            <v:line id="Line 24" o:spid="_x0000_s2070" style="position:absolute;flip:y;visibility:visible" from="5954,6677" to="6875,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cjxAAAANsAAAAPAAAAZHJzL2Rvd25yZXYueG1sRI/RasJA&#10;FETfBf9huQXf6qZBpaSuIlZFCha0fsA1e80Gs3fT7Brj37uFgo/DzJxhpvPOVqKlxpeOFbwNExDE&#10;udMlFwqOP+vXdxA+IGusHJOCO3mYz/q9KWba3XhP7SEUIkLYZ6jAhFBnUvrckEU/dDVx9M6usRii&#10;bAqpG7xFuK1kmiQTabHkuGCwpqWh/HK4WgWrr93n7960q/R6TE+by3e92NFYqcFLt/gAEagLz/B/&#10;e6sVjCbw9yX+ADl7AAAA//8DAFBLAQItABQABgAIAAAAIQDb4fbL7gAAAIUBAAATAAAAAAAAAAAA&#10;AAAAAAAAAABbQ29udGVudF9UeXBlc10ueG1sUEsBAi0AFAAGAAgAAAAhAFr0LFu/AAAAFQEAAAsA&#10;AAAAAAAAAAAAAAAAHwEAAF9yZWxzLy5yZWxzUEsBAi0AFAAGAAgAAAAhAOa69yPEAAAA2wAAAA8A&#10;AAAAAAAAAAAAAAAABwIAAGRycy9kb3ducmV2LnhtbFBLBQYAAAAAAwADALcAAAD4AgAAAAA=&#10;">
              <v:stroke dashstyle="1 1" endarrow="classic" endcap="round"/>
            </v:line>
            <v:shape id="Text Box 25" o:spid="_x0000_s2071" type="#_x0000_t202" style="position:absolute;left:6407;top:6517;width:3059;height: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7479DE3" w14:textId="77777777" w:rsidR="005A1A44" w:rsidRDefault="0008059E">
                    <w:pPr>
                      <w:ind w:firstLine="420"/>
                      <w:rPr>
                        <w:sz w:val="21"/>
                        <w:szCs w:val="21"/>
                      </w:rPr>
                    </w:pPr>
                    <w:r>
                      <w:rPr>
                        <w:rFonts w:hint="eastAsia"/>
                        <w:sz w:val="21"/>
                        <w:szCs w:val="21"/>
                      </w:rPr>
                      <w:t>废水、粉尘、噪声</w:t>
                    </w:r>
                  </w:p>
                </w:txbxContent>
              </v:textbox>
            </v:shape>
            <v:line id="Line 26" o:spid="_x0000_s2072" style="position:absolute;visibility:visible" from="6034,7473" to="6699,7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8h8wgAAANsAAAAPAAAAZHJzL2Rvd25yZXYueG1sRI/RagIx&#10;FETfhf5DuAXfNKuIltUo0lYQcR+0fsBlc92sJjfLJtX1741Q6OMwM2eYxapzVtyoDbVnBaNhBoK4&#10;9LrmSsHpZzP4ABEiskbrmRQ8KMBq+dZbYK79nQ90O8ZKJAiHHBWYGJtcylAachiGviFO3tm3DmOS&#10;bSV1i/cEd1aOs2wqHdacFgw29GmovB5/nYLvnXVfl3GxIUtZMytMPO8nhVL99249BxGpi//hv/ZW&#10;K5jM4PUl/QC5fAIAAP//AwBQSwECLQAUAAYACAAAACEA2+H2y+4AAACFAQAAEwAAAAAAAAAAAAAA&#10;AAAAAAAAW0NvbnRlbnRfVHlwZXNdLnhtbFBLAQItABQABgAIAAAAIQBa9CxbvwAAABUBAAALAAAA&#10;AAAAAAAAAAAAAB8BAABfcmVscy8ucmVsc1BLAQItABQABgAIAAAAIQBUQ8h8wgAAANsAAAAPAAAA&#10;AAAAAAAAAAAAAAcCAABkcnMvZG93bnJldi54bWxQSwUGAAAAAAMAAwC3AAAA9gIAAAAA&#10;">
              <v:stroke dashstyle="1 1" endarrow="classic" endcap="round"/>
            </v:line>
            <v:shape id="Text Box 27" o:spid="_x0000_s2073" type="#_x0000_t202" style="position:absolute;left:6375;top:7309;width:2260;height: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9E2E540" w14:textId="77777777" w:rsidR="005A1A44" w:rsidRDefault="0008059E">
                    <w:pPr>
                      <w:ind w:firstLine="420"/>
                      <w:rPr>
                        <w:sz w:val="21"/>
                        <w:szCs w:val="21"/>
                      </w:rPr>
                    </w:pPr>
                    <w:r>
                      <w:rPr>
                        <w:rFonts w:hint="eastAsia"/>
                        <w:sz w:val="21"/>
                        <w:szCs w:val="21"/>
                      </w:rPr>
                      <w:t>噪声</w:t>
                    </w:r>
                  </w:p>
                </w:txbxContent>
              </v:textbox>
            </v:shape>
            <v:line id="Line 28" o:spid="_x0000_s2074" style="position:absolute;visibility:visible" from="6132,9147" to="7008,9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mVxAAAANsAAAAPAAAAZHJzL2Rvd25yZXYueG1sRI/NasMw&#10;EITvhb6D2EBvjZwQ0sSxEkrbQCj1IT8PsFhry4m0MpaauG9fFQo5DjPzDVNsBmfFlfrQelYwGWcg&#10;iCuvW24UnI7b5wWIEJE1Ws+k4IcCbNaPDwXm2t94T9dDbESCcMhRgYmxy6UMlSGHYew74uTVvncY&#10;k+wbqXu8Jbizcpplc+mw5bRgsKM3Q9Xl8O0UfHxa936elluylHUvpYn116xU6mk0vK5ARBriPfzf&#10;3mkFsyX8fUk/QK5/AQAA//8DAFBLAQItABQABgAIAAAAIQDb4fbL7gAAAIUBAAATAAAAAAAAAAAA&#10;AAAAAAAAAABbQ29udGVudF9UeXBlc10ueG1sUEsBAi0AFAAGAAgAAAAhAFr0LFu/AAAAFQEAAAsA&#10;AAAAAAAAAAAAAAAAHwEAAF9yZWxzLy5yZWxzUEsBAi0AFAAGAAgAAAAhAEqQ+ZXEAAAA2wAAAA8A&#10;AAAAAAAAAAAAAAAABwIAAGRycy9kb3ducmV2LnhtbFBLBQYAAAAAAwADALcAAAD4AgAAAAA=&#10;">
              <v:stroke dashstyle="1 1" endarrow="classic" endcap="round"/>
            </v:line>
            <v:shape id="Text Box 29" o:spid="_x0000_s2075" type="#_x0000_t202" style="position:absolute;left:6836;top:8931;width:2996;height: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5937C4A" w14:textId="77777777" w:rsidR="005A1A44" w:rsidRDefault="0008059E">
                    <w:pPr>
                      <w:ind w:firstLineChars="0" w:firstLine="0"/>
                      <w:rPr>
                        <w:sz w:val="21"/>
                        <w:szCs w:val="21"/>
                      </w:rPr>
                    </w:pPr>
                    <w:r>
                      <w:rPr>
                        <w:rFonts w:hint="eastAsia"/>
                        <w:sz w:val="21"/>
                        <w:szCs w:val="21"/>
                      </w:rPr>
                      <w:t>废水、粉尘、噪声、建筑垃圾</w:t>
                    </w:r>
                  </w:p>
                </w:txbxContent>
              </v:textbox>
            </v:shape>
            <v:line id="Line 30" o:spid="_x0000_s2076" style="position:absolute;visibility:visible" from="6066,9929" to="6588,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2NOxAAAANsAAAAPAAAAZHJzL2Rvd25yZXYueG1sRI/NasMw&#10;EITvhbyD2EBvjZzQNsGxEkLaQCn1IT8PsFhry4m0MpaauG9fFQo5DjPzDVOsB2fFlfrQelYwnWQg&#10;iCuvW24UnI67pwWIEJE1Ws+k4IcCrFejhwJz7W+8p+shNiJBOOSowMTY5VKGypDDMPEdcfJq3zuM&#10;SfaN1D3eEtxZOcuyV+mw5bRgsKOtoepy+HYK3j+tezvPyh1Zyrp5aWL99Vwq9TgeNksQkYZ4D/+3&#10;P7SClyn8fUk/QK5+AQAA//8DAFBLAQItABQABgAIAAAAIQDb4fbL7gAAAIUBAAATAAAAAAAAAAAA&#10;AAAAAAAAAABbQ29udGVudF9UeXBlc10ueG1sUEsBAi0AFAAGAAgAAAAhAFr0LFu/AAAAFQEAAAsA&#10;AAAAAAAAAAAAAAAAHwEAAF9yZWxzLy5yZWxzUEsBAi0AFAAGAAgAAAAhADE/Y07EAAAA2wAAAA8A&#10;AAAAAAAAAAAAAAAABwIAAGRycy9kb3ducmV2LnhtbFBLBQYAAAAAAwADALcAAAD4AgAAAAA=&#10;">
              <v:stroke dashstyle="1 1" endarrow="classic" endcap="round"/>
            </v:line>
            <v:shape id="Text Box 31" o:spid="_x0000_s2077" type="#_x0000_t202" style="position:absolute;left:6189;top:9766;width:3371;height: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288B0E9B" w14:textId="77777777" w:rsidR="005A1A44" w:rsidRDefault="0008059E">
                    <w:pPr>
                      <w:ind w:firstLine="420"/>
                      <w:rPr>
                        <w:sz w:val="21"/>
                        <w:szCs w:val="21"/>
                      </w:rPr>
                    </w:pPr>
                    <w:r>
                      <w:rPr>
                        <w:rFonts w:hint="eastAsia"/>
                        <w:sz w:val="21"/>
                        <w:szCs w:val="21"/>
                      </w:rPr>
                      <w:t>废水、粉尘、噪声、建筑垃圾</w:t>
                    </w:r>
                  </w:p>
                </w:txbxContent>
              </v:textbox>
            </v:shape>
            <v:line id="Line 26" o:spid="_x0000_s2078" style="position:absolute;visibility:visible" from="6147,8376" to="6812,8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rTwAAAANsAAAAPAAAAZHJzL2Rvd25yZXYueG1sRE/dasIw&#10;FL4XfIdwhN1pqmwq1ShjmzCGvbD6AIfm2FSTk9Jk2r39ciF4+fH9r7e9s+JGXWg8K5hOMhDEldcN&#10;1wpOx914CSJEZI3WMyn4owDbzXCwxlz7Ox/oVsZapBAOOSowMba5lKEy5DBMfEucuLPvHMYEu1rq&#10;Du8p3Fk5y7K5dNhwajDY0oeh6lr+OgVfP9Z9XmbFjixl7aIw8bx/LZR6GfXvKxCR+vgUP9zfWsFb&#10;Gpu+pB8gN/8AAAD//wMAUEsBAi0AFAAGAAgAAAAhANvh9svuAAAAhQEAABMAAAAAAAAAAAAAAAAA&#10;AAAAAFtDb250ZW50X1R5cGVzXS54bWxQSwECLQAUAAYACAAAACEAWvQsW78AAAAVAQAACwAAAAAA&#10;AAAAAAAAAAAfAQAAX3JlbHMvLnJlbHNQSwECLQAUAAYACAAAACEAoAXK08AAAADbAAAADwAAAAAA&#10;AAAAAAAAAAAHAgAAZHJzL2Rvd25yZXYueG1sUEsFBgAAAAADAAMAtwAAAPQCAAAAAA==&#10;">
              <v:stroke dashstyle="1 1" endarrow="classic" endcap="round"/>
            </v:line>
            <v:shape id="Text Box 21" o:spid="_x0000_s2079" type="#_x0000_t202" style="position:absolute;left:6344;top:8180;width:3059;height:5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D90C031" w14:textId="77777777" w:rsidR="005A1A44" w:rsidRDefault="0008059E">
                    <w:pPr>
                      <w:ind w:firstLine="420"/>
                      <w:rPr>
                        <w:sz w:val="21"/>
                        <w:szCs w:val="21"/>
                      </w:rPr>
                    </w:pPr>
                    <w:r>
                      <w:rPr>
                        <w:rFonts w:hint="eastAsia"/>
                        <w:sz w:val="21"/>
                        <w:szCs w:val="21"/>
                      </w:rPr>
                      <w:t>废水、粉尘、噪声</w:t>
                    </w:r>
                  </w:p>
                </w:txbxContent>
              </v:textbox>
            </v:shape>
            <w10:anchorlock/>
          </v:group>
        </w:pict>
      </w:r>
    </w:p>
    <w:p w14:paraId="6623507C"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t>图3.5-1   防洪堤施工工艺</w:t>
      </w:r>
    </w:p>
    <w:p w14:paraId="73D399EF" w14:textId="77777777" w:rsidR="005A1A44" w:rsidRDefault="0008059E">
      <w:pPr>
        <w:ind w:firstLine="480"/>
        <w:jc w:val="left"/>
      </w:pPr>
      <w:r>
        <w:rPr>
          <w:rFonts w:hint="eastAsia"/>
        </w:rPr>
        <w:t>（</w:t>
      </w:r>
      <w:r>
        <w:rPr>
          <w:rFonts w:hint="eastAsia"/>
        </w:rPr>
        <w:t>2</w:t>
      </w:r>
      <w:r>
        <w:rPr>
          <w:rFonts w:hint="eastAsia"/>
        </w:rPr>
        <w:t>）建筑物基坑开挖</w:t>
      </w:r>
    </w:p>
    <w:p w14:paraId="17C54D74" w14:textId="77777777" w:rsidR="005A1A44" w:rsidRDefault="0008059E">
      <w:pPr>
        <w:ind w:firstLine="480"/>
        <w:jc w:val="left"/>
      </w:pPr>
      <w:r>
        <w:rPr>
          <w:rFonts w:hint="eastAsia"/>
        </w:rPr>
        <w:t>基坑开挖时，先清除表面覆盖层和淤泥，然后由反铲挖掘机配自卸汽车分层开挖基坑，建基面以上的保护层及局部机械难以施工的部位由人工开挖，再经反铲挖掘机开挖至基坑外。基坑开挖土料采用自卸汽车运输，用于围堰填筑的土料直接运输至填筑部位，其余土料在临时堆土区堆放。</w:t>
      </w:r>
    </w:p>
    <w:p w14:paraId="073916B6" w14:textId="77777777" w:rsidR="005A1A44" w:rsidRDefault="0008059E">
      <w:pPr>
        <w:ind w:firstLine="480"/>
        <w:jc w:val="left"/>
      </w:pPr>
      <w:r>
        <w:rPr>
          <w:rFonts w:hint="eastAsia"/>
        </w:rPr>
        <w:t>（</w:t>
      </w:r>
      <w:r>
        <w:rPr>
          <w:rFonts w:hint="eastAsia"/>
        </w:rPr>
        <w:t>3</w:t>
      </w:r>
      <w:r>
        <w:rPr>
          <w:rFonts w:hint="eastAsia"/>
        </w:rPr>
        <w:t>）堤身填筑</w:t>
      </w:r>
    </w:p>
    <w:p w14:paraId="3429071B" w14:textId="77777777" w:rsidR="005A1A44" w:rsidRDefault="0008059E">
      <w:pPr>
        <w:ind w:firstLine="480"/>
        <w:jc w:val="left"/>
      </w:pPr>
      <w:r>
        <w:rPr>
          <w:rFonts w:hint="eastAsia"/>
        </w:rPr>
        <w:t>本防洪工程选择护岸工程形式，平面布置形式采用顺坝的形式。考虑尽量采用当地建筑材料，便于群众参与及耐久性能、管理维护方便等条件。</w:t>
      </w:r>
    </w:p>
    <w:p w14:paraId="2502591F" w14:textId="77777777" w:rsidR="005A1A44" w:rsidRDefault="0008059E">
      <w:pPr>
        <w:ind w:firstLine="480"/>
        <w:jc w:val="left"/>
      </w:pPr>
      <w:r>
        <w:rPr>
          <w:rFonts w:hint="eastAsia"/>
        </w:rPr>
        <w:t>（</w:t>
      </w:r>
      <w:r>
        <w:rPr>
          <w:rFonts w:hint="eastAsia"/>
        </w:rPr>
        <w:t>4</w:t>
      </w:r>
      <w:r>
        <w:rPr>
          <w:rFonts w:hint="eastAsia"/>
        </w:rPr>
        <w:t>）堤防清基与清淤</w:t>
      </w:r>
    </w:p>
    <w:p w14:paraId="6621CA95" w14:textId="77777777" w:rsidR="005A1A44" w:rsidRDefault="0008059E">
      <w:pPr>
        <w:ind w:firstLine="480"/>
        <w:jc w:val="left"/>
      </w:pPr>
      <w:r>
        <w:rPr>
          <w:rFonts w:hint="eastAsia"/>
        </w:rPr>
        <w:t>清基先采用推土机开挖、集中，再采用</w:t>
      </w:r>
      <w:r>
        <w:rPr>
          <w:rFonts w:hint="eastAsia"/>
        </w:rPr>
        <w:t>1.0m</w:t>
      </w:r>
      <w:r>
        <w:rPr>
          <w:rFonts w:hint="eastAsia"/>
          <w:vertAlign w:val="superscript"/>
        </w:rPr>
        <w:t>3</w:t>
      </w:r>
      <w:r>
        <w:rPr>
          <w:rFonts w:hint="eastAsia"/>
        </w:rPr>
        <w:t>反铲挖掘机开挖，</w:t>
      </w:r>
      <w:r>
        <w:rPr>
          <w:rFonts w:hint="eastAsia"/>
        </w:rPr>
        <w:t>8t</w:t>
      </w:r>
      <w:r>
        <w:rPr>
          <w:rFonts w:hint="eastAsia"/>
        </w:rPr>
        <w:t>自卸汽车运输至填塘部位。</w:t>
      </w:r>
    </w:p>
    <w:p w14:paraId="3965AB8B" w14:textId="77777777" w:rsidR="005A1A44" w:rsidRDefault="0008059E">
      <w:pPr>
        <w:ind w:firstLine="480"/>
        <w:jc w:val="left"/>
      </w:pPr>
      <w:r>
        <w:rPr>
          <w:rFonts w:hint="eastAsia"/>
        </w:rPr>
        <w:t>堤防清淤采用</w:t>
      </w:r>
      <w:r>
        <w:rPr>
          <w:rFonts w:hint="eastAsia"/>
        </w:rPr>
        <w:t>1.0m</w:t>
      </w:r>
      <w:r>
        <w:rPr>
          <w:rFonts w:hint="eastAsia"/>
          <w:vertAlign w:val="superscript"/>
        </w:rPr>
        <w:t>3</w:t>
      </w:r>
      <w:r>
        <w:rPr>
          <w:rFonts w:hint="eastAsia"/>
        </w:rPr>
        <w:t>反铲挖掘机进行，当挖填距离超过反铲挖掘机工作范围时，采用</w:t>
      </w:r>
      <w:r>
        <w:rPr>
          <w:rFonts w:hint="eastAsia"/>
        </w:rPr>
        <w:t>1.0m</w:t>
      </w:r>
      <w:r>
        <w:rPr>
          <w:rFonts w:hint="eastAsia"/>
          <w:vertAlign w:val="superscript"/>
        </w:rPr>
        <w:t>3</w:t>
      </w:r>
      <w:r>
        <w:rPr>
          <w:rFonts w:hint="eastAsia"/>
        </w:rPr>
        <w:t>反铲挖掘机进行翻运。</w:t>
      </w:r>
    </w:p>
    <w:p w14:paraId="0C72BF2D" w14:textId="77777777" w:rsidR="005A1A44" w:rsidRDefault="0008059E">
      <w:pPr>
        <w:ind w:firstLine="480"/>
      </w:pPr>
      <w:r>
        <w:rPr>
          <w:rFonts w:hint="eastAsia"/>
        </w:rPr>
        <w:lastRenderedPageBreak/>
        <w:t>（</w:t>
      </w:r>
      <w:r>
        <w:rPr>
          <w:rFonts w:hint="eastAsia"/>
        </w:rPr>
        <w:t>5</w:t>
      </w:r>
      <w:r>
        <w:rPr>
          <w:rFonts w:hint="eastAsia"/>
        </w:rPr>
        <w:t>）防洪堤堤身填土要求</w:t>
      </w:r>
    </w:p>
    <w:p w14:paraId="291CE65C" w14:textId="77777777" w:rsidR="005A1A44" w:rsidRDefault="0008059E">
      <w:pPr>
        <w:ind w:firstLine="480"/>
      </w:pPr>
      <w:r>
        <w:rPr>
          <w:rFonts w:hint="eastAsia"/>
        </w:rPr>
        <w:t>土堤采用当地材料卵石土填筑，堤身碾压填土主要技术要求：填土采用卵石土，土料水溶盐含量（指易溶盐和中溶盐，按质量计）不大于</w:t>
      </w:r>
      <w:r>
        <w:rPr>
          <w:rFonts w:hint="eastAsia"/>
        </w:rPr>
        <w:t xml:space="preserve"> 3%</w:t>
      </w:r>
      <w:r>
        <w:rPr>
          <w:rFonts w:hint="eastAsia"/>
        </w:rPr>
        <w:t>，有机质含量（按质量计）不大于</w:t>
      </w:r>
      <w:r>
        <w:rPr>
          <w:rFonts w:hint="eastAsia"/>
        </w:rPr>
        <w:t xml:space="preserve"> 5%</w:t>
      </w:r>
      <w:r>
        <w:rPr>
          <w:rFonts w:hint="eastAsia"/>
        </w:rPr>
        <w:t>，且不得含植物根茎、砖瓦垃圾等杂质，填筑土料的含水率与最优含水率的允许偏差为±</w:t>
      </w:r>
      <w:r>
        <w:rPr>
          <w:rFonts w:hint="eastAsia"/>
        </w:rPr>
        <w:t>3%</w:t>
      </w:r>
      <w:r>
        <w:rPr>
          <w:rFonts w:hint="eastAsia"/>
        </w:rPr>
        <w:t>，填土压实度不应低于</w:t>
      </w:r>
      <w:r>
        <w:rPr>
          <w:rFonts w:hint="eastAsia"/>
        </w:rPr>
        <w:t xml:space="preserve"> 0.70</w:t>
      </w:r>
      <w:r>
        <w:rPr>
          <w:rFonts w:hint="eastAsia"/>
        </w:rPr>
        <w:t>。填筑之前，必须把地表杂物、树（草）根及建筑垃圾等清除干净。</w:t>
      </w:r>
    </w:p>
    <w:p w14:paraId="54BE1610" w14:textId="77777777" w:rsidR="005A1A44" w:rsidRDefault="0008059E">
      <w:pPr>
        <w:ind w:firstLine="480"/>
      </w:pPr>
      <w:r>
        <w:rPr>
          <w:rFonts w:hint="eastAsia"/>
        </w:rPr>
        <w:t>（</w:t>
      </w:r>
      <w:r>
        <w:rPr>
          <w:rFonts w:hint="eastAsia"/>
        </w:rPr>
        <w:t>6</w:t>
      </w:r>
      <w:r>
        <w:rPr>
          <w:rFonts w:hint="eastAsia"/>
        </w:rPr>
        <w:t>）堤基处理</w:t>
      </w:r>
    </w:p>
    <w:p w14:paraId="1B6137F6" w14:textId="77777777" w:rsidR="005A1A44" w:rsidRDefault="0008059E">
      <w:pPr>
        <w:ind w:firstLine="480"/>
      </w:pPr>
      <w:r>
        <w:rPr>
          <w:rFonts w:hint="eastAsia"/>
        </w:rPr>
        <w:t>除过鱼塘的堤防清基深度不小于</w:t>
      </w:r>
      <w:r>
        <w:rPr>
          <w:rFonts w:hint="eastAsia"/>
        </w:rPr>
        <w:t xml:space="preserve"> 1m</w:t>
      </w:r>
      <w:r>
        <w:rPr>
          <w:rFonts w:hint="eastAsia"/>
        </w:rPr>
        <w:t>，确保将塘底淤泥清理干净，让基础落在实土层上，遇其他土基时清基深度不小于</w:t>
      </w:r>
      <w:r>
        <w:rPr>
          <w:rFonts w:hint="eastAsia"/>
        </w:rPr>
        <w:t>0.5m</w:t>
      </w:r>
      <w:r>
        <w:rPr>
          <w:rFonts w:hint="eastAsia"/>
        </w:rPr>
        <w:t>，必须把地表杂物、树（草）根及建筑垃圾等清除干净。</w:t>
      </w:r>
    </w:p>
    <w:p w14:paraId="7BAC8B2A" w14:textId="77777777" w:rsidR="005A1A44" w:rsidRDefault="0008059E">
      <w:pPr>
        <w:ind w:firstLine="480"/>
        <w:jc w:val="left"/>
      </w:pPr>
      <w:r>
        <w:rPr>
          <w:rFonts w:hint="eastAsia"/>
        </w:rPr>
        <w:t>（</w:t>
      </w:r>
      <w:r>
        <w:rPr>
          <w:rFonts w:hint="eastAsia"/>
        </w:rPr>
        <w:t>7</w:t>
      </w:r>
      <w:r>
        <w:rPr>
          <w:rFonts w:hint="eastAsia"/>
        </w:rPr>
        <w:t>）现浇砼工程</w:t>
      </w:r>
    </w:p>
    <w:p w14:paraId="2563D04E" w14:textId="77777777" w:rsidR="005A1A44" w:rsidRDefault="0008059E">
      <w:pPr>
        <w:ind w:firstLine="480"/>
        <w:jc w:val="left"/>
      </w:pPr>
      <w:r>
        <w:rPr>
          <w:rFonts w:hint="eastAsia"/>
        </w:rPr>
        <w:t>砼工程施工时必须严格按照有关的规范规程及相关技术要求进行，从砼的原材料、立模、钢筋制安、砼制备及浇筑等方面进行全面的质量控制，确保达到设计要求。砼浇筑顺序根据结构缝和结构形状由低到高分段、分层块，依次逐层向上进行，每段每层砼一次性连续浇筑，以防产生冷缝，并做好结构缝的止水埋设。</w:t>
      </w:r>
    </w:p>
    <w:p w14:paraId="013B1888" w14:textId="77777777" w:rsidR="005A1A44" w:rsidRDefault="0008059E">
      <w:pPr>
        <w:pStyle w:val="4"/>
        <w:numPr>
          <w:ilvl w:val="3"/>
          <w:numId w:val="2"/>
        </w:numPr>
      </w:pPr>
      <w:r>
        <w:rPr>
          <w:rFonts w:hint="eastAsia"/>
        </w:rPr>
        <w:t xml:space="preserve"> </w:t>
      </w:r>
      <w:r>
        <w:rPr>
          <w:rFonts w:hint="eastAsia"/>
        </w:rPr>
        <w:t>河道清障方法</w:t>
      </w:r>
    </w:p>
    <w:p w14:paraId="5328C4DD" w14:textId="77777777" w:rsidR="005A1A44" w:rsidRDefault="0008059E">
      <w:pPr>
        <w:ind w:firstLine="480"/>
        <w:jc w:val="left"/>
      </w:pPr>
      <w:r>
        <w:rPr>
          <w:rFonts w:hint="eastAsia"/>
        </w:rPr>
        <w:t>河道疏浚采取明挖的施工方式，疏浚段头尾均采取围堰的措施，在河道内无水条件下施工。河道疏浚施工期间遇上上游来水量较大时可暂停施工，退水后复工。本项目玉龙喀什河河床地质主要为砂石，因此对于清理出来的砂石部分进行低洼平整，剩余部分运至指定地点用于工程建设。</w:t>
      </w:r>
    </w:p>
    <w:p w14:paraId="5E15399C" w14:textId="77777777" w:rsidR="005A1A44" w:rsidRDefault="0008059E">
      <w:pPr>
        <w:adjustRightInd w:val="0"/>
        <w:snapToGrid w:val="0"/>
        <w:ind w:firstLine="480"/>
        <w:rPr>
          <w:rFonts w:ascii="宋体" w:hAnsi="宋体" w:hint="eastAsia"/>
          <w:snapToGrid w:val="0"/>
          <w:kern w:val="0"/>
        </w:rPr>
      </w:pPr>
      <w:r>
        <w:rPr>
          <w:rFonts w:ascii="宋体" w:hAnsi="宋体" w:hint="eastAsia"/>
          <w:snapToGrid w:val="0"/>
          <w:kern w:val="0"/>
        </w:rPr>
        <w:t>水上明挖采用1.0m</w:t>
      </w:r>
      <w:r>
        <w:rPr>
          <w:rFonts w:ascii="宋体" w:hAnsi="宋体" w:hint="eastAsia"/>
          <w:snapToGrid w:val="0"/>
          <w:kern w:val="0"/>
          <w:vertAlign w:val="superscript"/>
        </w:rPr>
        <w:t>3</w:t>
      </w:r>
      <w:r>
        <w:rPr>
          <w:rFonts w:ascii="宋体" w:hAnsi="宋体" w:hint="eastAsia"/>
          <w:snapToGrid w:val="0"/>
          <w:kern w:val="0"/>
        </w:rPr>
        <w:t>挖掘机配8t自卸汽车施工，用于堤防填筑的土方，运至填筑部位用于护坡、护堤等或堤后堆放用于景观恢复，不设专门的弃土场地。</w:t>
      </w:r>
    </w:p>
    <w:p w14:paraId="6F500D7B" w14:textId="77777777" w:rsidR="005A1A44" w:rsidRDefault="005A1A44">
      <w:pPr>
        <w:pStyle w:val="Char"/>
        <w:ind w:firstLine="602"/>
      </w:pPr>
    </w:p>
    <w:p w14:paraId="6D221287" w14:textId="77777777" w:rsidR="005A1A44" w:rsidRDefault="00000000">
      <w:pPr>
        <w:ind w:firstLineChars="0" w:firstLine="0"/>
        <w:jc w:val="center"/>
        <w:rPr>
          <w:rFonts w:ascii="Times New Roman" w:eastAsia="宋体" w:hAnsi="Times New Roman" w:cs="Times New Roman"/>
          <w:color w:val="000000"/>
        </w:rPr>
      </w:pPr>
      <w:r>
        <w:rPr>
          <w:rFonts w:ascii="Times New Roman" w:eastAsia="宋体" w:hAnsi="Times New Roman" w:cs="Times New Roman"/>
          <w:noProof/>
          <w:color w:val="000000"/>
        </w:rPr>
      </w:r>
      <w:r>
        <w:rPr>
          <w:rFonts w:ascii="Times New Roman" w:eastAsia="宋体" w:hAnsi="Times New Roman" w:cs="Times New Roman"/>
          <w:noProof/>
          <w:color w:val="000000"/>
        </w:rPr>
        <w:pict w14:anchorId="36EA393E">
          <v:group id="组合 110" o:spid="_x0000_s2080" style="width:356.05pt;height:89.05pt;mso-position-horizontal-relative:char;mso-position-vertical-relative:line" coordorigin="1523,12101" coordsize="7059,1781">
            <v:rect id="矩形 69" o:spid="_x0000_s2081" style="position:absolute;left:3683;top:13414;width:815;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3nxAAAANsAAAAPAAAAZHJzL2Rvd25yZXYueG1sRI9Ba8JA&#10;FITvQv/D8gredFetoUZXKUKg0HpoUuj1kX0mwezbNLvG9N93CwWPw8x8w+wOo23FQL1vHGtYzBUI&#10;4tKZhisNn0U2ewbhA7LB1jFp+CEPh/3DZIepcTf+oCEPlYgQ9ilqqEPoUil9WZNFP3cdcfTOrrcY&#10;ouwraXq8Rbht5VKpRFpsOC7U2NGxpvKSX60GTJ7M9+m8ei/ergluqlFl6y+l9fRxfNmCCDSGe/i/&#10;/Wo0bBbw9yX+ALn/BQAA//8DAFBLAQItABQABgAIAAAAIQDb4fbL7gAAAIUBAAATAAAAAAAAAAAA&#10;AAAAAAAAAABbQ29udGVudF9UeXBlc10ueG1sUEsBAi0AFAAGAAgAAAAhAFr0LFu/AAAAFQEAAAsA&#10;AAAAAAAAAAAAAAAAHwEAAF9yZWxzLy5yZWxzUEsBAi0AFAAGAAgAAAAhALt3PefEAAAA2wAAAA8A&#10;AAAAAAAAAAAAAAAABwIAAGRycy9kb3ducmV2LnhtbFBLBQYAAAAAAwADALcAAAD4AgAAAAA=&#10;" stroked="f">
              <v:textbox>
                <w:txbxContent>
                  <w:p w14:paraId="63C38249" w14:textId="77777777" w:rsidR="005A1A44" w:rsidRDefault="0008059E">
                    <w:pPr>
                      <w:spacing w:line="240" w:lineRule="auto"/>
                      <w:ind w:firstLineChars="0" w:firstLine="0"/>
                      <w:rPr>
                        <w:rFonts w:ascii="Times New Roman" w:eastAsia="宋体" w:hAnsi="Times New Roman" w:cs="Times New Roman"/>
                        <w:sz w:val="21"/>
                      </w:rPr>
                    </w:pPr>
                    <w:r>
                      <w:rPr>
                        <w:rFonts w:ascii="Times New Roman" w:eastAsia="宋体" w:hAnsi="Times New Roman" w:cs="Times New Roman" w:hint="eastAsia"/>
                        <w:sz w:val="21"/>
                      </w:rPr>
                      <w:t>固废</w:t>
                    </w:r>
                  </w:p>
                </w:txbxContent>
              </v:textbox>
            </v:rect>
            <v:rect id="矩形 70" o:spid="_x0000_s2082" style="position:absolute;left:1523;top:12876;width:1080;height: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pgwwAAANsAAAAPAAAAZHJzL2Rvd25yZXYueG1sRI/BbsIw&#10;EETvlfgHa5G4FQcOaZNiUITUiguHJvmAVbzEKfE6ig0kf48rVepxNDNvNLvDZHtxp9F3jhVs1gkI&#10;4sbpjlsFdfX5+g7CB2SNvWNSMJOHw37xssNcuwd/070MrYgQ9jkqMCEMuZS+MWTRr91AHL2LGy2G&#10;KMdW6hEfEW57uU2SVFrsOC4YHOhoqLmWN6vg8rOZunM1ZH42dfGWFtfsq66VWi2n4gNEoCn8h//a&#10;J60g28Lvl/gD5P4JAAD//wMAUEsBAi0AFAAGAAgAAAAhANvh9svuAAAAhQEAABMAAAAAAAAAAAAA&#10;AAAAAAAAAFtDb250ZW50X1R5cGVzXS54bWxQSwECLQAUAAYACAAAACEAWvQsW78AAAAVAQAACwAA&#10;AAAAAAAAAAAAAAAfAQAAX3JlbHMvLnJlbHNQSwECLQAUAAYACAAAACEAaUK6YMMAAADbAAAADwAA&#10;AAAAAAAAAAAAAAAHAgAAZHJzL2Rvd25yZXYueG1sUEsFBgAAAAADAAMAtwAAAPcCAAAAAA==&#10;">
              <v:textbox style="mso-fit-shape-to-text:t" inset="0,0,0,0">
                <w:txbxContent>
                  <w:p w14:paraId="2601FA67" w14:textId="77777777" w:rsidR="005A1A44" w:rsidRDefault="0008059E">
                    <w:pPr>
                      <w:spacing w:line="240" w:lineRule="auto"/>
                      <w:ind w:firstLineChars="0" w:firstLine="0"/>
                      <w:jc w:val="center"/>
                      <w:rPr>
                        <w:rFonts w:ascii="Times New Roman" w:eastAsia="宋体" w:hAnsi="Times New Roman" w:cs="Times New Roman"/>
                        <w:sz w:val="21"/>
                      </w:rPr>
                    </w:pPr>
                    <w:r>
                      <w:rPr>
                        <w:rFonts w:ascii="Times New Roman" w:eastAsia="宋体" w:hAnsi="Times New Roman" w:cs="Times New Roman" w:hint="eastAsia"/>
                        <w:sz w:val="21"/>
                      </w:rPr>
                      <w:t>底泥</w:t>
                    </w:r>
                  </w:p>
                </w:txbxContent>
              </v:textbox>
            </v:rect>
            <v:rect id="矩形 71" o:spid="_x0000_s2083" style="position:absolute;left:2963;top:12926;width:1440;height: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h/7wgAAANsAAAAPAAAAZHJzL2Rvd25yZXYueG1sRI9Bi8Iw&#10;FITvwv6H8ARvmqrg2mqUsrCLFw9r+wMezbOpNi+liVr/vREW9jjMzDfMdj/YVtyp941jBfNZAoK4&#10;crrhWkFZfE/XIHxA1tg6JgVP8rDffYy2mGn34F+6n0ItIoR9hgpMCF0mpa8MWfQz1xFH7+x6iyHK&#10;vpa6x0eE21YukmQlLTYcFwx29GWoup5uVsH5Mh+aY9Gl/mnK/HOVX9OfslRqMh7yDYhAQ/gP/7UP&#10;WkG6hPeX+APk7gUAAP//AwBQSwECLQAUAAYACAAAACEA2+H2y+4AAACFAQAAEwAAAAAAAAAAAAAA&#10;AAAAAAAAW0NvbnRlbnRfVHlwZXNdLnhtbFBLAQItABQABgAIAAAAIQBa9CxbvwAAABUBAAALAAAA&#10;AAAAAAAAAAAAAB8BAABfcmVscy8ucmVsc1BLAQItABQABgAIAAAAIQAGDh/7wgAAANsAAAAPAAAA&#10;AAAAAAAAAAAAAAcCAABkcnMvZG93bnJldi54bWxQSwUGAAAAAAMAAwC3AAAA9gIAAAAA&#10;">
              <v:textbox style="mso-fit-shape-to-text:t" inset="0,0,0,0">
                <w:txbxContent>
                  <w:p w14:paraId="792D51D6" w14:textId="77777777" w:rsidR="005A1A44" w:rsidRDefault="0008059E">
                    <w:pPr>
                      <w:spacing w:line="240" w:lineRule="auto"/>
                      <w:ind w:firstLineChars="0" w:firstLine="0"/>
                      <w:jc w:val="center"/>
                      <w:rPr>
                        <w:rFonts w:ascii="Times New Roman" w:eastAsia="宋体" w:hAnsi="Times New Roman" w:cs="Times New Roman"/>
                        <w:sz w:val="21"/>
                      </w:rPr>
                    </w:pPr>
                    <w:r>
                      <w:rPr>
                        <w:rFonts w:ascii="Times New Roman" w:eastAsia="宋体" w:hAnsi="Times New Roman" w:cs="Times New Roman" w:hint="eastAsia"/>
                        <w:sz w:val="21"/>
                      </w:rPr>
                      <w:t>疏挖</w:t>
                    </w:r>
                  </w:p>
                </w:txbxContent>
              </v:textbox>
            </v:rect>
            <v:rect id="矩形 72" o:spid="_x0000_s2084" style="position:absolute;left:4763;top:12926;width:1440;height: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4ePwgAAANsAAAAPAAAAZHJzL2Rvd25yZXYueG1sRI9Bi8Iw&#10;FITvwv6H8ARvmiri2mqUsrCLFw9r+wMezbOpNi+liVr/vREW9jjMzDfMdj/YVtyp941jBfNZAoK4&#10;crrhWkFZfE/XIHxA1tg6JgVP8rDffYy2mGn34F+6n0ItIoR9hgpMCF0mpa8MWfQz1xFH7+x6iyHK&#10;vpa6x0eE21YukmQlLTYcFwx29GWoup5uVsH5Mh+aY9Gl/mnK/HOVX9OfslRqMh7yDYhAQ/gP/7UP&#10;WkG6hPeX+APk7gUAAP//AwBQSwECLQAUAAYACAAAACEA2+H2y+4AAACFAQAAEwAAAAAAAAAAAAAA&#10;AAAAAAAAW0NvbnRlbnRfVHlwZXNdLnhtbFBLAQItABQABgAIAAAAIQBa9CxbvwAAABUBAAALAAAA&#10;AAAAAAAAAAAAAB8BAABfcmVscy8ucmVsc1BLAQItABQABgAIAAAAIQCJ54ePwgAAANsAAAAPAAAA&#10;AAAAAAAAAAAAAAcCAABkcnMvZG93bnJldi54bWxQSwUGAAAAAAMAAwC3AAAA9gIAAAAA&#10;">
              <v:textbox style="mso-fit-shape-to-text:t" inset="0,0,0,0">
                <w:txbxContent>
                  <w:p w14:paraId="33275F48" w14:textId="77777777" w:rsidR="005A1A44" w:rsidRDefault="0008059E">
                    <w:pPr>
                      <w:spacing w:line="240" w:lineRule="auto"/>
                      <w:ind w:firstLineChars="0" w:firstLine="0"/>
                      <w:jc w:val="center"/>
                      <w:rPr>
                        <w:rFonts w:ascii="Times New Roman" w:eastAsia="宋体" w:hAnsi="Times New Roman" w:cs="Times New Roman"/>
                        <w:sz w:val="21"/>
                      </w:rPr>
                    </w:pPr>
                    <w:r>
                      <w:rPr>
                        <w:rFonts w:ascii="Times New Roman" w:eastAsia="宋体" w:hAnsi="Times New Roman" w:cs="Times New Roman" w:hint="eastAsia"/>
                        <w:sz w:val="21"/>
                      </w:rPr>
                      <w:t>底泥堆放场</w:t>
                    </w:r>
                  </w:p>
                </w:txbxContent>
              </v:textbox>
            </v:rect>
            <v:line id="直接连接符 74" o:spid="_x0000_s2085" style="position:absolute;flip:y;visibility:visible" from="3323,12458" to="3323,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直接连接符 75" o:spid="_x0000_s2086" style="position:absolute;flip:y;visibility:visible" from="4043,12458" to="4043,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NcxAAAANsAAAAPAAAAZHJzL2Rvd25yZXYueG1sRI9Ba8JA&#10;EIXvBf/DMkIvoW6qUDW6irUVBPGg7aHHITsmwexsyE41/ntXKPT4ePO+N2++7FytLtSGyrOB10EK&#10;ijj3tuLCwPfX5mUCKgiyxdozGbhRgOWi9zTHzPorH+hylEJFCIcMDZQiTaZ1yEtyGAa+IY7eybcO&#10;Jcq20LbFa4S7Wg/T9E07rDg2lNjQuqT8fPx18Y3Nnj9Go+Td6SSZ0ueP7FItxjz3u9UMlFAn/8d/&#10;6a01MB3DY0sEgF7cAQAA//8DAFBLAQItABQABgAIAAAAIQDb4fbL7gAAAIUBAAATAAAAAAAAAAAA&#10;AAAAAAAAAABbQ29udGVudF9UeXBlc10ueG1sUEsBAi0AFAAGAAgAAAAhAFr0LFu/AAAAFQEAAAsA&#10;AAAAAAAAAAAAAAAAHwEAAF9yZWxzLy5yZWxzUEsBAi0AFAAGAAgAAAAhAF0lE1zEAAAA2wAAAA8A&#10;AAAAAAAAAAAAAAAABwIAAGRycy9kb3ducmV2LnhtbFBLBQYAAAAAAwADALcAAAD4AgAAAAA=&#10;">
              <v:stroke endarrow="block"/>
            </v:line>
            <v:line id="直接连接符 76" o:spid="_x0000_s2087" style="position:absolute;flip:y;visibility:visible" from="5483,12458" to="5483,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直接连接符 77" o:spid="_x0000_s2088" style="position:absolute;visibility:visible" from="2603,13082" to="2963,1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rect id="矩形 80" o:spid="_x0000_s2089" style="position:absolute;left:2940;top:12101;width:801;height: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textbox>
                <w:txbxContent>
                  <w:p w14:paraId="120D6A8B" w14:textId="77777777" w:rsidR="005A1A44" w:rsidRDefault="0008059E">
                    <w:pPr>
                      <w:spacing w:line="240" w:lineRule="auto"/>
                      <w:ind w:firstLineChars="0" w:firstLine="0"/>
                      <w:rPr>
                        <w:rFonts w:ascii="Times New Roman" w:eastAsia="宋体" w:hAnsi="Times New Roman" w:cs="Times New Roman"/>
                        <w:sz w:val="21"/>
                      </w:rPr>
                    </w:pPr>
                    <w:r>
                      <w:rPr>
                        <w:rFonts w:ascii="Times New Roman" w:eastAsia="宋体" w:hAnsi="Times New Roman" w:cs="Times New Roman" w:hint="eastAsia"/>
                        <w:sz w:val="21"/>
                      </w:rPr>
                      <w:t>噪声</w:t>
                    </w:r>
                  </w:p>
                </w:txbxContent>
              </v:textbox>
            </v:rect>
            <v:rect id="矩形 83" o:spid="_x0000_s2090" style="position:absolute;left:6512;top:12860;width:207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5HwgAAANwAAAAPAAAAZHJzL2Rvd25yZXYueG1sRE9La8JA&#10;EL4X+h+WEbw1u2oNbZqNiCAI1UO10OuQnTxodjbNrhr/vVso9DYf33Py1Wg7caHBt441zBIFgrh0&#10;puVaw+dp+/QCwgdkg51j0nAjD6vi8SHHzLgrf9DlGGoRQ9hnqKEJoc+k9GVDFn3ieuLIVW6wGCIc&#10;amkGvMZw28m5Uqm02HJsaLCnTUPl9/FsNWD6bH4O1WJ/ej+n+FqParv8UlpPJ+P6DUSgMfyL/9w7&#10;E+erBfw+Ey+QxR0AAP//AwBQSwECLQAUAAYACAAAACEA2+H2y+4AAACFAQAAEwAAAAAAAAAAAAAA&#10;AAAAAAAAW0NvbnRlbnRfVHlwZXNdLnhtbFBLAQItABQABgAIAAAAIQBa9CxbvwAAABUBAAALAAAA&#10;AAAAAAAAAAAAAB8BAABfcmVscy8ucmVsc1BLAQItABQABgAIAAAAIQCD2j5HwgAAANwAAAAPAAAA&#10;AAAAAAAAAAAAAAcCAABkcnMvZG93bnJldi54bWxQSwUGAAAAAAMAAwC3AAAA9gIAAAAA&#10;" stroked="f">
              <v:textbox>
                <w:txbxContent>
                  <w:p w14:paraId="1B6DB909" w14:textId="77777777" w:rsidR="005A1A44" w:rsidRDefault="0008059E">
                    <w:pPr>
                      <w:spacing w:line="240" w:lineRule="auto"/>
                      <w:ind w:firstLineChars="0" w:firstLine="0"/>
                      <w:rPr>
                        <w:rFonts w:ascii="Times New Roman" w:eastAsia="宋体" w:hAnsi="Times New Roman" w:cs="Times New Roman"/>
                        <w:sz w:val="21"/>
                      </w:rPr>
                    </w:pPr>
                    <w:r>
                      <w:rPr>
                        <w:rFonts w:ascii="宋体" w:eastAsia="宋体" w:hAnsi="宋体" w:cs="Arial"/>
                        <w:sz w:val="21"/>
                      </w:rPr>
                      <w:t>余水（</w:t>
                    </w:r>
                    <w:r>
                      <w:rPr>
                        <w:rFonts w:ascii="宋体" w:eastAsia="宋体" w:hAnsi="宋体" w:cs="Arial" w:hint="eastAsia"/>
                        <w:sz w:val="21"/>
                      </w:rPr>
                      <w:t>回用</w:t>
                    </w:r>
                    <w:r>
                      <w:rPr>
                        <w:rFonts w:ascii="宋体" w:eastAsia="宋体" w:hAnsi="宋体" w:cs="Arial"/>
                        <w:color w:val="000000"/>
                        <w:sz w:val="21"/>
                      </w:rPr>
                      <w:t>）</w:t>
                    </w:r>
                  </w:p>
                </w:txbxContent>
              </v:textbox>
            </v:rect>
            <v:rect id="矩形 86" o:spid="_x0000_s2091" style="position:absolute;left:3778;top:12213;width:527;height: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MDwAAAANwAAAAPAAAAZHJzL2Rvd25yZXYueG1sRE9NawIx&#10;EL0X/A9hhN66WYUWWY1S1KLXrorXYTPdbJtMlk3U1F/fFAq9zeN9zmKVnBVXGkLnWcGkKEEQN153&#10;3Co4Ht6eZiBCRNZoPZOCbwqwWo4eFlhpf+N3utaxFTmEQ4UKTIx9JWVoDDkMhe+JM/fhB4cxw6GV&#10;esBbDndWTsvyRTrsODcY7GltqPmqL07BbrLZ9p/yXuPORrqcTGrsOSn1OE6vcxCRUvwX/7n3Os8v&#10;n+H3mXyBXP4AAAD//wMAUEsBAi0AFAAGAAgAAAAhANvh9svuAAAAhQEAABMAAAAAAAAAAAAAAAAA&#10;AAAAAFtDb250ZW50X1R5cGVzXS54bWxQSwECLQAUAAYACAAAACEAWvQsW78AAAAVAQAACwAAAAAA&#10;AAAAAAAAAAAfAQAAX3JlbHMvLnJlbHNQSwECLQAUAAYACAAAACEA5Q+DA8AAAADcAAAADwAAAAAA&#10;AAAAAAAAAAAHAgAAZHJzL2Rvd25yZXYueG1sUEsFBgAAAAADAAMAtwAAAPQCAAAAAA==&#10;" stroked="f">
              <v:textbox inset="0,0,0,0">
                <w:txbxContent>
                  <w:p w14:paraId="18621B91" w14:textId="77777777" w:rsidR="005A1A44" w:rsidRDefault="0008059E">
                    <w:pPr>
                      <w:spacing w:line="240" w:lineRule="auto"/>
                      <w:ind w:firstLineChars="0" w:firstLine="0"/>
                      <w:rPr>
                        <w:rFonts w:ascii="Times New Roman" w:eastAsia="宋体" w:hAnsi="Times New Roman" w:cs="Times New Roman"/>
                        <w:sz w:val="21"/>
                      </w:rPr>
                    </w:pPr>
                    <w:r>
                      <w:rPr>
                        <w:rFonts w:ascii="Times New Roman" w:eastAsia="宋体" w:hAnsi="Times New Roman" w:cs="Times New Roman" w:hint="eastAsia"/>
                        <w:sz w:val="21"/>
                      </w:rPr>
                      <w:t>废气</w:t>
                    </w:r>
                  </w:p>
                </w:txbxContent>
              </v:textbox>
            </v:rect>
            <v:line id="直接连接符 87" o:spid="_x0000_s2092" style="position:absolute;flip:x;visibility:visible" from="3597,13228" to="3609,1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o2xQAAANwAAAAPAAAAZHJzL2Rvd25yZXYueG1sRI9Pa8JA&#10;EMXvBb/DMgUvoe5WQdrUVax/QCg91HrwOGSnSWh2NmRHjd/eFQq9zfDe782b2aL3jTpTF+vAFp5H&#10;BhRxEVzNpYXD9/bpBVQUZIdNYLJwpQiL+eBhhrkLF/6i815KlUI45mihEmlzrWNRkcc4Ci1x0n5C&#10;51HS2pXadXhJ4b7RY2Om2mPN6UKFLa0qKn73J59qbD95PZlk715n2SttjvJhtFg7fOyXb6CEevk3&#10;/9E7lzgzhfszaQI9vwEAAP//AwBQSwECLQAUAAYACAAAACEA2+H2y+4AAACFAQAAEwAAAAAAAAAA&#10;AAAAAAAAAAAAW0NvbnRlbnRfVHlwZXNdLnhtbFBLAQItABQABgAIAAAAIQBa9CxbvwAAABUBAAAL&#10;AAAAAAAAAAAAAAAAAB8BAABfcmVscy8ucmVsc1BLAQItABQABgAIAAAAIQBRG6o2xQAAANwAAAAP&#10;AAAAAAAAAAAAAAAAAAcCAABkcnMvZG93bnJldi54bWxQSwUGAAAAAAMAAwC3AAAA+QIAAAAA&#10;">
              <v:stroke endarrow="block"/>
            </v:line>
            <v:line id="直接连接符 75" o:spid="_x0000_s2093" style="position:absolute;visibility:visible" from="4403,13070" to="4763,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g+wgAAANwAAAAPAAAAZHJzL2Rvd25yZXYueG1sRE9LawIx&#10;EL4X/A9hhN5qVg9u3RqluAgeasEHnsfNdLN0M1k2cU3/fSMUepuP7znLdbStGKj3jWMF00kGgrhy&#10;uuFawfm0fXkF4QOyxtYxKfghD+vV6GmJhXZ3PtBwDLVIIewLVGBC6AopfWXIop+4jjhxX663GBLs&#10;a6l7vKdw28pZls2lxYZTg8GONoaq7+PNKshNeZC5LD9On+XQTBdxHy/XhVLP4/j+BiJQDP/iP/dO&#10;p/lZDo9n0gVy9QsAAP//AwBQSwECLQAUAAYACAAAACEA2+H2y+4AAACFAQAAEwAAAAAAAAAAAAAA&#10;AAAAAAAAW0NvbnRlbnRfVHlwZXNdLnhtbFBLAQItABQABgAIAAAAIQBa9CxbvwAAABUBAAALAAAA&#10;AAAAAAAAAAAAAB8BAABfcmVscy8ucmVsc1BLAQItABQABgAIAAAAIQAFKEg+wgAAANwAAAAPAAAA&#10;AAAAAAAAAAAAAAcCAABkcnMvZG93bnJldi54bWxQSwUGAAAAAAMAAwC3AAAA9gIAAAAA&#10;">
              <v:stroke endarrow="block"/>
            </v:line>
            <v:rect id="矩形 86" o:spid="_x0000_s2094" style="position:absolute;left:5215;top:12150;width:651;height:2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PdwAAAANwAAAAPAAAAZHJzL2Rvd25yZXYueG1sRE9LawIx&#10;EL4X/A9hhN5qdj2UshpFfKDXbiteh824WU0myyZq2l/fFAq9zcf3nPkyOSvuNITOs4JyUoAgbrzu&#10;uFXw+bF7eQMRIrJG65kUfFGA5WL0NMdK+we/072OrcghHCpUYGLsKylDY8hhmPieOHNnPziMGQ6t&#10;1AM+crizcloUr9Jhx7nBYE9rQ821vjkF+3Kz7S/yu8a9jXQ7mtTYU1LqeZxWMxCRUvwX/7kPOs8v&#10;S/h9Jl8gFz8AAAD//wMAUEsBAi0AFAAGAAgAAAAhANvh9svuAAAAhQEAABMAAAAAAAAAAAAAAAAA&#10;AAAAAFtDb250ZW50X1R5cGVzXS54bWxQSwECLQAUAAYACAAAACEAWvQsW78AAAAVAQAACwAAAAAA&#10;AAAAAAAAAAAfAQAAX3JlbHMvLnJlbHNQSwECLQAUAAYACAAAACEAH+0T3cAAAADcAAAADwAAAAAA&#10;AAAAAAAAAAAHAgAAZHJzL2Rvd25yZXYueG1sUEsFBgAAAAADAAMAtwAAAPQCAAAAAA==&#10;" stroked="f">
              <v:textbox inset="0,0,0,0">
                <w:txbxContent>
                  <w:p w14:paraId="4E798953" w14:textId="77777777" w:rsidR="005A1A44" w:rsidRDefault="0008059E">
                    <w:pPr>
                      <w:spacing w:line="240" w:lineRule="auto"/>
                      <w:ind w:firstLineChars="0" w:firstLine="0"/>
                      <w:rPr>
                        <w:rFonts w:ascii="Times New Roman" w:eastAsia="宋体" w:hAnsi="Times New Roman" w:cs="Times New Roman"/>
                        <w:sz w:val="21"/>
                      </w:rPr>
                    </w:pPr>
                    <w:r>
                      <w:rPr>
                        <w:rFonts w:ascii="Times New Roman" w:eastAsia="宋体" w:hAnsi="Times New Roman" w:cs="Times New Roman" w:hint="eastAsia"/>
                        <w:sz w:val="21"/>
                      </w:rPr>
                      <w:t>固废</w:t>
                    </w:r>
                  </w:p>
                </w:txbxContent>
              </v:textbox>
            </v:rect>
            <v:line id="直接连接符 75" o:spid="_x0000_s2095" style="position:absolute;visibility:visible" from="6228,13082" to="6588,1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w10:anchorlock/>
          </v:group>
        </w:pict>
      </w:r>
    </w:p>
    <w:p w14:paraId="4F2DC625"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t>图3.5-2   河道清障施工工艺</w:t>
      </w:r>
    </w:p>
    <w:p w14:paraId="2A175215" w14:textId="77777777" w:rsidR="005A1A44" w:rsidRDefault="0008059E">
      <w:pPr>
        <w:pStyle w:val="4"/>
        <w:numPr>
          <w:ilvl w:val="3"/>
          <w:numId w:val="2"/>
        </w:numPr>
      </w:pPr>
      <w:r>
        <w:rPr>
          <w:rFonts w:hint="eastAsia"/>
        </w:rPr>
        <w:t xml:space="preserve"> </w:t>
      </w:r>
      <w:r>
        <w:rPr>
          <w:rFonts w:hint="eastAsia"/>
        </w:rPr>
        <w:t>堤顶绿行慢道</w:t>
      </w:r>
    </w:p>
    <w:p w14:paraId="5BB4C4E5" w14:textId="77777777" w:rsidR="005A1A44" w:rsidRDefault="0008059E">
      <w:pPr>
        <w:ind w:firstLine="480"/>
      </w:pPr>
      <w:r>
        <w:rPr>
          <w:rFonts w:hint="eastAsia"/>
        </w:rPr>
        <w:t>人行步道和自行车道在常水位以上，高程在</w:t>
      </w:r>
      <w:r>
        <w:rPr>
          <w:rFonts w:hint="eastAsia"/>
        </w:rPr>
        <w:t>2.40~5.90m</w:t>
      </w:r>
      <w:r>
        <w:rPr>
          <w:rFonts w:hint="eastAsia"/>
        </w:rPr>
        <w:t>，防汛通道为防洪线位置的堤顶道路高程在</w:t>
      </w:r>
      <w:r>
        <w:rPr>
          <w:rFonts w:hint="eastAsia"/>
        </w:rPr>
        <w:t>5.06~6.18m</w:t>
      </w:r>
      <w:r>
        <w:rPr>
          <w:rFonts w:hint="eastAsia"/>
        </w:rPr>
        <w:t>。</w:t>
      </w:r>
    </w:p>
    <w:p w14:paraId="40F27A28" w14:textId="77777777" w:rsidR="005A1A44" w:rsidRDefault="0008059E">
      <w:pPr>
        <w:ind w:firstLine="480"/>
      </w:pPr>
      <w:r>
        <w:rPr>
          <w:rFonts w:hint="eastAsia"/>
        </w:rPr>
        <w:t>人行步道是慢行道，根据景观要求，路面宽度为</w:t>
      </w:r>
      <w:r>
        <w:rPr>
          <w:rFonts w:hint="eastAsia"/>
        </w:rPr>
        <w:t>2000~3500mm</w:t>
      </w:r>
      <w:r>
        <w:rPr>
          <w:rFonts w:hint="eastAsia"/>
        </w:rPr>
        <w:t>，路面结构采用</w:t>
      </w:r>
      <w:r>
        <w:rPr>
          <w:rFonts w:hint="eastAsia"/>
        </w:rPr>
        <w:t>50mm</w:t>
      </w:r>
      <w:r>
        <w:rPr>
          <w:rFonts w:hint="eastAsia"/>
        </w:rPr>
        <w:t>厚水泥方格砖，下设</w:t>
      </w:r>
      <w:r>
        <w:rPr>
          <w:rFonts w:hint="eastAsia"/>
        </w:rPr>
        <w:t>25mm</w:t>
      </w:r>
      <w:r>
        <w:rPr>
          <w:rFonts w:hint="eastAsia"/>
        </w:rPr>
        <w:t>厚</w:t>
      </w:r>
      <w:r>
        <w:rPr>
          <w:rFonts w:hint="eastAsia"/>
        </w:rPr>
        <w:t>1:3</w:t>
      </w:r>
      <w:r>
        <w:rPr>
          <w:rFonts w:hint="eastAsia"/>
        </w:rPr>
        <w:t>干硬性水泥砂浆、</w:t>
      </w:r>
      <w:r>
        <w:rPr>
          <w:rFonts w:hint="eastAsia"/>
        </w:rPr>
        <w:t>150mm</w:t>
      </w:r>
      <w:r>
        <w:rPr>
          <w:rFonts w:hint="eastAsia"/>
        </w:rPr>
        <w:t>厚级配砂石垫层碾实，两侧设</w:t>
      </w:r>
      <w:r>
        <w:rPr>
          <w:rFonts w:hint="eastAsia"/>
        </w:rPr>
        <w:t>C30</w:t>
      </w:r>
      <w:r>
        <w:rPr>
          <w:rFonts w:hint="eastAsia"/>
        </w:rPr>
        <w:t>预制混凝土立缘石，规格为</w:t>
      </w:r>
      <w:r>
        <w:rPr>
          <w:rFonts w:hint="eastAsia"/>
        </w:rPr>
        <w:t>120</w:t>
      </w:r>
      <w:r>
        <w:rPr>
          <w:rFonts w:hint="eastAsia"/>
        </w:rPr>
        <w:t>×</w:t>
      </w:r>
      <w:r>
        <w:rPr>
          <w:rFonts w:hint="eastAsia"/>
        </w:rPr>
        <w:t>250</w:t>
      </w:r>
      <w:r>
        <w:rPr>
          <w:rFonts w:hint="eastAsia"/>
        </w:rPr>
        <w:t>×</w:t>
      </w:r>
      <w:r>
        <w:rPr>
          <w:rFonts w:hint="eastAsia"/>
        </w:rPr>
        <w:t>495mm</w:t>
      </w:r>
      <w:r>
        <w:rPr>
          <w:rFonts w:hint="eastAsia"/>
        </w:rPr>
        <w:t>。表面水泥方格砖可选用彩色，拼接成不同主题。慢行系统如遇淤泥质粉质粘土，因路面结构荷载不高，可采用换填的基础处理方案。</w:t>
      </w:r>
    </w:p>
    <w:p w14:paraId="314518C3" w14:textId="77777777" w:rsidR="005A1A44" w:rsidRDefault="0008059E">
      <w:pPr>
        <w:ind w:firstLine="480"/>
      </w:pPr>
      <w:r>
        <w:rPr>
          <w:rFonts w:hint="eastAsia"/>
        </w:rPr>
        <w:t>考虑到工程范围内有纵横交错的主、次干道，不专门设高等级防汛道路，在防洪线位置堤顶按最</w:t>
      </w:r>
      <w:r>
        <w:rPr>
          <w:rFonts w:hint="eastAsia"/>
        </w:rPr>
        <w:t>6m</w:t>
      </w:r>
      <w:r>
        <w:rPr>
          <w:rFonts w:hint="eastAsia"/>
        </w:rPr>
        <w:t>设置防汛通道，道路结构采用</w:t>
      </w:r>
      <w:r>
        <w:rPr>
          <w:rFonts w:hint="eastAsia"/>
        </w:rPr>
        <w:t>200mm</w:t>
      </w:r>
      <w:r>
        <w:rPr>
          <w:rFonts w:hint="eastAsia"/>
        </w:rPr>
        <w:t>厚泥结石路面，下设</w:t>
      </w:r>
      <w:r>
        <w:rPr>
          <w:rFonts w:hint="eastAsia"/>
        </w:rPr>
        <w:t>150mm</w:t>
      </w:r>
      <w:r>
        <w:rPr>
          <w:rFonts w:hint="eastAsia"/>
        </w:rPr>
        <w:t>厚碎石垫层。</w:t>
      </w:r>
    </w:p>
    <w:p w14:paraId="42D3CE93" w14:textId="77777777" w:rsidR="005A1A44" w:rsidRDefault="005A1A44">
      <w:pPr>
        <w:pStyle w:val="Char"/>
        <w:ind w:firstLine="602"/>
      </w:pPr>
    </w:p>
    <w:p w14:paraId="52A8C028" w14:textId="77777777" w:rsidR="005A1A44" w:rsidRDefault="00000000">
      <w:pPr>
        <w:ind w:firstLine="480"/>
      </w:pPr>
      <w:r>
        <w:rPr>
          <w:noProof/>
        </w:rPr>
        <w:pict w14:anchorId="52A2DF48">
          <v:shape id="文本框 140" o:spid="_x0000_s2096" type="#_x0000_t202" style="position:absolute;left:0;text-align:left;margin-left:251.3pt;margin-top:8.5pt;width:58pt;height:17.1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WebwIAABYFAAAOAAAAZHJzL2Uyb0RvYy54bWysVM1uEzEQviPxDpbvdDcpTauomyq0KkKq&#10;aEVAnB2v3aywPcaeZDc8AH0DTly481x9DsbebIoKlyIu3tn5+WbmG49Pzzpr2EaF2ICr+Oig5Ew5&#10;CXXjbiv+4f3lixPOIgpXCwNOVXyrIj+bPX922vqpGsMKTK0CIxAXp62v+ArRT4siypWyIh6AV46M&#10;GoIVSL/htqiDaAndmmJclpOihVD7AFLFSNqL3shnGV9rJfFa66iQmYpTbZjPkM9lOovZqZjeBuFX&#10;jdyVIf6hCisaR0n3UBcCBVuH5g8o28gAETQeSLAFaN1IlXugbkblo24WK+FV7oXIiX5PU/x/sPLt&#10;5iawpqbZvSR+nLA0pPtvd/fff97/+MqSkihqfZyS58KTL3avoCP3QR9JmTrvdLDpSz0xshPYdk+w&#10;6pBJUh4fTiYlWSSZxqPjk/IooRQPwT5EfK3AsiRUPND8Mq1icxWxdx1cUi4Hl40xeYbGsbbik8Oj&#10;MgfsLQRuHOVILfSlZgm3RiUE494pTf3nipMi3zx1bgLbCLozQkrlMDebkcg7eWlK+5TAnX8KVflW&#10;PiV4H5Ezg8N9sG0chNzvo7LrT0PJuvcfGOj7ThRgt+zy4MeHwyiXUG9pwgH6NYleXjY0hysR8UYE&#10;2gsaHe06XtOhDRDfsJM4W0H48jd98qfrSlbOWtqzisfPaxEUZ+aNo4tMkDgIYRCWg+DW9hxoDCN6&#10;RbzMIgUENIOoA9iP9ATMUxYyCScpV8VxEM+x33Z6QqSaz7MTrZ4XeOUWXiboRKuD+RpBN/mSJXp6&#10;Lna00fLla7p7KNJ2//6fvR6es9kvAAAA//8DAFBLAwQUAAYACAAAACEAPVXoMN0AAAAJAQAADwAA&#10;AGRycy9kb3ducmV2LnhtbEyPS0/EMAyE70j8h8hI3Ni0iyir0nSFeNx4LiDBLW1MW5E4VZJ2y7/H&#10;nODomdH4m2q7OCtmDHHwpCBfZSCQWm8G6hS8vtyebEDEpMlo6wkVfGOEbX14UOnS+D0947xLneAS&#10;iqVW0Kc0llLGtken48qPSOx9+uB04jN00gS953Jn5TrLCun0QPyh1yNe9dh+7SanwL7HcNdk6WO+&#10;7u7T06Oc3m7yB6WOj5bLCxAJl/QXhl98RoeamRo/kYnCKjjL1gVH2TjnTRwo8g0LDTv5Kci6kv8X&#10;1D8AAAD//wMAUEsBAi0AFAAGAAgAAAAhALaDOJL+AAAA4QEAABMAAAAAAAAAAAAAAAAAAAAAAFtD&#10;b250ZW50X1R5cGVzXS54bWxQSwECLQAUAAYACAAAACEAOP0h/9YAAACUAQAACwAAAAAAAAAAAAAA&#10;AAAvAQAAX3JlbHMvLnJlbHNQSwECLQAUAAYACAAAACEAAqjVnm8CAAAWBQAADgAAAAAAAAAAAAAA&#10;AAAuAgAAZHJzL2Uyb0RvYy54bWxQSwECLQAUAAYACAAAACEAPVXoMN0AAAAJAQAADwAAAAAAAAAA&#10;AAAAAADJBAAAZHJzL2Rvd25yZXYueG1sUEsFBgAAAAAEAAQA8wAAANMFAAAAAA==&#10;" filled="f" stroked="f" strokeweight=".5pt">
            <v:textbox inset="0,0,0,0">
              <w:txbxContent>
                <w:p w14:paraId="45B27673" w14:textId="77777777" w:rsidR="005A1A44" w:rsidRDefault="0008059E">
                  <w:pPr>
                    <w:ind w:firstLineChars="0" w:firstLine="0"/>
                  </w:pPr>
                  <w:r>
                    <w:rPr>
                      <w:rFonts w:hint="eastAsia"/>
                      <w:sz w:val="21"/>
                      <w:szCs w:val="21"/>
                    </w:rPr>
                    <w:t>噪声、固废</w:t>
                  </w:r>
                </w:p>
              </w:txbxContent>
            </v:textbox>
          </v:shape>
        </w:pict>
      </w:r>
      <w:r>
        <w:rPr>
          <w:noProof/>
        </w:rPr>
        <w:pict w14:anchorId="4D5CAC3D">
          <v:shape id="文本框 138" o:spid="_x0000_s2097" type="#_x0000_t202" style="position:absolute;left:0;text-align:left;margin-left:132.55pt;margin-top:9.1pt;width:92.35pt;height:17.1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BIfAIAACMFAAAOAAAAZHJzL2Uyb0RvYy54bWysVM1uEzEQviPxDpbvZLP5aaKomyqkCkKq&#10;aEVBnB2v3aywPcZ2shseAN6AExfuPFefg7F3N0WFSxEX76znm79vZnx+0WhFDsL5CkxB88GQEmE4&#10;lJW5K+j7d5sXc0p8YKZkCowo6FF4erF8/uy8tgsxgh2oUjiCToxf1LaguxDsIss83wnN/ACsMKiU&#10;4DQL+OvustKxGr1rlY2Gw7OsBldaB1x4j7eXrZIuk38pBQ/XUnoRiCoo5hbS6dK5jWe2PGeLO8fs&#10;ruJdGuwfstCsMhj05OqSBUb2rvrDla64Aw8yDDjoDKSsuEg1YDX58FE1tztmRaoFyfH2RJP/f275&#10;m8ONI1WJvRtjqwzT2KT7b1/vv/+8//GFxEukqLZ+gchbi9jQvIQG4f29x8tYeSOdjl+siaB+nE9H&#10;s9mUkmNBp5M8n8w6skUTCI8O8tloPkEAR8Qon82H0+gye/BknQ+vBGgShYI6bGbimB2ufGihPSQG&#10;NrCplEoNVYbUBT0bT4fJ4KRB58pgjFhPm3eSwlGJ6EGZt0IiGZhda5jGUKyVIweGA8Q4FyakypMn&#10;REcziWGfYtjho6lII/oU45NFigwmnIx1ZcCleh+lXX7sU5YtvmegrTtSEJptk6ZgNOn7uoXyiO12&#10;0O6Mt3xTYR+umA83zOGS4Drh4odrPKQC5Bs6iZIduM9/u494nF3UUlLj0hXUf9ozJyhRrw1OddzQ&#10;XnC9sO0Fs9drwDbk+KRYnkQ0cEH1onSgP+B7sIpRUMUMx1gFDb24Du3q43vCxWqVQLiHloUrc2t5&#10;dB1pNbDaB5BVGrJIT8tFRxtuYhrT7tWIq/77f0I9vG3LXwAAAP//AwBQSwMEFAAGAAgAAAAhAIJm&#10;XTzeAAAACQEAAA8AAABkcnMvZG93bnJldi54bWxMj01PhDAQhu8m/odmTLy5BbJsVqRsjB83P1dN&#10;9FboCMR2Smhh8d87nvQ4eZ+887zlbnFWzDiG3pOCdJWAQGq86alV8Ppye7YFEaImo60nVPCNAXbV&#10;8VGpC+MP9IzzPraCSygUWkEX41BIGZoOnQ4rPyBx9ulHpyOfYyvNqA9c7qzMkmQjne6JP3R6wKsO&#10;m6/95BTY9zDe1Un8mK/b+/j0KKe3m/RBqdOT5fICRMQl/sHwq8/qULFT7ScyQVgF2SZPGeVgm4Fg&#10;YL0+5y21gjzLQVal/L+g+gEAAP//AwBQSwECLQAUAAYACAAAACEAtoM4kv4AAADhAQAAEwAAAAAA&#10;AAAAAAAAAAAAAAAAW0NvbnRlbnRfVHlwZXNdLnhtbFBLAQItABQABgAIAAAAIQA4/SH/1gAAAJQB&#10;AAALAAAAAAAAAAAAAAAAAC8BAABfcmVscy8ucmVsc1BLAQItABQABgAIAAAAIQDsDpBIfAIAACMF&#10;AAAOAAAAAAAAAAAAAAAAAC4CAABkcnMvZTJvRG9jLnhtbFBLAQItABQABgAIAAAAIQCCZl083gAA&#10;AAkBAAAPAAAAAAAAAAAAAAAAANYEAABkcnMvZG93bnJldi54bWxQSwUGAAAAAAQABADzAAAA4QUA&#10;AAAA&#10;" filled="f" stroked="f" strokeweight=".5pt">
            <v:textbox inset="0,0,0,0">
              <w:txbxContent>
                <w:p w14:paraId="71611B13" w14:textId="77777777" w:rsidR="005A1A44" w:rsidRDefault="0008059E">
                  <w:pPr>
                    <w:ind w:firstLineChars="0" w:firstLine="0"/>
                  </w:pPr>
                  <w:r>
                    <w:rPr>
                      <w:rFonts w:hint="eastAsia"/>
                      <w:sz w:val="21"/>
                      <w:szCs w:val="21"/>
                    </w:rPr>
                    <w:t>废水、噪声、固废</w:t>
                  </w:r>
                </w:p>
              </w:txbxContent>
            </v:textbox>
          </v:shape>
        </w:pict>
      </w:r>
    </w:p>
    <w:p w14:paraId="2EE0A7CF" w14:textId="77777777" w:rsidR="005A1A44" w:rsidRDefault="00000000">
      <w:pPr>
        <w:tabs>
          <w:tab w:val="left" w:pos="2250"/>
        </w:tabs>
        <w:ind w:firstLine="480"/>
      </w:pPr>
      <w:r>
        <w:rPr>
          <w:noProof/>
        </w:rPr>
        <w:pict w14:anchorId="77488D41">
          <v:shapetype id="_x0000_t32" coordsize="21600,21600" o:spt="32" o:oned="t" path="m,l21600,21600e" filled="f">
            <v:path arrowok="t" fillok="f" o:connecttype="none"/>
            <o:lock v:ext="edit" shapetype="t"/>
          </v:shapetype>
          <v:shape id="直接箭头连接符 139" o:spid="_x0000_s2112" type="#_x0000_t32" style="position:absolute;left:0;text-align:left;margin-left:281.25pt;margin-top:3.7pt;width:0;height:20.9pt;flip:y;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m58wEAAAcEAAAOAAAAZHJzL2Uyb0RvYy54bWysU0uOEzEQ3SNxB8t70kkGRhClM4sMsEEQ&#10;8dt73Hbaku2yyiadvgQXQGIFrIDV7DkNDMeg7E4aBAgJxMbyp96req/Ky7O9s2ynMBrwNZ9Nppwp&#10;L6ExflvzZ0/v3bjNWUzCN8KCVzXvVeRnq+vXll1YqDm0YBuFjEh8XHSh5m1KYVFVUbbKiTiBoDw9&#10;akAnEh1xWzUoOmJ3tppPp6dVB9gEBKlipNvz4ZGvCr/WSqZHWkeVmK051ZbKimW9yGu1WorFFkVo&#10;jTyUIf6hCieMp6Qj1blIgr1A8wuVMxIhgk4TCa4CrY1URQOpmU1/UvOkFUEVLWRODKNN8f/Ryoe7&#10;DTLTUO9O7nDmhaMmXb26/PLy7dXHD5/fXH799Drv379jOYDs6kJcEGrtN3g4xbDBrH2v0TFtTXhO&#10;bMUN0sf2xex+NFvtE5PDpaTb+emtmyelD9XAkJkCxnRfgWN5U/OYUJhtm9bgPXUUcGAXuwcxUQ0E&#10;PAIy2Pq8JmHsXd+w1AdSJBChy9VTbH6vsoqh7rJLvVUD9rHSZAfVN+Qog6jWFtlO0AgJKZVPs5GJ&#10;ojNMG2tH4LRI/yPwEJ+hqgzp34BHRMkMPo1gZzzg77Kn/bFkPcQfHRh0ZwsuoOlLR4s1NG3Fq8PP&#10;yOP847nAv//f1TcAAAD//wMAUEsDBBQABgAIAAAAIQAQrKjy3QAAAAgBAAAPAAAAZHJzL2Rvd25y&#10;ZXYueG1sTI/BTsMwEETvSPyDtUjcqEPUFgjZVFWhEgcuDSCubrzEUeJ1FDtN4Osx4gDH0Yxm3uSb&#10;2XbiRINvHCNcLxIQxJXTDdcIry/7q1sQPijWqnNMCJ/kYVOcn+Uq027iA53KUItYwj5TCCaEPpPS&#10;V4as8gvXE0fvww1WhSiHWupBTbHcdjJNkrW0quG4YFRPO0NVW44W4eHrfWyTp+3z5EK5f5vNI+2G&#10;FvHyYt7egwg0h78w/OBHdCgi09GNrL3oEFbrdBWjCDdLENH/1UeE5V0Kssjl/wPFNwAAAP//AwBQ&#10;SwECLQAUAAYACAAAACEAtoM4kv4AAADhAQAAEwAAAAAAAAAAAAAAAAAAAAAAW0NvbnRlbnRfVHlw&#10;ZXNdLnhtbFBLAQItABQABgAIAAAAIQA4/SH/1gAAAJQBAAALAAAAAAAAAAAAAAAAAC8BAABfcmVs&#10;cy8ucmVsc1BLAQItABQABgAIAAAAIQCTmAm58wEAAAcEAAAOAAAAAAAAAAAAAAAAAC4CAABkcnMv&#10;ZTJvRG9jLnhtbFBLAQItABQABgAIAAAAIQAQrKjy3QAAAAgBAAAPAAAAAAAAAAAAAAAAAE0EAABk&#10;cnMvZG93bnJldi54bWxQSwUGAAAAAAQABADzAAAAVwUAAAAA&#10;" strokecolor="#5b9bd5 [3204]" strokeweight=".5pt">
            <v:stroke endarrow="open" joinstyle="miter"/>
          </v:shape>
        </w:pict>
      </w:r>
      <w:r>
        <w:rPr>
          <w:noProof/>
        </w:rPr>
        <w:pict w14:anchorId="355FE270">
          <v:shape id="直接箭头连接符 137" o:spid="_x0000_s2111" type="#_x0000_t32" style="position:absolute;left:0;text-align:left;margin-left:178.75pt;margin-top:4.3pt;width:0;height:20.9pt;flip: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768wEAAAcEAAAOAAAAZHJzL2Uyb0RvYy54bWysU0uOEzEQ3SNxB8t70kkGBhSlM4sMsEEQ&#10;8dt73Hbaku2yyiadvgQXQGIFrIDV7DkNDMeg7E4aBAgJxMbyp96req/Ky7O9s2ynMBrwNZ9Nppwp&#10;L6ExflvzZ0/v3bjDWUzCN8KCVzXvVeRnq+vXll1YqDm0YBuFjEh8XHSh5m1KYVFVUbbKiTiBoDw9&#10;akAnEh1xWzUoOmJ3tppPp6dVB9gEBKlipNvz4ZGvCr/WSqZHWkeVmK051ZbKimW9yGu1WorFFkVo&#10;jTyUIf6hCieMp6Qj1blIgr1A8wuVMxIhgk4TCa4CrY1URQOpmU1/UvOkFUEVLWRODKNN8f/Ryoe7&#10;DTLTUO9ObnPmhaMmXb26/PLy7dXHD5/fXH799Drv379jOYDs6kJcEGrtN3g4xbDBrH2v0TFtTXhO&#10;bMUN0sf2xex+NFvtE5PDpaTb+emtmyelD9XAkJkCxnRfgWN5U/OYUJhtm9bgPXUUcGAXuwcxUQ0E&#10;PAIy2Pq8JmHsXd+w1AdSJBChy9VTbH6vsoqh7rJLvVUD9rHSZAfVN+Qog6jWFtlO0AgJKZVPs5GJ&#10;ojNMG2tH4LRI/yPwEJ+hqgzp34BHRMkMPo1gZzzg77Kn/bFkPcQfHRh0ZwsuoOlLR4s1NG3Fq8PP&#10;yOP847nAv//f1TcAAAD//wMAUEsDBBQABgAIAAAAIQDCcrlc3QAAAAgBAAAPAAAAZHJzL2Rvd25y&#10;ZXYueG1sTI/NTsMwEITvSLyDtUjcqM1PShWyqapCJQ5cCFS9uvESR4ntyHaawNNjxAGOoxnNfFOs&#10;Z9OzE/nQOotwvRDAyNZOtbZBeH/bXa2AhSitkr2zhPBJAdbl+Vkhc+Um+0qnKjYsldiQSwQd45Bz&#10;HmpNRoaFG8gm78N5I2OSvuHKyymVm57fCLHkRrY2LWg50FZT3VWjQXj8OoydeN68TC5Wu/2sn2jr&#10;O8TLi3nzACzSHP/C8IOf0KFMTEc3WhVYj3Cb3WcpirBaAkv+rz4iZOIOeFnw/wfKbwAAAP//AwBQ&#10;SwECLQAUAAYACAAAACEAtoM4kv4AAADhAQAAEwAAAAAAAAAAAAAAAAAAAAAAW0NvbnRlbnRfVHlw&#10;ZXNdLnhtbFBLAQItABQABgAIAAAAIQA4/SH/1gAAAJQBAAALAAAAAAAAAAAAAAAAAC8BAABfcmVs&#10;cy8ucmVsc1BLAQItABQABgAIAAAAIQB0px768wEAAAcEAAAOAAAAAAAAAAAAAAAAAC4CAABkcnMv&#10;ZTJvRG9jLnhtbFBLAQItABQABgAIAAAAIQDCcrlc3QAAAAgBAAAPAAAAAAAAAAAAAAAAAE0EAABk&#10;cnMvZG93bnJldi54bWxQSwUGAAAAAAQABADzAAAAVwUAAAAA&#10;" strokecolor="#5b9bd5 [3204]" strokeweight=".5pt">
            <v:stroke endarrow="open" joinstyle="miter"/>
          </v:shape>
        </w:pict>
      </w:r>
    </w:p>
    <w:p w14:paraId="7B926B8A" w14:textId="77777777" w:rsidR="005A1A44" w:rsidRDefault="00000000">
      <w:pPr>
        <w:tabs>
          <w:tab w:val="left" w:pos="2250"/>
        </w:tabs>
        <w:ind w:firstLine="480"/>
      </w:pPr>
      <w:r>
        <w:rPr>
          <w:noProof/>
        </w:rPr>
        <w:pict w14:anchorId="3A7EA4DA">
          <v:line id="直接连接符 135" o:spid="_x0000_s2110" style="position:absolute;left:0;text-align:left;z-index:251691008;visibility:visible" from="363.75pt,17.65pt" to="364.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r72gEAANIDAAAOAAAAZHJzL2Uyb0RvYy54bWysU0uOEzEQ3SNxB8t70p+ZZCatdGYxI9gg&#10;iPgcwOMupy35J9sknUtwASR2sGLJntswHIOy0+lBgIRAbBxXqt6res/Vq6tBK7IDH6Q1La1mJSVg&#10;uO2k2bb09avHjy4pCZGZjilroKUHCPRq/fDBau8aqG1vVQeeIIkJzd61tI/RNUUReA+ahZl1YDAp&#10;rNcsYui3RefZHtm1KuqyXBR76zvnLYcQ8N+bY5KuM78QwONzIQJEolqKs8V8+nzeprNYr1iz9cz1&#10;ko9jsH+YQjNpsOlEdcMiI2+8/IVKS+5tsCLOuNWFFUJyyBpQTVX+pOZlzxxkLWhOcJNN4f/R8me7&#10;jSeyw7c7m1NimMZHunv3+evbD9++vMfz7tNHklJo1N6FBuuvzcaPUXAbn1QPwuv0i3rI0NL5xeJ8&#10;foZ2H/C+XJbz5Wg0DJFwLLhY1JjlmK4u6/o8sxf3NM6H+ASsJunSUiVNcoE1bPc0RGyNpacSDNJY&#10;x0HyLR4UpGJlXoBAZdiuyui8U3CtPNkx3AbGOZhYJWHIl6sTTEilJmD5Z+BYn6CQ9+1vwBMid7Ym&#10;TmAtjfW/6x6H08jiWH9y4Kg7WXBru0N+omwNLk5WOC552swf4wy//xTX3wEAAP//AwBQSwMEFAAG&#10;AAgAAAAhAIBVhi7iAAAACQEAAA8AAABkcnMvZG93bnJldi54bWxMj0FPwkAQhe8m/ofNmHiTrUUo&#10;qZ0SQmJEEkIEEjwu3bGtdmeb7kLLv3c96XHyvrz3TTYfTCMu1LnaMsLjKAJBXFhdc4lw2L88zEA4&#10;r1irxjIhXMnBPL+9yVSqbc/vdNn5UoQSdqlCqLxvUyldUZFRbmRb4pB92s4oH86ulLpTfSg3jYyj&#10;aCqNqjksVKqlZUXF9+5sEDbdarVcrK9fvP0w/TFeH7dvwyvi/d2weAbhafB/MPzqB3XIg9PJnlk7&#10;0SAkcTIJKMJ4MgYRgCSeJSBOCNOnCGSeyf8f5D8AAAD//wMAUEsBAi0AFAAGAAgAAAAhALaDOJL+&#10;AAAA4QEAABMAAAAAAAAAAAAAAAAAAAAAAFtDb250ZW50X1R5cGVzXS54bWxQSwECLQAUAAYACAAA&#10;ACEAOP0h/9YAAACUAQAACwAAAAAAAAAAAAAAAAAvAQAAX3JlbHMvLnJlbHNQSwECLQAUAAYACAAA&#10;ACEAGwo6+9oBAADSAwAADgAAAAAAAAAAAAAAAAAuAgAAZHJzL2Uyb0RvYy54bWxQSwECLQAUAAYA&#10;CAAAACEAgFWGLuIAAAAJAQAADwAAAAAAAAAAAAAAAAA0BAAAZHJzL2Rvd25yZXYueG1sUEsFBgAA&#10;AAAEAAQA8wAAAEMFAAAAAA==&#10;" strokecolor="#5b9bd5 [3204]" strokeweight=".5pt">
            <v:stroke joinstyle="miter"/>
          </v:line>
        </w:pict>
      </w:r>
      <w:r>
        <w:rPr>
          <w:noProof/>
        </w:rPr>
        <w:pict w14:anchorId="27870195">
          <v:shape id="直接箭头连接符 133" o:spid="_x0000_s2109" type="#_x0000_t32" style="position:absolute;left:0;text-align:left;margin-left:315.65pt;margin-top:7.65pt;width:18.15pt;height: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1l7AEAAP0DAAAOAAAAZHJzL2Uyb0RvYy54bWysU0uOEzEQ3SNxB8t70p1Eg1CUziwywAZB&#10;xOcAHnc5bck/lU06uQQXQGIFrIDV7DkNDMeg7E56ECAkEJtqu6te1atX5eX53hq2A4zau4ZPJzVn&#10;4KRvtds2/MXzB3fucRaTcK0w3kHDDxD5+er2rWUfFjDznTctIKMkLi760PAupbCoqig7sCJOfABH&#10;TuXRikRX3FYtip6yW1PN6vpu1XtsA3oJMdLfi8HJVyW/UiDTE6UiJGYaTtxSsVjsZbbVaikWWxSh&#10;0/JIQ/wDCyu0o6JjqguRBHuJ+pdUVkv00as0kd5WXiktofRA3Uzrn7p51okApRcSJ4ZRpvj/0srH&#10;uw0y3dLs5nPOnLA0pOvXV19fvbv+9PHL26tvn9/k84f3LAeQXH2IC0Kt3QaPtxg2mHvfK7T5S12x&#10;fZH4MEoM+8Qk/ZzN67P6jDN5clU3uIAxPQRvWT40PCYUetultXeO5uhxWhQWu0cxUWUCngC5qHHZ&#10;JqHNfdeydAjUh0D0feZMsdlfZe4D23JKBwMD9ikoEoH4DTXK+sHaINsJWhwhJbg0HTNRdIYpbcwI&#10;rAu5PwKP8RkKZTX/BjwiSmXv0gi22nn8XfW0P1FWQ/xJgaHvLMGlbw9ljkUa2rGi1fE95CX+8V7g&#10;N6929R0AAP//AwBQSwMEFAAGAAgAAAAhAIP/CbbdAAAACQEAAA8AAABkcnMvZG93bnJldi54bWxM&#10;j0FLw0AQhe+C/2EZwZvdxOJq02yKCBU8KDQVvG6zYxKanV2y2yb+e0c86GmYeY833ys3sxvEGcfY&#10;e9KQLzIQSI23PbUa3vfbmwcQMRmyZvCEGr4wwqa6vChNYf1EOzzXqRUcQrEwGrqUQiFlbDp0Ji58&#10;QGLt04/OJF7HVtrRTBzuBnmbZUo60xN/6EzApw6bY31yGrZZ/bz/mFPoj+1b6KaXV8xxpfX11fy4&#10;BpFwTn9m+MFndKiY6eBPZKMYNKhlvmQrC3c82aDUvQJx+D3IqpT/G1TfAAAA//8DAFBLAQItABQA&#10;BgAIAAAAIQC2gziS/gAAAOEBAAATAAAAAAAAAAAAAAAAAAAAAABbQ29udGVudF9UeXBlc10ueG1s&#10;UEsBAi0AFAAGAAgAAAAhADj9If/WAAAAlAEAAAsAAAAAAAAAAAAAAAAALwEAAF9yZWxzLy5yZWxz&#10;UEsBAi0AFAAGAAgAAAAhANS/nWXsAQAA/QMAAA4AAAAAAAAAAAAAAAAALgIAAGRycy9lMm9Eb2Mu&#10;eG1sUEsBAi0AFAAGAAgAAAAhAIP/CbbdAAAACQEAAA8AAAAAAAAAAAAAAAAARgQAAGRycy9kb3du&#10;cmV2LnhtbFBLBQYAAAAABAAEAPMAAABQBQAAAAA=&#10;" strokecolor="#5b9bd5 [3204]" strokeweight=".5pt">
            <v:stroke endarrow="open" joinstyle="miter"/>
          </v:shape>
        </w:pict>
      </w:r>
      <w:r>
        <w:rPr>
          <w:noProof/>
        </w:rPr>
        <w:pict w14:anchorId="0154886D">
          <v:shape id="直接箭头连接符 131" o:spid="_x0000_s2108" type="#_x0000_t32" style="position:absolute;left:0;text-align:left;margin-left:219.95pt;margin-top:6.4pt;width:18.15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wk7gEAAP0DAAAOAAAAZHJzL2Uyb0RvYy54bWysU0uOEzEQ3SNxB8t70p2MBqEonVlkgA2C&#10;iM8BPG47bcl2WWWTTi7BBZBYAStgNXtOA8MxKLuTnhGDkEBsqu12var3nsuLs52zbKswGvANn05q&#10;zpSX0Bq/afirl4/uPeAsJuFbYcGrhu9V5GfLu3cWfZirGXRgW4WMivg470PDu5TCvKqi7JQTcQJB&#10;eTrUgE4k2uKmalH0VN3ZalbX96sesA0IUsVIf8+HQ74s9bVWMj3TOqrEbMOJWyoRS7zIsVouxHyD&#10;InRGHmiIf2DhhPHUdCx1LpJgr9HcKuWMRIig00SCq0BrI1XRQGqm9S9qXnQiqKKFzIlhtCn+v7Ly&#10;6XaNzLR0dydTzrxwdElXby+/v/lw9eXzt/eXP76+y+tPH1lOILv6EOeEWvk1HnYxrDFr32l0+Uuq&#10;2K5YvB8tVrvEJP2cndSn9Sln8nhUXeMCxvRYgWN50fCYUJhNl1bgPd0j4LQ4LLZPYqLOBDwCclPr&#10;c0zC2Ie+ZWkfSIdAhD5zptx8XmXuA9uySnurBuxzpckE4jf0KOOnVhbZVtDgCCmVT0V9qUTZGaaN&#10;tSOwLuT+CDzkZ6gqo/k34BFROoNPI9gZD/i77ml3pKyH/KMDg+5swQW0+3KPxRqaseLV4T3kIb65&#10;L/DrV7v8CQAA//8DAFBLAwQUAAYACAAAACEApxqOtt0AAAAJAQAADwAAAGRycy9kb3ducmV2Lnht&#10;bEyPQUvDQBCF74L/YRnBm900lmpiNkWECh4Umgpet9kxG5qdXbLbJv57Rzzocd77ePNetZndIM44&#10;xt6TguUiA4HUetNTp+B9v725BxGTJqMHT6jgCyNs6suLSpfGT7TDc5M6wSEUS63AphRKKWNr0em4&#10;8AGJvU8/Op34HDtpRj1xuBtknmVr6XRP/MHqgE8W22Nzcgq2WfO8/5hT6I/dW7DTyysusVDq+mp+&#10;fACRcE5/MPzU5+pQc6eDP5GJYlCwui0KRtnIeQIDq7t1DuLwK8i6kv8X1N8AAAD//wMAUEsBAi0A&#10;FAAGAAgAAAAhALaDOJL+AAAA4QEAABMAAAAAAAAAAAAAAAAAAAAAAFtDb250ZW50X1R5cGVzXS54&#10;bWxQSwECLQAUAAYACAAAACEAOP0h/9YAAACUAQAACwAAAAAAAAAAAAAAAAAvAQAAX3JlbHMvLnJl&#10;bHNQSwECLQAUAAYACAAAACEAeAssJO4BAAD9AwAADgAAAAAAAAAAAAAAAAAuAgAAZHJzL2Uyb0Rv&#10;Yy54bWxQSwECLQAUAAYACAAAACEApxqOtt0AAAAJAQAADwAAAAAAAAAAAAAAAABIBAAAZHJzL2Rv&#10;d25yZXYueG1sUEsFBgAAAAAEAAQA8wAAAFIFAAAAAA==&#10;" strokecolor="#5b9bd5 [3204]" strokeweight=".5pt">
            <v:stroke endarrow="open" joinstyle="miter"/>
          </v:shape>
        </w:pict>
      </w:r>
      <w:r>
        <w:rPr>
          <w:noProof/>
        </w:rPr>
        <w:pict w14:anchorId="2302622A">
          <v:shape id="直接箭头连接符 129" o:spid="_x0000_s2107" type="#_x0000_t32" style="position:absolute;left:0;text-align:left;margin-left:76.25pt;margin-top:8.3pt;width:18.1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QEAAAkEAAAOAAAAZHJzL2Uyb0RvYy54bWysU0uOEzEQ3SNxB8t70h+UAaJ0ZpEBNggi&#10;PgfwuO20Jf9UNunOJbgAEitgBaxmz2lmhmNQdic9CBASiI3b7qpX9d5zeXk6GE12AoJytqHVrKRE&#10;WO5aZbcNffXy0Z37lITIbMu0s6KhexHo6er2rWXvF6J2ndOtAIJFbFj0vqFdjH5RFIF3wrAwc15Y&#10;DEoHhkU8wrZogfVY3eiiLsuTonfQenBchIB/z8YgXeX6Ugoen0kZRCS6ocgt5hXyep7WYrVkiy0w&#10;3yl+oMH+gYVhymLTqdQZi4y8BvVLKaM4uOBknHFnCiel4iJrQDVV+ZOaFx3zImtBc4KfbAr/ryx/&#10;utsAUS3eXf2AEssMXtL124urNx+uv3y+fH/x7eu7tP/0kaQEtKv3YYGotd3A4RT8BpL2QYJJX1RF&#10;hobWVTkv6zkl+4bOT6p7eB7tFkMkPCXcxQSMc0zIoeKmhocQHwtnSNo0NERgatvFtbMW79RBld1m&#10;uychIgsEHgGJgLZpjUzph7Ylce9REwNwfeqPuSleJB0j87yLey1G7HMh0RDkN/bIoyjWGsiO4RAx&#10;zoWN1VQJsxNMKq0nYJnJ/RF4yE9Qkcf0b8ATInd2Nk5go6yD33WPw5GyHPOPDoy6kwXnrt3nO83W&#10;4Lxlrw5vIw30j+cMv3nBq+8AAAD//wMAUEsDBBQABgAIAAAAIQDsJmjw3AAAAAkBAAAPAAAAZHJz&#10;L2Rvd25yZXYueG1sTI9BS8NAEIXvgv9hGcGb3bTQEGM2pQgVPCiYCl632Wk2NDu7ZLdN/PdO8aC3&#10;eTOPN9+rNrMbxAXH2HtSsFxkIJBab3rqFHzudw8FiJg0GT14QgXfGGFT395UujR+og+8NKkTHEKx&#10;1ApsSqGUMrYWnY4LH5D4dvSj04nl2Ekz6onD3SBXWZZLp3viD1YHfLbYnpqzU7DLmpf915xCf+re&#10;g51e33CJj0rd383bJxAJ5/Rnhis+o0PNTAd/JhPFwHq9WrOVhzwHcTUUBXc5/C5kXcn/DeofAAAA&#10;//8DAFBLAQItABQABgAIAAAAIQC2gziS/gAAAOEBAAATAAAAAAAAAAAAAAAAAAAAAABbQ29udGVu&#10;dF9UeXBlc10ueG1sUEsBAi0AFAAGAAgAAAAhADj9If/WAAAAlAEAAAsAAAAAAAAAAAAAAAAALwEA&#10;AF9yZWxzLy5yZWxzUEsBAi0AFAAGAAgAAAAhAH+csj75AQAACQQAAA4AAAAAAAAAAAAAAAAALgIA&#10;AGRycy9lMm9Eb2MueG1sUEsBAi0AFAAGAAgAAAAhAOwmaPDcAAAACQEAAA8AAAAAAAAAAAAAAAAA&#10;UwQAAGRycy9kb3ducmV2LnhtbFBLBQYAAAAABAAEAPMAAABcBQAAAAA=&#10;" strokecolor="#5b9bd5 [3204]" strokeweight=".5pt">
            <v:stroke endarrow="open" joinstyle="miter"/>
          </v:shape>
        </w:pict>
      </w:r>
      <w:r>
        <w:rPr>
          <w:noProof/>
        </w:rPr>
        <w:pict w14:anchorId="2D7CB150">
          <v:shape id="直接箭头连接符 130" o:spid="_x0000_s2106" type="#_x0000_t32" style="position:absolute;left:0;text-align:left;margin-left:122.45pt;margin-top:8.3pt;width:18.1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QE7QEAAP0DAAAOAAAAZHJzL2Uyb0RvYy54bWysU82OEzEMviPxDlHudKZdLUJVp3voAhcE&#10;FT8PkM0knUhJHDmh074EL4DECTgBp73zNLA8Bk6mnV2xCAnExZOM/dmfPzuLs52zbKswGvANn05q&#10;zpSX0Bq/afirl4/uPeAsJuFbYcGrhu9V5GfLu3cWfZirGXRgW4WMkvg470PDu5TCvKqi7JQTcQJB&#10;eXJqQCcSXXFTtSh6yu5sNavr+1UP2AYEqWKkv+eDky9Lfq2VTM+0jiox23DilorFYi+yrZYLMd+g&#10;CJ2RBxriH1g4YTwVHVOdiyTYazS3UjkjESLoNJHgKtDaSFV6oG6m9S/dvOhEUKUXEieGUab4/9LK&#10;p9s1MtPS7E5IHy8cDenq7eX3Nx+uvnz+9v7yx9d3+fzpI8sBJFcf4pxQK7/Gwy2GNebedxpd/lJX&#10;bFck3o8Sq11ikn7OTurT+pQzeXRV17iAMT1W4Fg+NDwmFGbTpRV4T3MEnBaFxfZJTFSZgEdALmp9&#10;tkkY+9C3LO0D9SEQoc+cKTb7q8x9YFtOaW/VgH2uNIlA/IYaZf3UyiLbClocIaXyaTpmougM08ba&#10;EVgXcn8EHuIzVJXV/BvwiCiVwacR7IwH/F31tDtS1kP8UYGh7yzBBbT7MsciDe1Y0erwHvIS37wX&#10;+PWrXf4EAAD//wMAUEsDBBQABgAIAAAAIQDGqQ0+3AAAAAkBAAAPAAAAZHJzL2Rvd25yZXYueG1s&#10;TI/BSsQwEIbvgu8QRvDmpi1L2a1NFxFW8KBgV/CabcambDMJTXZb394RD3qc+T/++abeLW4UF5zi&#10;4ElBvspAIHXeDNQreD/s7zYgYtJk9OgJFXxhhF1zfVXryviZ3vDSpl5wCcVKK7AphUrK2Fl0Oq58&#10;QOLs009OJx6nXppJz1zuRllkWSmdHogvWB3w0WJ3as9OwT5rnw4fSwrDqX8Ndn5+wRy3St3eLA/3&#10;IBIu6Q+GH31Wh4adjv5MJopRQbFebxnloCxBMFBs8gLE8Xchm1r+/6D5BgAA//8DAFBLAQItABQA&#10;BgAIAAAAIQC2gziS/gAAAOEBAAATAAAAAAAAAAAAAAAAAAAAAABbQ29udGVudF9UeXBlc10ueG1s&#10;UEsBAi0AFAAGAAgAAAAhADj9If/WAAAAlAEAAAsAAAAAAAAAAAAAAAAALwEAAF9yZWxzLy5yZWxz&#10;UEsBAi0AFAAGAAgAAAAhAC7R9ATtAQAA/QMAAA4AAAAAAAAAAAAAAAAALgIAAGRycy9lMm9Eb2Mu&#10;eG1sUEsBAi0AFAAGAAgAAAAhAMapDT7cAAAACQEAAA8AAAAAAAAAAAAAAAAARwQAAGRycy9kb3du&#10;cmV2LnhtbFBLBQYAAAAABAAEAPMAAABQBQAAAAA=&#10;" strokecolor="#5b9bd5 [3204]" strokeweight=".5pt">
            <v:stroke endarrow="open" joinstyle="miter"/>
          </v:shape>
        </w:pict>
      </w:r>
      <w:r w:rsidR="0008059E">
        <w:rPr>
          <w:rFonts w:hint="eastAsia"/>
        </w:rPr>
        <w:t>准备工作</w:t>
      </w:r>
      <w:r w:rsidR="0008059E">
        <w:rPr>
          <w:rFonts w:hint="eastAsia"/>
        </w:rPr>
        <w:t xml:space="preserve">    </w:t>
      </w:r>
      <w:r w:rsidR="0008059E">
        <w:rPr>
          <w:rFonts w:hint="eastAsia"/>
        </w:rPr>
        <w:t>放线</w:t>
      </w:r>
      <w:r w:rsidR="0008059E">
        <w:rPr>
          <w:rFonts w:hint="eastAsia"/>
        </w:rPr>
        <w:t xml:space="preserve">    </w:t>
      </w:r>
      <w:r w:rsidR="0008059E">
        <w:rPr>
          <w:rFonts w:hint="eastAsia"/>
        </w:rPr>
        <w:t>铺设水泥砂浆</w:t>
      </w:r>
      <w:r w:rsidR="0008059E">
        <w:rPr>
          <w:rFonts w:hint="eastAsia"/>
        </w:rPr>
        <w:t xml:space="preserve">    </w:t>
      </w:r>
      <w:r w:rsidR="0008059E">
        <w:rPr>
          <w:rFonts w:hint="eastAsia"/>
        </w:rPr>
        <w:t>铺设砂石垫层</w:t>
      </w:r>
      <w:r w:rsidR="0008059E">
        <w:rPr>
          <w:rFonts w:hint="eastAsia"/>
        </w:rPr>
        <w:t xml:space="preserve">    </w:t>
      </w:r>
      <w:r w:rsidR="0008059E">
        <w:rPr>
          <w:rFonts w:hint="eastAsia"/>
        </w:rPr>
        <w:t>铺水泥方砖</w:t>
      </w:r>
    </w:p>
    <w:p w14:paraId="3B3487F1" w14:textId="77777777" w:rsidR="005A1A44" w:rsidRDefault="00000000">
      <w:pPr>
        <w:tabs>
          <w:tab w:val="left" w:pos="2250"/>
        </w:tabs>
        <w:ind w:firstLine="480"/>
      </w:pPr>
      <w:r>
        <w:rPr>
          <w:noProof/>
        </w:rPr>
        <w:pict w14:anchorId="23AB170E">
          <v:shape id="直接箭头连接符 132" o:spid="_x0000_s2105" type="#_x0000_t32" style="position:absolute;left:0;text-align:left;margin-left:329.45pt;margin-top:9.85pt;width:38.05pt;height:0;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Nf9AEAAAcEAAAOAAAAZHJzL2Uyb0RvYy54bWysU0uOEzEQ3SNxB8t70p0E0KiVziwyfBYI&#10;ImAO4HHbaUv+qWzS3ZfgAkisgBXDavacBmaOQdmdNAgQEohNyZ96z/VelVenvdFkLyAoZ2s6n5WU&#10;CMtdo+yupucvH945oSREZhumnRU1HUSgp+vbt1adr8TCtU43AgiS2FB1vqZtjL4qisBbYViYOS8s&#10;XkoHhkXcwq5ogHXIbnSxKMv7Reeg8eC4CAFPz8ZLus78Ugoen0kZRCS6plhbzBFyvEixWK9YtQPm&#10;W8UPZbB/qMIwZfHRieqMRUZegfqFyigOLjgZZ9yZwkmpuMgaUM28/EnNi5Z5kbWgOcFPNoX/R8uf&#10;7rdAVIO9Wy4oscxgk67fXH19/f760+WXd1c3n9+m9ccPJCWgXZ0PFaI2dguHXfBbSNp7CYZIrfxj&#10;ZMtuoD7SZ7OHyWzRR8Lx8O7JcrG8Rwk/XhUjQ2LyEOIj4QxJi5qGCEzt2rhx1mJHHYzsbP8kRKwB&#10;gUdAAmubYmRKP7ANiYNHRQzAdal6zE33RVIx1p1XcdBixD4XEu3A+sY38iCKjQayZzhCjHNh43xi&#10;wuwEk0rrCVhm6X8EHvITVOQh/RvwhMgvOxsnsFHWwe9ej/2xZDnmHx0YdScLLlwz5I5ma3DasleH&#10;n5HG+cd9hn//v+tvAAAA//8DAFBLAwQUAAYACAAAACEAX4v2090AAAAJAQAADwAAAGRycy9kb3du&#10;cmV2LnhtbEyPzU7DMBCE70i8g7VI3KgDqH8hTlUVKnHgQmjF1Y2XOEq8jmKnCTw9izjAcWc+zc5k&#10;m8m14ox9qD0puJ0lIJBKb2qqFBze9jcrECFqMrr1hAo+McAmv7zIdGr8SK94LmIlOIRCqhXYGLtU&#10;ylBadDrMfIfE3ofvnY589pU0vR453LXyLkkW0uma+IPVHe4slk0xOAWPX+9DkzxvX0Yfi/1xsk+4&#10;6xulrq+m7QOIiFP8g+GnPleHnDud/EAmiFbBYr5aM8rGegmCgeX9nMedfgWZZ/L/gvwbAAD//wMA&#10;UEsBAi0AFAAGAAgAAAAhALaDOJL+AAAA4QEAABMAAAAAAAAAAAAAAAAAAAAAAFtDb250ZW50X1R5&#10;cGVzXS54bWxQSwECLQAUAAYACAAAACEAOP0h/9YAAACUAQAACwAAAAAAAAAAAAAAAAAvAQAAX3Jl&#10;bHMvLnJlbHNQSwECLQAUAAYACAAAACEABQUDX/QBAAAHBAAADgAAAAAAAAAAAAAAAAAuAgAAZHJz&#10;L2Uyb0RvYy54bWxQSwECLQAUAAYACAAAACEAX4v2090AAAAJAQAADwAAAAAAAAAAAAAAAABOBAAA&#10;ZHJzL2Rvd25yZXYueG1sUEsFBgAAAAAEAAQA8wAAAFgFAAAAAA==&#10;" strokecolor="#5b9bd5 [3204]" strokeweight=".5pt">
            <v:stroke endarrow="open" joinstyle="miter"/>
          </v:shape>
        </w:pict>
      </w:r>
      <w:r>
        <w:rPr>
          <w:noProof/>
        </w:rPr>
        <w:pict w14:anchorId="75A02CC4">
          <v:shape id="直接箭头连接符 136" o:spid="_x0000_s2104" type="#_x0000_t32" style="position:absolute;left:0;text-align:left;margin-left:231.85pt;margin-top:9.4pt;width:30.05pt;height:.5pt;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Fs9wEAAAoEAAAOAAAAZHJzL2Uyb0RvYy54bWysU0uOEzEQ3SNxB8t70p2JiEatdGaR4bNA&#10;EPE5gMdtpy35p7JJd1+CCyCxAlYwq9lzGmbmGJTdSYMAIYHYWP7Ue1XvVXl11htN9gKCcram81lJ&#10;ibDcNcruavrq5cN7p5SEyGzDtLOipoMI9Gx9986q85U4ca3TjQCCJDZUna9pG6OviiLwVhgWZs4L&#10;i4/SgWERj7ArGmAdshtdnJTlsugcNB4cFyHg7fn4SNeZX0rB4zMpg4hE1xRri3mFvF6ktVivWLUD&#10;5lvFD2Wwf6jCMGUx6UR1ziIjr0H9QmUUBxecjDPuTOGkVFxkDahmXv6k5kXLvMha0JzgJ5vC/6Pl&#10;T/dbIKrB3i2WlFhmsEk3b6+u33y4ufz89f3V7Zd3af/pI0kBaFfnQ4Wojd3C4RT8FpL2XoIhUiv/&#10;GNmyG6iP9NnsYTJb9JFwvFyczpeL+5RwfMJNbkUxkiQyDyE+Es6QtKlpiMDUro0bZy021cGYgO2f&#10;hIhlIPAISGBt0xqZ0g9sQ+LgURQDcF0SgLHpvUhCxtLzLg5ajNjnQqIjWOKYI8+i2Ggge4ZTxDgX&#10;Ns4nJoxOMKm0noBlVv9H4CE+QUWe078BT4ic2dk4gY2yDn6XPfbHkuUYf3Rg1J0suHDNkJuarcGB&#10;y14dPkea6B/PGf79C6+/AQAA//8DAFBLAwQUAAYACAAAACEAaZ40594AAAAJAQAADwAAAGRycy9k&#10;b3ducmV2LnhtbEyPQU/DMAyF70j8h8hI3FjKBqOUptM0mMRhFwqIa9aYpmrjVE26Fn495gQ32+/p&#10;+Xv5ZnadOOEQGk8KrhcJCKTKm4ZqBW+v+6sURIiajO48oYIvDLApzs9ynRk/0QueylgLDqGQaQU2&#10;xj6TMlQWnQ4L3yOx9ukHpyOvQy3NoCcOd51cJslaOt0Qf7C6x53Fqi1Hp+Dx+2Nsk+ftYfKx3L/P&#10;9gl3Q6vU5cW8fQARcY5/ZvjFZ3QomOnoRzJBdApu1qs7trKQcgU23C5XPBz5cJ+CLHL5v0HxAwAA&#10;//8DAFBLAQItABQABgAIAAAAIQC2gziS/gAAAOEBAAATAAAAAAAAAAAAAAAAAAAAAABbQ29udGVu&#10;dF9UeXBlc10ueG1sUEsBAi0AFAAGAAgAAAAhADj9If/WAAAAlAEAAAsAAAAAAAAAAAAAAAAALwEA&#10;AF9yZWxzLy5yZWxzUEsBAi0AFAAGAAgAAAAhAA1LoWz3AQAACgQAAA4AAAAAAAAAAAAAAAAALgIA&#10;AGRycy9lMm9Eb2MueG1sUEsBAi0AFAAGAAgAAAAhAGmeNOfeAAAACQEAAA8AAAAAAAAAAAAAAAAA&#10;UQQAAGRycy9kb3ducmV2LnhtbFBLBQYAAAAABAAEAPMAAABcBQAAAAA=&#10;" strokecolor="#5b9bd5 [3204]" strokeweight=".5pt">
            <v:stroke endarrow="open" joinstyle="miter"/>
          </v:shape>
        </w:pict>
      </w:r>
      <w:r w:rsidR="0008059E">
        <w:rPr>
          <w:rFonts w:hint="eastAsia"/>
        </w:rPr>
        <w:t xml:space="preserve">                     C30</w:t>
      </w:r>
      <w:r w:rsidR="0008059E">
        <w:rPr>
          <w:rFonts w:hint="eastAsia"/>
        </w:rPr>
        <w:t>路沿石铺设</w:t>
      </w:r>
      <w:r w:rsidR="0008059E">
        <w:rPr>
          <w:rFonts w:hint="eastAsia"/>
        </w:rPr>
        <w:t xml:space="preserve">      </w:t>
      </w:r>
      <w:r w:rsidR="0008059E">
        <w:rPr>
          <w:rFonts w:hint="eastAsia"/>
        </w:rPr>
        <w:t>灌缝、压缝</w:t>
      </w:r>
      <w:r w:rsidR="0008059E">
        <w:rPr>
          <w:rFonts w:hint="eastAsia"/>
        </w:rPr>
        <w:t xml:space="preserve"> </w:t>
      </w:r>
    </w:p>
    <w:p w14:paraId="694FF74C" w14:textId="77777777" w:rsidR="005A1A44" w:rsidRDefault="005A1A44">
      <w:pPr>
        <w:ind w:firstLineChars="0" w:firstLine="0"/>
        <w:jc w:val="center"/>
        <w:rPr>
          <w:rFonts w:ascii="黑体" w:eastAsia="黑体" w:hAnsi="黑体" w:cs="黑体" w:hint="eastAsia"/>
        </w:rPr>
      </w:pPr>
    </w:p>
    <w:p w14:paraId="3BCF1B24"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t>图3.5-3   绿行慢道施工工艺</w:t>
      </w:r>
    </w:p>
    <w:p w14:paraId="13510993" w14:textId="77777777" w:rsidR="005A1A44" w:rsidRDefault="005A1A44">
      <w:pPr>
        <w:tabs>
          <w:tab w:val="left" w:pos="2250"/>
        </w:tabs>
        <w:ind w:firstLine="480"/>
        <w:rPr>
          <w:color w:val="FFFFFF" w:themeColor="background1"/>
        </w:rPr>
      </w:pPr>
    </w:p>
    <w:p w14:paraId="26E9098C" w14:textId="77777777" w:rsidR="005A1A44" w:rsidRDefault="0008059E">
      <w:pPr>
        <w:pStyle w:val="4"/>
        <w:numPr>
          <w:ilvl w:val="3"/>
          <w:numId w:val="2"/>
        </w:numPr>
      </w:pPr>
      <w:r>
        <w:rPr>
          <w:rFonts w:hint="eastAsia"/>
        </w:rPr>
        <w:lastRenderedPageBreak/>
        <w:t xml:space="preserve"> </w:t>
      </w:r>
      <w:r>
        <w:rPr>
          <w:rFonts w:hint="eastAsia"/>
        </w:rPr>
        <w:t>特色景观</w:t>
      </w:r>
    </w:p>
    <w:p w14:paraId="551FFBBA" w14:textId="77777777" w:rsidR="005A1A44" w:rsidRDefault="0008059E">
      <w:pPr>
        <w:ind w:firstLine="480"/>
      </w:pPr>
      <w:r>
        <w:rPr>
          <w:rFonts w:hint="eastAsia"/>
        </w:rPr>
        <w:t>河道两岸特色景观工程的施工建设涉及土方工程、混凝土工程、模板工程、钢筋工程、砌筑工程、园路工程、铺装工程等。</w:t>
      </w:r>
    </w:p>
    <w:p w14:paraId="4708ED6E" w14:textId="77777777" w:rsidR="005A1A44" w:rsidRDefault="0008059E">
      <w:pPr>
        <w:ind w:firstLine="480"/>
      </w:pPr>
      <w:r>
        <w:rPr>
          <w:rFonts w:hint="eastAsia"/>
        </w:rPr>
        <w:t>土方工程是各种景观施工中第一道工序，一般包括：场地平整，测量放线、基坑（槽）、管沟的开挖，房心回填土及基坑回填。产污环节与防洪堤工程类似。</w:t>
      </w:r>
    </w:p>
    <w:p w14:paraId="3C896D27" w14:textId="77777777" w:rsidR="005A1A44" w:rsidRDefault="0008059E">
      <w:pPr>
        <w:ind w:firstLine="480"/>
      </w:pPr>
      <w:r>
        <w:rPr>
          <w:rFonts w:hint="eastAsia"/>
        </w:rPr>
        <w:t>混凝土工程采用商用砼，对项目区的影响较小。</w:t>
      </w:r>
    </w:p>
    <w:p w14:paraId="7F2D42FC" w14:textId="77777777" w:rsidR="005A1A44" w:rsidRDefault="0008059E">
      <w:pPr>
        <w:ind w:firstLine="480"/>
      </w:pPr>
      <w:r>
        <w:rPr>
          <w:rFonts w:hint="eastAsia"/>
        </w:rPr>
        <w:t>模板工程施工工艺：放样</w:t>
      </w:r>
      <w:r>
        <w:rPr>
          <w:rFonts w:hint="eastAsia"/>
        </w:rPr>
        <w:t>-----</w:t>
      </w:r>
      <w:r>
        <w:rPr>
          <w:rFonts w:hint="eastAsia"/>
        </w:rPr>
        <w:t>模板制作</w:t>
      </w:r>
      <w:r>
        <w:rPr>
          <w:rFonts w:hint="eastAsia"/>
        </w:rPr>
        <w:t>-----</w:t>
      </w:r>
      <w:r>
        <w:rPr>
          <w:rFonts w:hint="eastAsia"/>
        </w:rPr>
        <w:t>模板安装</w:t>
      </w:r>
      <w:r>
        <w:rPr>
          <w:rFonts w:hint="eastAsia"/>
        </w:rPr>
        <w:t>------</w:t>
      </w:r>
      <w:r>
        <w:rPr>
          <w:rFonts w:hint="eastAsia"/>
        </w:rPr>
        <w:t>支撑加固。主要产生噪声、固体废物和废气等。</w:t>
      </w:r>
    </w:p>
    <w:p w14:paraId="066FCB3D" w14:textId="77777777" w:rsidR="005A1A44" w:rsidRDefault="0008059E">
      <w:pPr>
        <w:ind w:firstLine="480"/>
      </w:pPr>
      <w:r>
        <w:rPr>
          <w:rFonts w:hint="eastAsia"/>
        </w:rPr>
        <w:t>钢筋工程工艺流程：翻样</w:t>
      </w:r>
      <w:r>
        <w:rPr>
          <w:rFonts w:hint="eastAsia"/>
        </w:rPr>
        <w:t>----</w:t>
      </w:r>
      <w:r>
        <w:rPr>
          <w:rFonts w:hint="eastAsia"/>
        </w:rPr>
        <w:t>配筋</w:t>
      </w:r>
      <w:r>
        <w:rPr>
          <w:rFonts w:hint="eastAsia"/>
        </w:rPr>
        <w:t>----</w:t>
      </w:r>
      <w:r>
        <w:rPr>
          <w:rFonts w:hint="eastAsia"/>
        </w:rPr>
        <w:t>加工制作</w:t>
      </w:r>
      <w:r>
        <w:rPr>
          <w:rFonts w:hint="eastAsia"/>
        </w:rPr>
        <w:t>---</w:t>
      </w:r>
      <w:r>
        <w:rPr>
          <w:rFonts w:hint="eastAsia"/>
        </w:rPr>
        <w:t>安装绑扎</w:t>
      </w:r>
      <w:r>
        <w:rPr>
          <w:rFonts w:hint="eastAsia"/>
        </w:rPr>
        <w:t>---</w:t>
      </w:r>
      <w:r>
        <w:rPr>
          <w:rFonts w:hint="eastAsia"/>
        </w:rPr>
        <w:t>安放保护层垫块。主要产生噪声、固体废物和废气等。</w:t>
      </w:r>
    </w:p>
    <w:p w14:paraId="09D4A939" w14:textId="77777777" w:rsidR="005A1A44" w:rsidRDefault="0008059E">
      <w:pPr>
        <w:ind w:firstLine="480"/>
      </w:pPr>
      <w:r>
        <w:rPr>
          <w:rFonts w:hint="eastAsia"/>
        </w:rPr>
        <w:t>砌筑工程是指用砖石砌筑建筑物体的工程，也称砖石工程。由砂浆制备，搭设脚手架，然后用砖和石子与砂浆砌筑成一体的施工工程。主要产生噪声、固废、废水等。</w:t>
      </w:r>
    </w:p>
    <w:p w14:paraId="3E6C9CD0" w14:textId="77777777" w:rsidR="005A1A44" w:rsidRDefault="0008059E">
      <w:pPr>
        <w:ind w:firstLine="480"/>
      </w:pPr>
      <w:r>
        <w:rPr>
          <w:rFonts w:hint="eastAsia"/>
        </w:rPr>
        <w:t>园路工程的工艺：路基</w:t>
      </w:r>
      <w:r>
        <w:rPr>
          <w:rFonts w:hint="eastAsia"/>
        </w:rPr>
        <w:t>----</w:t>
      </w:r>
      <w:r>
        <w:rPr>
          <w:rFonts w:hint="eastAsia"/>
        </w:rPr>
        <w:t>垫层</w:t>
      </w:r>
      <w:r>
        <w:rPr>
          <w:rFonts w:hint="eastAsia"/>
        </w:rPr>
        <w:t>----</w:t>
      </w:r>
      <w:r>
        <w:rPr>
          <w:rFonts w:hint="eastAsia"/>
        </w:rPr>
        <w:t>混凝土垫层</w:t>
      </w:r>
      <w:r>
        <w:rPr>
          <w:rFonts w:hint="eastAsia"/>
        </w:rPr>
        <w:t>----</w:t>
      </w:r>
      <w:r>
        <w:rPr>
          <w:rFonts w:hint="eastAsia"/>
        </w:rPr>
        <w:t>结合层</w:t>
      </w:r>
      <w:r>
        <w:rPr>
          <w:rFonts w:hint="eastAsia"/>
        </w:rPr>
        <w:t>----</w:t>
      </w:r>
      <w:r>
        <w:rPr>
          <w:rFonts w:hint="eastAsia"/>
        </w:rPr>
        <w:t>面层，主要产生噪声、固废、废水、废气。</w:t>
      </w:r>
    </w:p>
    <w:p w14:paraId="67C8BEBD" w14:textId="77777777" w:rsidR="005A1A44" w:rsidRDefault="0008059E">
      <w:pPr>
        <w:ind w:firstLine="480"/>
      </w:pPr>
      <w:r>
        <w:rPr>
          <w:rFonts w:hint="eastAsia"/>
        </w:rPr>
        <w:t>（</w:t>
      </w:r>
      <w:r>
        <w:rPr>
          <w:rFonts w:hint="eastAsia"/>
        </w:rPr>
        <w:t>1</w:t>
      </w:r>
      <w:r>
        <w:rPr>
          <w:rFonts w:hint="eastAsia"/>
        </w:rPr>
        <w:t>）路基：是路面的基础。一般粘土或砂土开挖后用蛙式夯夯实三遍，就可作为路基。严重的过湿冻胀土或湿软呈橡皮状土及虚填土，宜采用</w:t>
      </w:r>
      <w:r>
        <w:rPr>
          <w:rFonts w:hint="eastAsia"/>
        </w:rPr>
        <w:t>1</w:t>
      </w:r>
      <w:r>
        <w:rPr>
          <w:rFonts w:hint="eastAsia"/>
        </w:rPr>
        <w:t>：</w:t>
      </w:r>
      <w:r>
        <w:rPr>
          <w:rFonts w:hint="eastAsia"/>
        </w:rPr>
        <w:t>9</w:t>
      </w:r>
      <w:r>
        <w:rPr>
          <w:rFonts w:hint="eastAsia"/>
        </w:rPr>
        <w:t>或</w:t>
      </w:r>
      <w:r>
        <w:rPr>
          <w:rFonts w:hint="eastAsia"/>
        </w:rPr>
        <w:t>2</w:t>
      </w:r>
      <w:r>
        <w:rPr>
          <w:rFonts w:hint="eastAsia"/>
        </w:rPr>
        <w:t>：</w:t>
      </w:r>
      <w:r>
        <w:rPr>
          <w:rFonts w:hint="eastAsia"/>
        </w:rPr>
        <w:t>8</w:t>
      </w:r>
      <w:r>
        <w:rPr>
          <w:rFonts w:hint="eastAsia"/>
        </w:rPr>
        <w:t>灰土加固路基，其厚度一般为</w:t>
      </w:r>
      <w:r>
        <w:rPr>
          <w:rFonts w:hint="eastAsia"/>
        </w:rPr>
        <w:t>15cm</w:t>
      </w:r>
      <w:r>
        <w:rPr>
          <w:rFonts w:hint="eastAsia"/>
        </w:rPr>
        <w:t>。</w:t>
      </w:r>
    </w:p>
    <w:p w14:paraId="1B4A3713" w14:textId="77777777" w:rsidR="005A1A44" w:rsidRDefault="0008059E">
      <w:pPr>
        <w:ind w:firstLine="480"/>
      </w:pPr>
      <w:r>
        <w:rPr>
          <w:rFonts w:hint="eastAsia"/>
        </w:rPr>
        <w:t>（</w:t>
      </w:r>
      <w:r>
        <w:rPr>
          <w:rFonts w:hint="eastAsia"/>
        </w:rPr>
        <w:t>2</w:t>
      </w:r>
      <w:r>
        <w:rPr>
          <w:rFonts w:hint="eastAsia"/>
        </w:rPr>
        <w:t>）垫层：一般在土基之上，起承重作用。一般用碎石、灰土或各种工业废渣等组成。</w:t>
      </w:r>
    </w:p>
    <w:p w14:paraId="092F8249" w14:textId="77777777" w:rsidR="005A1A44" w:rsidRDefault="0008059E">
      <w:pPr>
        <w:ind w:firstLine="480"/>
      </w:pPr>
      <w:r>
        <w:rPr>
          <w:rFonts w:hint="eastAsia"/>
        </w:rPr>
        <w:t>（</w:t>
      </w:r>
      <w:r>
        <w:rPr>
          <w:rFonts w:hint="eastAsia"/>
        </w:rPr>
        <w:t>3</w:t>
      </w:r>
      <w:r>
        <w:rPr>
          <w:rFonts w:hint="eastAsia"/>
        </w:rPr>
        <w:t>）混凝土垫层：一般绿地均为回填土，垫层上浇筑混凝土</w:t>
      </w:r>
      <w:r>
        <w:rPr>
          <w:rFonts w:hint="eastAsia"/>
        </w:rPr>
        <w:t>8</w:t>
      </w:r>
      <w:r>
        <w:rPr>
          <w:rFonts w:hint="eastAsia"/>
        </w:rPr>
        <w:t>—</w:t>
      </w:r>
      <w:r>
        <w:rPr>
          <w:rFonts w:hint="eastAsia"/>
        </w:rPr>
        <w:t>10cm</w:t>
      </w:r>
      <w:r>
        <w:rPr>
          <w:rFonts w:hint="eastAsia"/>
        </w:rPr>
        <w:t>，组成园路基层。</w:t>
      </w:r>
    </w:p>
    <w:p w14:paraId="7EA5EEB3" w14:textId="77777777" w:rsidR="005A1A44" w:rsidRDefault="0008059E">
      <w:pPr>
        <w:ind w:firstLine="480"/>
      </w:pPr>
      <w:r>
        <w:rPr>
          <w:rFonts w:hint="eastAsia"/>
        </w:rPr>
        <w:t>（</w:t>
      </w:r>
      <w:r>
        <w:rPr>
          <w:rFonts w:hint="eastAsia"/>
        </w:rPr>
        <w:t>4</w:t>
      </w:r>
      <w:r>
        <w:rPr>
          <w:rFonts w:hint="eastAsia"/>
        </w:rPr>
        <w:t>）结合层：在采用块料铺筑面层时，在面层和基层之间，为了结合和找平面设置的一层。一般用</w:t>
      </w:r>
      <w:r>
        <w:rPr>
          <w:rFonts w:hint="eastAsia"/>
        </w:rPr>
        <w:t>3</w:t>
      </w:r>
      <w:r>
        <w:rPr>
          <w:rFonts w:hint="eastAsia"/>
        </w:rPr>
        <w:t>—</w:t>
      </w:r>
      <w:r>
        <w:rPr>
          <w:rFonts w:hint="eastAsia"/>
        </w:rPr>
        <w:t>5c m</w:t>
      </w:r>
      <w:r>
        <w:rPr>
          <w:rFonts w:hint="eastAsia"/>
        </w:rPr>
        <w:t>的粗砂、水泥浆或白灰砂浆。</w:t>
      </w:r>
    </w:p>
    <w:p w14:paraId="3EC35478" w14:textId="77777777" w:rsidR="005A1A44" w:rsidRDefault="0008059E">
      <w:pPr>
        <w:ind w:firstLine="480"/>
      </w:pPr>
      <w:r>
        <w:rPr>
          <w:rFonts w:hint="eastAsia"/>
        </w:rPr>
        <w:t>（</w:t>
      </w:r>
      <w:r>
        <w:rPr>
          <w:rFonts w:hint="eastAsia"/>
        </w:rPr>
        <w:t>5</w:t>
      </w:r>
      <w:r>
        <w:rPr>
          <w:rFonts w:hint="eastAsia"/>
        </w:rPr>
        <w:t>）面层：路面最上层。</w:t>
      </w:r>
    </w:p>
    <w:p w14:paraId="668C5AC8" w14:textId="77777777" w:rsidR="005A1A44" w:rsidRDefault="0008059E">
      <w:pPr>
        <w:ind w:firstLine="480"/>
      </w:pPr>
      <w:r>
        <w:rPr>
          <w:rFonts w:hint="eastAsia"/>
        </w:rPr>
        <w:t>铺装工艺流程（地面）：基层处理</w:t>
      </w:r>
      <w:r>
        <w:rPr>
          <w:rFonts w:hint="eastAsia"/>
        </w:rPr>
        <w:t>---</w:t>
      </w:r>
      <w:r>
        <w:rPr>
          <w:rFonts w:hint="eastAsia"/>
        </w:rPr>
        <w:t>找规矩（试铺）</w:t>
      </w:r>
      <w:r>
        <w:rPr>
          <w:rFonts w:hint="eastAsia"/>
        </w:rPr>
        <w:t>--</w:t>
      </w:r>
      <w:r>
        <w:rPr>
          <w:rFonts w:hint="eastAsia"/>
        </w:rPr>
        <w:t>铺灰批浆—粘贴擦缝。</w:t>
      </w:r>
    </w:p>
    <w:p w14:paraId="318386AB" w14:textId="77777777" w:rsidR="005A1A44" w:rsidRDefault="0008059E">
      <w:pPr>
        <w:ind w:firstLine="480"/>
      </w:pPr>
      <w:r>
        <w:rPr>
          <w:rFonts w:hint="eastAsia"/>
        </w:rPr>
        <w:t>铺装工艺流程（墙面）：基层处理</w:t>
      </w:r>
      <w:r>
        <w:rPr>
          <w:rFonts w:hint="eastAsia"/>
        </w:rPr>
        <w:t>---</w:t>
      </w:r>
      <w:r>
        <w:rPr>
          <w:rFonts w:hint="eastAsia"/>
        </w:rPr>
        <w:t>找规矩（试拼）</w:t>
      </w:r>
      <w:r>
        <w:rPr>
          <w:rFonts w:hint="eastAsia"/>
        </w:rPr>
        <w:t>---</w:t>
      </w:r>
      <w:r>
        <w:rPr>
          <w:rFonts w:hint="eastAsia"/>
        </w:rPr>
        <w:t>钻孔穿铜丝</w:t>
      </w:r>
      <w:r>
        <w:rPr>
          <w:rFonts w:hint="eastAsia"/>
        </w:rPr>
        <w:t>---</w:t>
      </w:r>
      <w:r>
        <w:rPr>
          <w:rFonts w:hint="eastAsia"/>
        </w:rPr>
        <w:t>扎钢筋网</w:t>
      </w:r>
      <w:r>
        <w:rPr>
          <w:rFonts w:hint="eastAsia"/>
        </w:rPr>
        <w:lastRenderedPageBreak/>
        <w:t>—安装—灌浆—擦缝。</w:t>
      </w:r>
    </w:p>
    <w:p w14:paraId="1DD22A0F" w14:textId="77777777" w:rsidR="005A1A44" w:rsidRDefault="0008059E">
      <w:pPr>
        <w:ind w:firstLine="480"/>
      </w:pPr>
      <w:r>
        <w:rPr>
          <w:rFonts w:hint="eastAsia"/>
        </w:rPr>
        <w:t>铺装工程主要产生噪声、固废等。</w:t>
      </w:r>
    </w:p>
    <w:p w14:paraId="22A4566C" w14:textId="77777777" w:rsidR="005A1A44" w:rsidRDefault="0008059E">
      <w:pPr>
        <w:pStyle w:val="4"/>
        <w:numPr>
          <w:ilvl w:val="3"/>
          <w:numId w:val="2"/>
        </w:numPr>
      </w:pPr>
      <w:r>
        <w:rPr>
          <w:rFonts w:hint="eastAsia"/>
        </w:rPr>
        <w:t xml:space="preserve"> </w:t>
      </w:r>
      <w:r>
        <w:rPr>
          <w:rFonts w:hint="eastAsia"/>
        </w:rPr>
        <w:t>施工导流</w:t>
      </w:r>
    </w:p>
    <w:p w14:paraId="15941FF7" w14:textId="77777777" w:rsidR="005A1A44" w:rsidRDefault="0008059E">
      <w:pPr>
        <w:ind w:firstLine="480"/>
        <w:jc w:val="left"/>
      </w:pPr>
      <w:r>
        <w:rPr>
          <w:rFonts w:hint="eastAsia"/>
        </w:rPr>
        <w:t>（</w:t>
      </w:r>
      <w:r>
        <w:rPr>
          <w:rFonts w:hint="eastAsia"/>
        </w:rPr>
        <w:t>1</w:t>
      </w:r>
      <w:r>
        <w:rPr>
          <w:rFonts w:hint="eastAsia"/>
        </w:rPr>
        <w:t>）导流工程级别及设防标准</w:t>
      </w:r>
    </w:p>
    <w:p w14:paraId="6E9AF914" w14:textId="77777777" w:rsidR="005A1A44" w:rsidRDefault="0008059E">
      <w:pPr>
        <w:ind w:firstLine="480"/>
        <w:jc w:val="left"/>
      </w:pPr>
      <w:r>
        <w:rPr>
          <w:rFonts w:hint="eastAsia"/>
        </w:rPr>
        <w:t>本工程主要建筑物级别为</w:t>
      </w:r>
      <w:r>
        <w:rPr>
          <w:rFonts w:hint="eastAsia"/>
        </w:rPr>
        <w:t>2</w:t>
      </w:r>
      <w:r>
        <w:rPr>
          <w:rFonts w:hint="eastAsia"/>
        </w:rPr>
        <w:t>级，临时工程为施工导流围堰，根据《水利水电工程等级划分及洪水标准》（</w:t>
      </w:r>
      <w:r>
        <w:rPr>
          <w:rFonts w:hint="eastAsia"/>
        </w:rPr>
        <w:t>SL252-2000</w:t>
      </w:r>
      <w:r>
        <w:rPr>
          <w:rFonts w:hint="eastAsia"/>
        </w:rPr>
        <w:t>）规定，临时性水工建筑物保护对象为</w:t>
      </w:r>
      <w:r>
        <w:rPr>
          <w:rFonts w:hint="eastAsia"/>
        </w:rPr>
        <w:t>2</w:t>
      </w:r>
      <w:r>
        <w:rPr>
          <w:rFonts w:hint="eastAsia"/>
        </w:rPr>
        <w:t>级永久性建筑物时，其工程级别为</w:t>
      </w:r>
      <w:r>
        <w:rPr>
          <w:rFonts w:hint="eastAsia"/>
        </w:rPr>
        <w:t>4</w:t>
      </w:r>
      <w:r>
        <w:rPr>
          <w:rFonts w:hint="eastAsia"/>
        </w:rPr>
        <w:t>级。因而导流工程级别为</w:t>
      </w:r>
      <w:r>
        <w:rPr>
          <w:rFonts w:hint="eastAsia"/>
        </w:rPr>
        <w:t>4</w:t>
      </w:r>
      <w:r>
        <w:rPr>
          <w:rFonts w:hint="eastAsia"/>
        </w:rPr>
        <w:t>级。相对应洪水标准</w:t>
      </w:r>
      <w:r>
        <w:rPr>
          <w:rFonts w:hint="eastAsia"/>
        </w:rPr>
        <w:t>10</w:t>
      </w:r>
      <w:r>
        <w:rPr>
          <w:rFonts w:hint="eastAsia"/>
        </w:rPr>
        <w:t>年一遇，虽春汛洪水发生频率较低，为提高保证程度，本次设计按照</w:t>
      </w:r>
      <w:r>
        <w:rPr>
          <w:rFonts w:hint="eastAsia"/>
        </w:rPr>
        <w:t>10</w:t>
      </w:r>
      <w:r>
        <w:rPr>
          <w:rFonts w:hint="eastAsia"/>
        </w:rPr>
        <w:t>年一遇洪水标准设计，设计洪水流量为</w:t>
      </w:r>
      <w:r>
        <w:rPr>
          <w:rFonts w:hint="eastAsia"/>
        </w:rPr>
        <w:t>43.6m</w:t>
      </w:r>
      <w:r>
        <w:rPr>
          <w:rFonts w:hint="eastAsia"/>
        </w:rPr>
        <w:t>³</w:t>
      </w:r>
      <w:r>
        <w:rPr>
          <w:rFonts w:hint="eastAsia"/>
        </w:rPr>
        <w:t>/s</w:t>
      </w:r>
      <w:r>
        <w:rPr>
          <w:rFonts w:hint="eastAsia"/>
        </w:rPr>
        <w:t>。</w:t>
      </w:r>
    </w:p>
    <w:p w14:paraId="4A5276DE" w14:textId="77777777" w:rsidR="005A1A44" w:rsidRDefault="0008059E">
      <w:pPr>
        <w:ind w:firstLine="480"/>
        <w:jc w:val="left"/>
      </w:pPr>
      <w:r>
        <w:rPr>
          <w:rFonts w:hint="eastAsia"/>
        </w:rPr>
        <w:t>（</w:t>
      </w:r>
      <w:r>
        <w:rPr>
          <w:rFonts w:hint="eastAsia"/>
        </w:rPr>
        <w:t>2</w:t>
      </w:r>
      <w:r>
        <w:rPr>
          <w:rFonts w:hint="eastAsia"/>
        </w:rPr>
        <w:t>）导流方案</w:t>
      </w:r>
    </w:p>
    <w:p w14:paraId="58A6ED33" w14:textId="77777777" w:rsidR="005A1A44" w:rsidRDefault="0008059E">
      <w:pPr>
        <w:ind w:firstLine="480"/>
        <w:jc w:val="left"/>
      </w:pPr>
      <w:r>
        <w:rPr>
          <w:rFonts w:hint="eastAsia"/>
        </w:rPr>
        <w:t>根据堤线平面布置，本次防洪堤堤线坐落于河道一、二级阶地上，通过实测地形图反应，堤线虽然相对河心滩地地势较高，但该段河道主流左右摆动较为剧烈，若仅利用导流围堰将滩地相连，河道主流有可能绕过其他阶地冲向施工现场，因此考虑沿线新建堤防全线</w:t>
      </w:r>
      <w:r>
        <w:rPr>
          <w:rFonts w:hint="eastAsia"/>
        </w:rPr>
        <w:t>40m</w:t>
      </w:r>
      <w:r>
        <w:rPr>
          <w:rFonts w:hint="eastAsia"/>
        </w:rPr>
        <w:t>外布置导流围堰，为防止洪水绕过围堰两端，蔓延至施工区，需考虑围堰首尾端各延长</w:t>
      </w:r>
      <w:r>
        <w:rPr>
          <w:rFonts w:hint="eastAsia"/>
        </w:rPr>
        <w:t>100m</w:t>
      </w:r>
      <w:r>
        <w:rPr>
          <w:rFonts w:hint="eastAsia"/>
        </w:rPr>
        <w:t>。</w:t>
      </w:r>
    </w:p>
    <w:p w14:paraId="16E6B378" w14:textId="77777777" w:rsidR="005A1A44" w:rsidRDefault="0008059E">
      <w:pPr>
        <w:ind w:firstLine="480"/>
        <w:jc w:val="left"/>
      </w:pPr>
      <w:r>
        <w:rPr>
          <w:rFonts w:hint="eastAsia"/>
        </w:rPr>
        <w:t>（</w:t>
      </w:r>
      <w:r>
        <w:rPr>
          <w:rFonts w:hint="eastAsia"/>
        </w:rPr>
        <w:t>3</w:t>
      </w:r>
      <w:r>
        <w:rPr>
          <w:rFonts w:hint="eastAsia"/>
        </w:rPr>
        <w:t>）导流围堰设计</w:t>
      </w:r>
    </w:p>
    <w:p w14:paraId="2B7FB253" w14:textId="77777777" w:rsidR="005A1A44" w:rsidRDefault="0008059E">
      <w:pPr>
        <w:ind w:firstLine="480"/>
        <w:jc w:val="left"/>
      </w:pPr>
      <w:r>
        <w:rPr>
          <w:rFonts w:hint="eastAsia"/>
        </w:rPr>
        <w:t>本次导流围堰设计就地采用河床质填筑，压实指标相对密度大于</w:t>
      </w:r>
      <w:r>
        <w:rPr>
          <w:rFonts w:hint="eastAsia"/>
        </w:rPr>
        <w:t>0.6</w:t>
      </w:r>
      <w:r>
        <w:rPr>
          <w:rFonts w:hint="eastAsia"/>
        </w:rPr>
        <w:t>。根据水文分析中水位流量关系可知，在该设计流量下的水位在</w:t>
      </w:r>
      <w:r>
        <w:rPr>
          <w:rFonts w:hint="eastAsia"/>
        </w:rPr>
        <w:t>0.90m</w:t>
      </w:r>
      <w:r>
        <w:rPr>
          <w:rFonts w:hint="eastAsia"/>
        </w:rPr>
        <w:t>，根据导流流量计算施工期水位</w:t>
      </w:r>
      <w:r>
        <w:rPr>
          <w:rFonts w:hint="eastAsia"/>
        </w:rPr>
        <w:t>0.90m</w:t>
      </w:r>
      <w:r>
        <w:rPr>
          <w:rFonts w:hint="eastAsia"/>
        </w:rPr>
        <w:t>，因此设计围堰填筑高度为</w:t>
      </w:r>
      <w:r>
        <w:rPr>
          <w:rFonts w:hint="eastAsia"/>
        </w:rPr>
        <w:t>1.5m</w:t>
      </w:r>
      <w:r>
        <w:rPr>
          <w:rFonts w:hint="eastAsia"/>
        </w:rPr>
        <w:t>，引水面边坡系数取</w:t>
      </w:r>
      <w:r>
        <w:rPr>
          <w:rFonts w:hint="eastAsia"/>
        </w:rPr>
        <w:t>1:1.75</w:t>
      </w:r>
      <w:r>
        <w:rPr>
          <w:rFonts w:hint="eastAsia"/>
        </w:rPr>
        <w:t>，背水面边坡系数取</w:t>
      </w:r>
      <w:r>
        <w:rPr>
          <w:rFonts w:hint="eastAsia"/>
        </w:rPr>
        <w:t>1:1.5</w:t>
      </w:r>
      <w:r>
        <w:rPr>
          <w:rFonts w:hint="eastAsia"/>
        </w:rPr>
        <w:t>，顶宽</w:t>
      </w:r>
      <w:r>
        <w:rPr>
          <w:rFonts w:hint="eastAsia"/>
        </w:rPr>
        <w:t>2m</w:t>
      </w:r>
      <w:r>
        <w:rPr>
          <w:rFonts w:hint="eastAsia"/>
        </w:rPr>
        <w:t>，迎水面采用临时性干砌卵石护面。</w:t>
      </w:r>
    </w:p>
    <w:p w14:paraId="5CE8E8AD" w14:textId="77777777" w:rsidR="005A1A44" w:rsidRDefault="0008059E">
      <w:pPr>
        <w:ind w:firstLine="480"/>
        <w:jc w:val="left"/>
      </w:pPr>
      <w:r>
        <w:rPr>
          <w:rFonts w:hint="eastAsia"/>
        </w:rPr>
        <w:t>本土堤围堰的抗滑稳定计算依据规范按瑞典圆弧滑动计算法，并按有效应力法计算，根据堤防设计规范附录</w:t>
      </w:r>
      <w:r>
        <w:rPr>
          <w:rFonts w:hint="eastAsia"/>
        </w:rPr>
        <w:t>F.0.1-4</w:t>
      </w:r>
      <w:r>
        <w:rPr>
          <w:rFonts w:hint="eastAsia"/>
        </w:rPr>
        <w:t>式进行验算，根据计算结果，洪水期坝体抗滑安全系数为</w:t>
      </w:r>
      <w:r>
        <w:rPr>
          <w:rFonts w:hint="eastAsia"/>
        </w:rPr>
        <w:t>Ks=1.19</w:t>
      </w:r>
      <w:r>
        <w:rPr>
          <w:rFonts w:hint="eastAsia"/>
        </w:rPr>
        <w:t>，枯水期为</w:t>
      </w:r>
      <w:r>
        <w:rPr>
          <w:rFonts w:hint="eastAsia"/>
        </w:rPr>
        <w:t>Ks=1.38</w:t>
      </w:r>
      <w:r>
        <w:rPr>
          <w:rFonts w:hint="eastAsia"/>
        </w:rPr>
        <w:t>。大于</w:t>
      </w:r>
      <w:r>
        <w:rPr>
          <w:rFonts w:hint="eastAsia"/>
        </w:rPr>
        <w:t>5</w:t>
      </w:r>
      <w:r>
        <w:rPr>
          <w:rFonts w:hint="eastAsia"/>
        </w:rPr>
        <w:t>级临时土堤围堰正常期抗滑安全系数</w:t>
      </w:r>
      <w:r>
        <w:rPr>
          <w:rFonts w:hint="eastAsia"/>
        </w:rPr>
        <w:t>1.10</w:t>
      </w:r>
      <w:r>
        <w:rPr>
          <w:rFonts w:hint="eastAsia"/>
        </w:rPr>
        <w:t>，非常期抗滑安全系数</w:t>
      </w:r>
      <w:r>
        <w:rPr>
          <w:rFonts w:hint="eastAsia"/>
        </w:rPr>
        <w:t>1.05</w:t>
      </w:r>
      <w:r>
        <w:rPr>
          <w:rFonts w:hint="eastAsia"/>
        </w:rPr>
        <w:t>的要求。因此临时围堰整体上稳定。</w:t>
      </w:r>
    </w:p>
    <w:p w14:paraId="6E331C79" w14:textId="77777777" w:rsidR="005A1A44" w:rsidRDefault="0008059E">
      <w:pPr>
        <w:pStyle w:val="4"/>
        <w:numPr>
          <w:ilvl w:val="3"/>
          <w:numId w:val="2"/>
        </w:numPr>
      </w:pPr>
      <w:r>
        <w:rPr>
          <w:rFonts w:hint="eastAsia"/>
        </w:rPr>
        <w:lastRenderedPageBreak/>
        <w:t xml:space="preserve"> </w:t>
      </w:r>
      <w:r>
        <w:rPr>
          <w:rFonts w:hint="eastAsia"/>
        </w:rPr>
        <w:t>施工排水</w:t>
      </w:r>
    </w:p>
    <w:p w14:paraId="39D82FD0" w14:textId="77777777" w:rsidR="005A1A44" w:rsidRDefault="0008059E">
      <w:pPr>
        <w:ind w:firstLine="480"/>
        <w:jc w:val="left"/>
      </w:pPr>
      <w:r>
        <w:rPr>
          <w:rFonts w:hint="eastAsia"/>
        </w:rPr>
        <w:t>导流堤沿线地下水埋深枯水季节</w:t>
      </w:r>
      <w:r>
        <w:rPr>
          <w:rFonts w:hint="eastAsia"/>
        </w:rPr>
        <w:t>5m</w:t>
      </w:r>
      <w:r>
        <w:rPr>
          <w:rFonts w:hint="eastAsia"/>
        </w:rPr>
        <w:t>～</w:t>
      </w:r>
      <w:r>
        <w:rPr>
          <w:rFonts w:hint="eastAsia"/>
        </w:rPr>
        <w:t>7.5m</w:t>
      </w:r>
      <w:r>
        <w:rPr>
          <w:rFonts w:hint="eastAsia"/>
        </w:rPr>
        <w:t>，堤基开挖线距地面线约</w:t>
      </w:r>
      <w:r>
        <w:rPr>
          <w:rFonts w:hint="eastAsia"/>
        </w:rPr>
        <w:t>8m</w:t>
      </w:r>
      <w:r>
        <w:rPr>
          <w:rFonts w:hint="eastAsia"/>
        </w:rPr>
        <w:t>，为保证堤基基础施工时干燥，必须采取基坑排水措施。因河道纵坡较陡，为</w:t>
      </w:r>
      <w:r>
        <w:rPr>
          <w:rFonts w:hint="eastAsia"/>
        </w:rPr>
        <w:t>1/115~1/147</w:t>
      </w:r>
      <w:r>
        <w:rPr>
          <w:rFonts w:hint="eastAsia"/>
        </w:rPr>
        <w:t>，主要采用明排，必要时结合水泵抽进行辅助排水。防洪堤迎水面堤基开挖时，在基础前挖一条排水渠，同时排水渠所开挖土方堆放于迎水面位置，作为基础回填土方同时可兼做临时性导流围堰，保证小洪水期间不影响工程施工。</w:t>
      </w:r>
    </w:p>
    <w:p w14:paraId="35AF2118" w14:textId="77777777" w:rsidR="005A1A44" w:rsidRDefault="0008059E">
      <w:pPr>
        <w:ind w:firstLine="480"/>
        <w:jc w:val="left"/>
      </w:pPr>
      <w:r>
        <w:rPr>
          <w:rFonts w:hint="eastAsia"/>
        </w:rPr>
        <w:t>为保证施工排水能顺利排向下游河道，排水渠在防洪堤施工段设计纵坡与防洪堤纵坡保持一致，出防洪堤施工段后，以</w:t>
      </w:r>
      <w:r>
        <w:rPr>
          <w:rFonts w:hint="eastAsia"/>
        </w:rPr>
        <w:t>1/600</w:t>
      </w:r>
      <w:r>
        <w:rPr>
          <w:rFonts w:hint="eastAsia"/>
        </w:rPr>
        <w:t>纵坡向下游延伸，根据河道纵坡推算排水渠总长达到</w:t>
      </w:r>
      <w:r>
        <w:rPr>
          <w:rFonts w:hint="eastAsia"/>
        </w:rPr>
        <w:t>5400m</w:t>
      </w:r>
      <w:r>
        <w:rPr>
          <w:rFonts w:hint="eastAsia"/>
        </w:rPr>
        <w:t>时，施工排水可顺利排入河道。</w:t>
      </w:r>
    </w:p>
    <w:p w14:paraId="1A956A17" w14:textId="77777777" w:rsidR="005A1A44" w:rsidRDefault="0008059E">
      <w:pPr>
        <w:pStyle w:val="3"/>
        <w:numPr>
          <w:ilvl w:val="2"/>
          <w:numId w:val="2"/>
        </w:numPr>
      </w:pPr>
      <w:r>
        <w:rPr>
          <w:rFonts w:hint="eastAsia"/>
        </w:rPr>
        <w:t xml:space="preserve"> </w:t>
      </w:r>
      <w:r>
        <w:rPr>
          <w:rFonts w:hint="eastAsia"/>
        </w:rPr>
        <w:t>运营期环境影响因素分析</w:t>
      </w:r>
    </w:p>
    <w:p w14:paraId="7113BC0F" w14:textId="77777777" w:rsidR="005A1A44" w:rsidRDefault="0008059E">
      <w:pPr>
        <w:ind w:firstLine="480"/>
      </w:pPr>
      <w:r>
        <w:rPr>
          <w:rFonts w:hint="eastAsia"/>
        </w:rPr>
        <w:t>本工程建成后，营运期间没有新的污染源；提高河道防洪标准、疏通河道能有效控导河势、减少洪水发生几率。运行期主要环境影响如下。</w:t>
      </w:r>
    </w:p>
    <w:p w14:paraId="1D228523" w14:textId="77777777" w:rsidR="005A1A44" w:rsidRDefault="0008059E">
      <w:pPr>
        <w:ind w:firstLine="480"/>
      </w:pPr>
      <w:r>
        <w:rPr>
          <w:rFonts w:hint="eastAsia"/>
        </w:rPr>
        <w:t>（</w:t>
      </w:r>
      <w:r>
        <w:rPr>
          <w:rFonts w:hint="eastAsia"/>
        </w:rPr>
        <w:t>1</w:t>
      </w:r>
      <w:r>
        <w:rPr>
          <w:rFonts w:hint="eastAsia"/>
        </w:rPr>
        <w:t>）景观影响，河岸护坡工程及岸线绿化的建成将改变河岸目前的自然与人工景观，消除沿岸杂乱的不良景观现象，景观质量将得到明显改善。</w:t>
      </w:r>
    </w:p>
    <w:p w14:paraId="505A4297" w14:textId="77777777" w:rsidR="005A1A44" w:rsidRDefault="0008059E">
      <w:pPr>
        <w:ind w:firstLine="480"/>
      </w:pPr>
      <w:r>
        <w:rPr>
          <w:rFonts w:hint="eastAsia"/>
        </w:rPr>
        <w:t>（</w:t>
      </w:r>
      <w:r>
        <w:rPr>
          <w:rFonts w:hint="eastAsia"/>
        </w:rPr>
        <w:t>2</w:t>
      </w:r>
      <w:r>
        <w:rPr>
          <w:rFonts w:hint="eastAsia"/>
        </w:rPr>
        <w:t>）生态影响，因岸线整治、人工护坡和绿化设计，沿线将更趋向于人工生态系统，随着河岸的稳定与绿化实施，沿线动物群系、生态环境将逐渐恢复，形成新的平衡。</w:t>
      </w:r>
    </w:p>
    <w:p w14:paraId="31B98182" w14:textId="77777777" w:rsidR="005A1A44" w:rsidRDefault="0008059E">
      <w:pPr>
        <w:ind w:firstLine="480"/>
      </w:pPr>
      <w:r>
        <w:rPr>
          <w:rFonts w:hint="eastAsia"/>
        </w:rPr>
        <w:t>（</w:t>
      </w:r>
      <w:r>
        <w:rPr>
          <w:rFonts w:hint="eastAsia"/>
        </w:rPr>
        <w:t>3</w:t>
      </w:r>
      <w:r>
        <w:rPr>
          <w:rFonts w:hint="eastAsia"/>
        </w:rPr>
        <w:t>）对河流水力学条件的影响，工程可能带来区域水动力学条件、泥沙输移条件和冲淤环境等方面自然环境的变化。</w:t>
      </w:r>
    </w:p>
    <w:p w14:paraId="34AA2C39" w14:textId="77777777" w:rsidR="005A1A44" w:rsidRDefault="0008059E">
      <w:pPr>
        <w:ind w:firstLine="480"/>
      </w:pPr>
      <w:r>
        <w:rPr>
          <w:rFonts w:hint="eastAsia"/>
        </w:rPr>
        <w:t>（</w:t>
      </w:r>
      <w:r>
        <w:rPr>
          <w:rFonts w:hint="eastAsia"/>
        </w:rPr>
        <w:t>4</w:t>
      </w:r>
      <w:r>
        <w:rPr>
          <w:rFonts w:hint="eastAsia"/>
        </w:rPr>
        <w:t>）对河流水质的影响，工程实施后由于水力学条件的变化可能对河道污染物迁移转化过程产生影响。</w:t>
      </w:r>
    </w:p>
    <w:p w14:paraId="7F6F51EE" w14:textId="77777777" w:rsidR="005A1A44" w:rsidRDefault="0008059E">
      <w:pPr>
        <w:ind w:firstLine="480"/>
      </w:pPr>
      <w:r>
        <w:rPr>
          <w:rFonts w:hint="eastAsia"/>
        </w:rPr>
        <w:t>（</w:t>
      </w:r>
      <w:r>
        <w:rPr>
          <w:rFonts w:hint="eastAsia"/>
        </w:rPr>
        <w:t>5</w:t>
      </w:r>
      <w:r>
        <w:rPr>
          <w:rFonts w:hint="eastAsia"/>
        </w:rPr>
        <w:t>）防洪，工程实施后由于过水断面的增加，将提高河流的防洪能力。</w:t>
      </w:r>
    </w:p>
    <w:p w14:paraId="6CA725BF" w14:textId="77777777" w:rsidR="005A1A44" w:rsidRDefault="0008059E">
      <w:pPr>
        <w:ind w:firstLine="480"/>
      </w:pPr>
      <w:r>
        <w:rPr>
          <w:rFonts w:hint="eastAsia"/>
        </w:rPr>
        <w:t>（</w:t>
      </w:r>
      <w:r>
        <w:rPr>
          <w:rFonts w:hint="eastAsia"/>
        </w:rPr>
        <w:t>6</w:t>
      </w:r>
      <w:r>
        <w:rPr>
          <w:rFonts w:hint="eastAsia"/>
        </w:rPr>
        <w:t>）社会经济，本工程建成后能提高防洪标准、降低洪水威胁，工程运行后对保障下游沿线社会经济可持续发展起到积极作用。</w:t>
      </w:r>
    </w:p>
    <w:p w14:paraId="63600E31" w14:textId="77777777" w:rsidR="005A1A44" w:rsidRDefault="0008059E">
      <w:pPr>
        <w:ind w:firstLine="480"/>
      </w:pPr>
      <w:r>
        <w:rPr>
          <w:rFonts w:hint="eastAsia"/>
        </w:rPr>
        <w:t>（</w:t>
      </w:r>
      <w:r>
        <w:rPr>
          <w:rFonts w:hint="eastAsia"/>
        </w:rPr>
        <w:t>7</w:t>
      </w:r>
      <w:r>
        <w:rPr>
          <w:rFonts w:hint="eastAsia"/>
        </w:rPr>
        <w:t>）地下水影响，本项目实施后，不改变上游下放流量，对于中上游的强渗</w:t>
      </w:r>
      <w:r>
        <w:rPr>
          <w:rFonts w:hint="eastAsia"/>
        </w:rPr>
        <w:lastRenderedPageBreak/>
        <w:t>漏带区不改变其底层结构，不做防渗或减渗处理，基本不改变现状河水下渗条件。对地下水的水质、水量、水位的影响轻微。</w:t>
      </w:r>
    </w:p>
    <w:p w14:paraId="770D46BD" w14:textId="77777777" w:rsidR="005A1A44" w:rsidRDefault="0008059E">
      <w:pPr>
        <w:pStyle w:val="2"/>
        <w:numPr>
          <w:ilvl w:val="1"/>
          <w:numId w:val="2"/>
        </w:numPr>
      </w:pPr>
      <w:bookmarkStart w:id="146" w:name="_Toc11943_WPSOffice_Level2"/>
      <w:r>
        <w:rPr>
          <w:rFonts w:hint="eastAsia"/>
        </w:rPr>
        <w:t xml:space="preserve"> </w:t>
      </w:r>
      <w:bookmarkStart w:id="147" w:name="_Toc3861_WPSOffice_Level2"/>
      <w:bookmarkStart w:id="148" w:name="_Toc27010_WPSOffice_Level2"/>
      <w:r>
        <w:rPr>
          <w:rFonts w:hint="eastAsia"/>
        </w:rPr>
        <w:t>拟建工程合理性分析</w:t>
      </w:r>
      <w:bookmarkEnd w:id="146"/>
      <w:bookmarkEnd w:id="147"/>
      <w:bookmarkEnd w:id="148"/>
    </w:p>
    <w:p w14:paraId="535FB1CD" w14:textId="77777777" w:rsidR="005A1A44" w:rsidRDefault="0008059E">
      <w:pPr>
        <w:pStyle w:val="3"/>
        <w:numPr>
          <w:ilvl w:val="2"/>
          <w:numId w:val="2"/>
        </w:numPr>
      </w:pPr>
      <w:r>
        <w:rPr>
          <w:rFonts w:hint="eastAsia"/>
        </w:rPr>
        <w:t xml:space="preserve"> </w:t>
      </w:r>
      <w:r>
        <w:rPr>
          <w:rFonts w:hint="eastAsia"/>
        </w:rPr>
        <w:t>产业政策符合性分析</w:t>
      </w:r>
    </w:p>
    <w:p w14:paraId="1934EA1B" w14:textId="77777777" w:rsidR="005A1A44" w:rsidRDefault="0008059E">
      <w:pPr>
        <w:ind w:firstLine="480"/>
      </w:pPr>
      <w:r>
        <w:rPr>
          <w:rFonts w:hint="eastAsia"/>
        </w:rPr>
        <w:t>本项目为河道环境整治项目，依据《产业结构调整指导目录（</w:t>
      </w:r>
      <w:r>
        <w:rPr>
          <w:rFonts w:hint="eastAsia"/>
        </w:rPr>
        <w:t>2011</w:t>
      </w:r>
      <w:r>
        <w:rPr>
          <w:rFonts w:hint="eastAsia"/>
        </w:rPr>
        <w:t>年本）》（</w:t>
      </w:r>
      <w:r>
        <w:rPr>
          <w:rFonts w:hint="eastAsia"/>
        </w:rPr>
        <w:t>2013</w:t>
      </w:r>
      <w:r>
        <w:rPr>
          <w:rFonts w:hint="eastAsia"/>
        </w:rPr>
        <w:t>年修正），本项目为第一类鼓励类中的“二、水利”中的“</w:t>
      </w:r>
      <w:r>
        <w:rPr>
          <w:rFonts w:hint="eastAsia"/>
        </w:rPr>
        <w:t>1</w:t>
      </w:r>
      <w:r>
        <w:rPr>
          <w:rFonts w:hint="eastAsia"/>
        </w:rPr>
        <w:t>、江河堤防建设及河道、水库治理工程”、“</w:t>
      </w:r>
      <w:r>
        <w:rPr>
          <w:rFonts w:hint="eastAsia"/>
        </w:rPr>
        <w:t>7</w:t>
      </w:r>
      <w:r>
        <w:rPr>
          <w:rFonts w:hint="eastAsia"/>
        </w:rPr>
        <w:t>、江河湖库清淤疏浚工程项目”、“</w:t>
      </w:r>
      <w:r>
        <w:rPr>
          <w:rFonts w:hint="eastAsia"/>
        </w:rPr>
        <w:t>26</w:t>
      </w:r>
      <w:r>
        <w:rPr>
          <w:rFonts w:hint="eastAsia"/>
        </w:rPr>
        <w:t>、水生态系统及地下水保护与修复工程”，项目的建设符合国家当前产业政策。</w:t>
      </w:r>
    </w:p>
    <w:p w14:paraId="1E05BF1D" w14:textId="77777777" w:rsidR="005A1A44" w:rsidRDefault="0008059E">
      <w:pPr>
        <w:pStyle w:val="3"/>
        <w:numPr>
          <w:ilvl w:val="2"/>
          <w:numId w:val="2"/>
        </w:numPr>
      </w:pPr>
      <w:bookmarkStart w:id="149" w:name="_Toc31941"/>
      <w:r>
        <w:rPr>
          <w:rFonts w:hint="eastAsia"/>
        </w:rPr>
        <w:t xml:space="preserve"> </w:t>
      </w:r>
      <w:r>
        <w:rPr>
          <w:rFonts w:hint="eastAsia"/>
        </w:rPr>
        <w:t>与《新疆维吾尔自治区主体功能区规划》符合性分析</w:t>
      </w:r>
      <w:bookmarkEnd w:id="149"/>
    </w:p>
    <w:p w14:paraId="5D8182F1" w14:textId="77777777" w:rsidR="005A1A44" w:rsidRDefault="0008059E">
      <w:pPr>
        <w:ind w:firstLine="480"/>
      </w:pPr>
      <w:r>
        <w:rPr>
          <w:rFonts w:hint="eastAsia"/>
        </w:rPr>
        <w:t>根据《新疆维吾尔自治区主体功能区规划》，新疆重点开发区域包括：国家层面重点开发区域，主要指天山北坡城市或城区以及县市城关镇和重要工业园区，涉及</w:t>
      </w:r>
      <w:r>
        <w:rPr>
          <w:rFonts w:hint="eastAsia"/>
        </w:rPr>
        <w:t>23</w:t>
      </w:r>
      <w:r>
        <w:rPr>
          <w:rFonts w:hint="eastAsia"/>
        </w:rPr>
        <w:t>个县市，总面积</w:t>
      </w:r>
      <w:r>
        <w:rPr>
          <w:rFonts w:hint="eastAsia"/>
        </w:rPr>
        <w:t>65293.42km</w:t>
      </w:r>
      <w:r>
        <w:rPr>
          <w:rFonts w:hint="eastAsia"/>
          <w:vertAlign w:val="superscript"/>
        </w:rPr>
        <w:t>2</w:t>
      </w:r>
      <w:r>
        <w:rPr>
          <w:rFonts w:hint="eastAsia"/>
        </w:rPr>
        <w:t>。限制开发区主要包括</w:t>
      </w:r>
      <w:r>
        <w:rPr>
          <w:rFonts w:hint="eastAsia"/>
        </w:rPr>
        <w:t>3</w:t>
      </w:r>
      <w:r>
        <w:rPr>
          <w:rFonts w:hint="eastAsia"/>
        </w:rPr>
        <w:t>个国家级重点生态功能区（阿尔泰山地森林草原生态功能区、塔里木河荒漠化防治生态功能区以及阿尔金山草原荒漠化防治生态功能区）和</w:t>
      </w:r>
      <w:r>
        <w:rPr>
          <w:rFonts w:hint="eastAsia"/>
        </w:rPr>
        <w:t>9</w:t>
      </w:r>
      <w:r>
        <w:rPr>
          <w:rFonts w:hint="eastAsia"/>
        </w:rPr>
        <w:t>个自治区级重点生态功能区（天山西部深林草原生态功能区、天山南坡西段荒漠草原生态功能区、天山南坡中段山地草原生态功能区、夏尔西里山地森林生态功能区、塔额盆地湿地草原生态功能区、准格尔西部荒漠草原生态功能区、准格尔东部荒漠草原生态功能区、塔里木盆地西北部荒漠生态功能区、中昆仑山高寒荒漠草原生态功能区）。禁止开发区域指依法设立的各级各类自然文化资源保护区一级其他禁止进行工业化城镇化开发、需要特殊保护的重点生态功能区，包括国家层面禁止开发区域（国家级自然保护区、世界文化自然遗产地、国家级风景名胜区、国家森林公园和国家地质公园）和自治区层面禁止开发区域（自治区及以下各级各类自然文化资源保护区域、重要水源地、重要湿地、湿地公园、水产种质资源保护区以及其他自治区人民政府根据需要确定的禁止开发区域）。</w:t>
      </w:r>
    </w:p>
    <w:p w14:paraId="4C89355C" w14:textId="77777777" w:rsidR="005A1A44" w:rsidRDefault="0008059E">
      <w:pPr>
        <w:ind w:firstLine="480"/>
      </w:pPr>
      <w:r>
        <w:rPr>
          <w:rFonts w:hint="eastAsia"/>
        </w:rPr>
        <w:lastRenderedPageBreak/>
        <w:t>本项目区行政区划隶属和田地区和田市管辖。通过查阅《新疆维吾尔自治区主体功能区规划》中附件《新疆重点生态功能区范围》、《新疆禁止开发区域名录》，可知项目主要位于和田市，不涉及国家级生态功能区、各级各类自然文化资源保护区域、重要水源地、重要湿地、湿地公园、水产种质资源保护区，不属于禁止开发区和限制开发区，属于自治区级重点开发区，其项目建设与《新疆维吾尔自治区主体功能区规划》相符合。</w:t>
      </w:r>
    </w:p>
    <w:p w14:paraId="46D0F425" w14:textId="77777777" w:rsidR="005A1A44" w:rsidRDefault="0008059E">
      <w:pPr>
        <w:pStyle w:val="3"/>
        <w:numPr>
          <w:ilvl w:val="2"/>
          <w:numId w:val="2"/>
        </w:numPr>
      </w:pPr>
      <w:r>
        <w:rPr>
          <w:rFonts w:hint="eastAsia"/>
        </w:rPr>
        <w:t xml:space="preserve"> </w:t>
      </w:r>
      <w:r>
        <w:rPr>
          <w:rFonts w:hint="eastAsia"/>
        </w:rPr>
        <w:t>与《新疆维吾尔自治区环境保护条例》的符合性分析</w:t>
      </w:r>
    </w:p>
    <w:p w14:paraId="59331498" w14:textId="77777777" w:rsidR="005A1A44" w:rsidRDefault="0008059E">
      <w:pPr>
        <w:ind w:firstLine="480"/>
      </w:pPr>
      <w:r>
        <w:rPr>
          <w:rFonts w:hint="eastAsia"/>
        </w:rPr>
        <w:t>《新疆维吾尔自治区环境保护条例》中规定：“对水源涵养区、地下水源、饮用水源、各类自然保护区、自然生态良好区域、风景名胜区和人群密集区等生态敏感区域实行严格的环境保护措施，禁止进行任何资源勘探和开发。”、“进行矿产资源勘探开发的单位，应当建立环境保护责任制；造成环境污染和生态破坏的，应当采取有效措施治理污染、修复生态……对采矿使用的有毒有害物质，形成的有毒有害废弃物，应当进行无害化处理或者处置，有长期危害的，应当作永久性防护处理。”</w:t>
      </w:r>
      <w:r>
        <w:rPr>
          <w:rFonts w:hint="eastAsia"/>
        </w:rPr>
        <w:t xml:space="preserve"> </w:t>
      </w:r>
    </w:p>
    <w:p w14:paraId="17A9ED4D" w14:textId="77777777" w:rsidR="005A1A44" w:rsidRDefault="0008059E">
      <w:pPr>
        <w:ind w:firstLine="480"/>
      </w:pPr>
      <w:r>
        <w:rPr>
          <w:rFonts w:hint="eastAsia"/>
        </w:rPr>
        <w:t>本项目选址不在水源涵养区、各类自然保护区、自然生态良好区域、风景名胜区和人群密集区等生态敏感区域；和田市部分饮用水水源保护区与工程实施区域有重合，环评要求各水源保护区内禁止从事任何与水源保护无关的活动，即工程实施区域不包括水源保护区；且要求项目实施过程中生活污水和生活垃圾均可妥善处置，项目符合《新疆维吾尔自治区环境保护条例》的相关要求。</w:t>
      </w:r>
    </w:p>
    <w:p w14:paraId="6D0173E5" w14:textId="77777777" w:rsidR="005A1A44" w:rsidRDefault="0008059E">
      <w:pPr>
        <w:pStyle w:val="3"/>
        <w:numPr>
          <w:ilvl w:val="2"/>
          <w:numId w:val="2"/>
        </w:numPr>
      </w:pPr>
      <w:r>
        <w:rPr>
          <w:rFonts w:hint="eastAsia"/>
        </w:rPr>
        <w:t xml:space="preserve"> </w:t>
      </w:r>
      <w:r>
        <w:rPr>
          <w:rFonts w:hint="eastAsia"/>
        </w:rPr>
        <w:t>与和田市饮用水水源保护区的符合性分析</w:t>
      </w:r>
    </w:p>
    <w:p w14:paraId="6BC7F89F" w14:textId="77777777" w:rsidR="005A1A44" w:rsidRDefault="0008059E">
      <w:pPr>
        <w:ind w:firstLine="480"/>
      </w:pPr>
      <w:r>
        <w:rPr>
          <w:rFonts w:hint="eastAsia"/>
        </w:rPr>
        <w:t>项目区不属于自然保护区、风景名胜区、森林公园等生态敏感区；但项目区涉及部分城镇集中式饮用水水源地的二级保护区，具体为和田市玉河东部一乡一镇水厂水源地（地下水）二级保护区（占地</w:t>
      </w:r>
      <w:r>
        <w:rPr>
          <w:rFonts w:hint="eastAsia"/>
        </w:rPr>
        <w:t>170.62hm</w:t>
      </w:r>
      <w:r>
        <w:rPr>
          <w:rFonts w:hint="eastAsia"/>
          <w:vertAlign w:val="superscript"/>
        </w:rPr>
        <w:t>2</w:t>
      </w:r>
      <w:r>
        <w:rPr>
          <w:rFonts w:hint="eastAsia"/>
        </w:rPr>
        <w:t>）、和田市吐沙拉乡厂水源地（地下水）二级保护区（占地</w:t>
      </w:r>
      <w:r>
        <w:rPr>
          <w:rFonts w:hint="eastAsia"/>
        </w:rPr>
        <w:t>180.12hm</w:t>
      </w:r>
      <w:r>
        <w:rPr>
          <w:rFonts w:hint="eastAsia"/>
          <w:vertAlign w:val="superscript"/>
        </w:rPr>
        <w:t>2</w:t>
      </w:r>
      <w:r>
        <w:rPr>
          <w:rFonts w:hint="eastAsia"/>
        </w:rPr>
        <w:t>）、和田市伊里其水厂水源地二级保护区（占地</w:t>
      </w:r>
      <w:r>
        <w:rPr>
          <w:rFonts w:hint="eastAsia"/>
        </w:rPr>
        <w:t>113.74hm</w:t>
      </w:r>
      <w:r>
        <w:rPr>
          <w:rFonts w:hint="eastAsia"/>
          <w:vertAlign w:val="superscript"/>
        </w:rPr>
        <w:t>2</w:t>
      </w:r>
      <w:r>
        <w:rPr>
          <w:rFonts w:hint="eastAsia"/>
        </w:rPr>
        <w:t>）、洛浦县西片区三乡联合水厂地下水源地二级保护区（占地</w:t>
      </w:r>
      <w:r>
        <w:rPr>
          <w:rFonts w:hint="eastAsia"/>
        </w:rPr>
        <w:lastRenderedPageBreak/>
        <w:t>207.89hm</w:t>
      </w:r>
      <w:r>
        <w:rPr>
          <w:rFonts w:hint="eastAsia"/>
          <w:vertAlign w:val="superscript"/>
        </w:rPr>
        <w:t>2</w:t>
      </w:r>
      <w:r>
        <w:rPr>
          <w:rFonts w:hint="eastAsia"/>
        </w:rPr>
        <w:t>）。</w:t>
      </w:r>
    </w:p>
    <w:p w14:paraId="7199E345" w14:textId="77777777" w:rsidR="005A1A44" w:rsidRDefault="0008059E">
      <w:pPr>
        <w:ind w:firstLine="480"/>
      </w:pPr>
      <w:r>
        <w:rPr>
          <w:rFonts w:hint="eastAsia"/>
        </w:rPr>
        <w:t>项目实施过程中应严格遵守《中华人民共和国水污染防治法》，禁止对水源水质产生不利影响的建设活动，在此基础上，本项目符合其准入条件要求。</w:t>
      </w:r>
    </w:p>
    <w:p w14:paraId="37B0C37B" w14:textId="77777777" w:rsidR="005A1A44" w:rsidRDefault="0008059E">
      <w:pPr>
        <w:pStyle w:val="3"/>
        <w:numPr>
          <w:ilvl w:val="2"/>
          <w:numId w:val="2"/>
        </w:numPr>
      </w:pPr>
      <w:r>
        <w:rPr>
          <w:rFonts w:hint="eastAsia"/>
        </w:rPr>
        <w:t xml:space="preserve"> </w:t>
      </w:r>
      <w:r>
        <w:rPr>
          <w:rFonts w:hint="eastAsia"/>
        </w:rPr>
        <w:t>与有关规划符合性分析</w:t>
      </w:r>
    </w:p>
    <w:p w14:paraId="13481170" w14:textId="77777777" w:rsidR="005A1A44" w:rsidRDefault="0008059E">
      <w:pPr>
        <w:ind w:firstLine="480"/>
      </w:pPr>
      <w:r>
        <w:rPr>
          <w:rFonts w:hint="eastAsia"/>
        </w:rPr>
        <w:t>（</w:t>
      </w:r>
      <w:r>
        <w:rPr>
          <w:rFonts w:hint="eastAsia"/>
        </w:rPr>
        <w:t>1</w:t>
      </w:r>
      <w:r>
        <w:rPr>
          <w:rFonts w:hint="eastAsia"/>
        </w:rPr>
        <w:t>）符合我国有关环保和水利建设的发展规划</w:t>
      </w:r>
    </w:p>
    <w:p w14:paraId="4ED1C1AA" w14:textId="77777777" w:rsidR="005A1A44" w:rsidRDefault="0008059E">
      <w:pPr>
        <w:ind w:firstLine="480"/>
      </w:pPr>
      <w:r>
        <w:rPr>
          <w:rFonts w:hint="eastAsia"/>
        </w:rPr>
        <w:t>《中华人民共和国国民经济和社会发展第十三个五年规划》中指出：加强水生态保护，系统整治江河流域，连通江河湖库水系，开展退耕还湿、退养还滩。推进荒漠化、石漠化、水土流失综合治理。强化江河源头和水源涵养区生态保护。开展蓝色海湾整治行动。加强地质灾害防治。拓展基础设施建设空间。实施重大公共设施和基础设施工程。实施网络强国战略，加快构建高速、移动、安全、泛在的新一代信息基础设施。加快完善水利、铁路、公路、水运、民航、通用航空、管道、邮政等基础设施网络。完善能源安全储备制度。加强城市公共交通、防洪防涝等设施建设。实施城市地下管网改造工程。加快开放电力、电信、交通、石油、天然气、市政公用等自然垄断行业的竞争性业务。</w:t>
      </w:r>
    </w:p>
    <w:p w14:paraId="5FFF77A3" w14:textId="77777777" w:rsidR="005A1A44" w:rsidRDefault="0008059E">
      <w:pPr>
        <w:ind w:firstLine="480"/>
      </w:pPr>
      <w:r>
        <w:rPr>
          <w:rFonts w:hint="eastAsia"/>
        </w:rPr>
        <w:t>中共中央一号文件《关于加快水利改革发展的决定》中第三项第七条中指出：加快中小河流治理和小型水库除险加固。中小河流治理要优先安排洪涝灾害易发、保护区人口密集、保护对象重要的河流及河段，加固堤岸，清淤疏浚，使治理河段基本达到国家防洪标准。第四项“全面加快水利基础设施建设”中第十三条“搞好水土保持和水生态保护”指出：实施国家水土保持重点工程，采取小流域综合治理、淤地坝建设、坡耕地整治、造林绿化、生态修复等措施，有效防治水土流失。继续推进生态脆弱河流和地区水生态修复，加快污染严重江河湖泊水环境治理。实施农村河道综合整治，大力开展生态清洁型小流域建设。强化生产建设项目水土保持监督管理。建立健全水土保持、建设项目占用水利设施和水域等补偿制度。本项目建设内容与《中华人民共和国国民经济和社会发展第十三个五年规划》、《关于加快水利改革发展的决定》相符合。</w:t>
      </w:r>
    </w:p>
    <w:p w14:paraId="669DA318" w14:textId="77777777" w:rsidR="005A1A44" w:rsidRDefault="0008059E">
      <w:pPr>
        <w:ind w:firstLine="480"/>
      </w:pPr>
      <w:r>
        <w:rPr>
          <w:rFonts w:hint="eastAsia"/>
        </w:rPr>
        <w:t>（</w:t>
      </w:r>
      <w:r>
        <w:rPr>
          <w:rFonts w:hint="eastAsia"/>
        </w:rPr>
        <w:t>2</w:t>
      </w:r>
      <w:r>
        <w:rPr>
          <w:rFonts w:hint="eastAsia"/>
        </w:rPr>
        <w:t>）符合新疆维吾尔自治区有关水利建设的发展规划要求</w:t>
      </w:r>
    </w:p>
    <w:p w14:paraId="4886CBBA" w14:textId="77777777" w:rsidR="005A1A44" w:rsidRDefault="0008059E">
      <w:pPr>
        <w:ind w:firstLine="480"/>
      </w:pPr>
      <w:r>
        <w:rPr>
          <w:rFonts w:hint="eastAsia"/>
        </w:rPr>
        <w:lastRenderedPageBreak/>
        <w:t>《新疆维吾尔自治区国民经济和社会发展第十三个五年规划纲要》中指出：坚持保护优先和自然恢复为主，合理利用自然资源，加强自然生态系统和环境保护，坚决保护森林、冰川、河流、湖泊、湿地、植被、绿洲、草原，保护生物多样性，保护好优美自然景观，保持原有生态。实施重大生态治理与修复工程，保护和修复自然生态系统，筑牢生态安全屏障，促进人与自然和谐共生。本项目建设内容与《新疆维吾尔自治区国民经济和社会发展第十三个五年规划纲要》的要求一致。</w:t>
      </w:r>
    </w:p>
    <w:p w14:paraId="764269A5" w14:textId="77777777" w:rsidR="005A1A44" w:rsidRDefault="0008059E">
      <w:pPr>
        <w:ind w:firstLine="480"/>
      </w:pPr>
      <w:r>
        <w:rPr>
          <w:rFonts w:hint="eastAsia"/>
        </w:rPr>
        <w:t>（</w:t>
      </w:r>
      <w:r>
        <w:rPr>
          <w:rFonts w:hint="eastAsia"/>
        </w:rPr>
        <w:t>3</w:t>
      </w:r>
      <w:r>
        <w:rPr>
          <w:rFonts w:hint="eastAsia"/>
        </w:rPr>
        <w:t>）符合《和田市城市总体规划》要求</w:t>
      </w:r>
    </w:p>
    <w:p w14:paraId="6CDBDF4B" w14:textId="77777777" w:rsidR="005A1A44" w:rsidRDefault="0008059E">
      <w:pPr>
        <w:ind w:firstLine="480"/>
      </w:pPr>
      <w:r>
        <w:rPr>
          <w:rFonts w:hint="eastAsia"/>
        </w:rPr>
        <w:t>《和田市城市总体规划》提出：</w:t>
      </w:r>
      <w:r>
        <w:rPr>
          <w:rFonts w:hint="eastAsia"/>
        </w:rPr>
        <w:t>1</w:t>
      </w:r>
      <w:r>
        <w:rPr>
          <w:rFonts w:hint="eastAsia"/>
        </w:rPr>
        <w:t>）按照现状上口位置保留玉龙喀什河，规划功能为防洪兼顾城市景观，并对按照标准进行综合生态治理，玉龙喀什河两侧绿化带宽约为</w:t>
      </w:r>
      <w:r>
        <w:rPr>
          <w:rFonts w:hint="eastAsia"/>
        </w:rPr>
        <w:t>100</w:t>
      </w:r>
      <w:r>
        <w:rPr>
          <w:rFonts w:hint="eastAsia"/>
        </w:rPr>
        <w:t>米。</w:t>
      </w:r>
      <w:r>
        <w:rPr>
          <w:rFonts w:hint="eastAsia"/>
        </w:rPr>
        <w:t>2</w:t>
      </w:r>
      <w:r>
        <w:rPr>
          <w:rFonts w:hint="eastAsia"/>
        </w:rPr>
        <w:t>）规划沿乌鲁木齐路、横三路修建引水明渠连接玉泉河与新建湖泊；沿火车站前横一路修建退水明渠至玉龙喀什河，连接新建湖泊、东风干渠以及玉龙喀什河；修建引水明渠连接玉泉河、东风干渠以及玉龙喀什河；修建引水明渠连接东风干渠和及玉龙喀什河。上述引水及退水渠道宽度可以结合景观规划进行确定但不得小于</w:t>
      </w:r>
      <w:r>
        <w:rPr>
          <w:rFonts w:hint="eastAsia"/>
        </w:rPr>
        <w:t>10</w:t>
      </w:r>
      <w:r>
        <w:rPr>
          <w:rFonts w:hint="eastAsia"/>
        </w:rPr>
        <w:t>米，渠道两侧绿化带宽均为</w:t>
      </w:r>
      <w:r>
        <w:rPr>
          <w:rFonts w:hint="eastAsia"/>
        </w:rPr>
        <w:t>10</w:t>
      </w:r>
      <w:r>
        <w:rPr>
          <w:rFonts w:hint="eastAsia"/>
        </w:rPr>
        <w:t>米。</w:t>
      </w:r>
    </w:p>
    <w:p w14:paraId="4A121FEE" w14:textId="77777777" w:rsidR="005A1A44" w:rsidRDefault="0008059E">
      <w:pPr>
        <w:ind w:firstLine="480"/>
      </w:pPr>
      <w:r>
        <w:rPr>
          <w:rFonts w:hint="eastAsia"/>
        </w:rPr>
        <w:t>本项目中有关玉龙喀什河治理的内容与《和田市城市城市总体规划》内容相一致。</w:t>
      </w:r>
    </w:p>
    <w:p w14:paraId="345FC5A7" w14:textId="77777777" w:rsidR="005A1A44" w:rsidRDefault="0008059E">
      <w:pPr>
        <w:ind w:firstLine="480"/>
      </w:pPr>
      <w:r>
        <w:rPr>
          <w:rFonts w:hint="eastAsia"/>
        </w:rPr>
        <w:t>（</w:t>
      </w:r>
      <w:r>
        <w:rPr>
          <w:rFonts w:hint="eastAsia"/>
        </w:rPr>
        <w:t>4</w:t>
      </w:r>
      <w:r>
        <w:rPr>
          <w:rFonts w:hint="eastAsia"/>
        </w:rPr>
        <w:t>）与《和田河（玉龙喀什河）防洪规划（修编）》的符合性</w:t>
      </w:r>
    </w:p>
    <w:p w14:paraId="592E697D" w14:textId="77777777" w:rsidR="005A1A44" w:rsidRDefault="0008059E">
      <w:pPr>
        <w:ind w:firstLine="480"/>
      </w:pPr>
      <w:r>
        <w:rPr>
          <w:rFonts w:hint="eastAsia"/>
        </w:rPr>
        <w:t xml:space="preserve">2018 </w:t>
      </w:r>
      <w:r>
        <w:rPr>
          <w:rFonts w:hint="eastAsia"/>
        </w:rPr>
        <w:t>年</w:t>
      </w:r>
      <w:r>
        <w:rPr>
          <w:rFonts w:hint="eastAsia"/>
        </w:rPr>
        <w:t xml:space="preserve"> 1 </w:t>
      </w:r>
      <w:r>
        <w:rPr>
          <w:rFonts w:hint="eastAsia"/>
        </w:rPr>
        <w:t>月，中水淮河规划设计研究有限公司编制了《和田河（玉龙喀什河）防洪规划（修编）》。规划中对流域水文及防洪现状进行了梳理，并对玉龙喀什河防洪体系进行了系统的规划。本项目内容与《和田河（玉龙喀什河）防洪规划（修编）》的要求内容一致。</w:t>
      </w:r>
    </w:p>
    <w:p w14:paraId="6491C7BC" w14:textId="77777777" w:rsidR="005A1A44" w:rsidRDefault="0008059E">
      <w:pPr>
        <w:ind w:firstLine="480"/>
      </w:pPr>
      <w:r>
        <w:rPr>
          <w:rFonts w:hint="eastAsia"/>
        </w:rPr>
        <w:t>（</w:t>
      </w:r>
      <w:r>
        <w:rPr>
          <w:rFonts w:hint="eastAsia"/>
        </w:rPr>
        <w:t>5</w:t>
      </w:r>
      <w:r>
        <w:rPr>
          <w:rFonts w:hint="eastAsia"/>
        </w:rPr>
        <w:t>）与《新疆和田河流域综合规划》的符合性</w:t>
      </w:r>
    </w:p>
    <w:p w14:paraId="47A863A5" w14:textId="77777777" w:rsidR="005A1A44" w:rsidRDefault="0008059E">
      <w:pPr>
        <w:ind w:firstLine="480"/>
      </w:pPr>
      <w:r>
        <w:rPr>
          <w:rFonts w:hint="eastAsia"/>
        </w:rPr>
        <w:t xml:space="preserve">2018 </w:t>
      </w:r>
      <w:r>
        <w:rPr>
          <w:rFonts w:hint="eastAsia"/>
        </w:rPr>
        <w:t>年</w:t>
      </w:r>
      <w:r>
        <w:rPr>
          <w:rFonts w:hint="eastAsia"/>
        </w:rPr>
        <w:t xml:space="preserve"> 8 </w:t>
      </w:r>
      <w:r>
        <w:rPr>
          <w:rFonts w:hint="eastAsia"/>
        </w:rPr>
        <w:t>月，水利部新疆维吾尔自治区水利水电勘测设计研究院编制了《新疆和田河流域综合规划》。对和田河从整个流域各个进行了综合规划，其中玉龙喀什河和田市段水文分析成果及防洪规划与《和田河（玉龙喀什河）防洪规划（修编）》基本一致。</w:t>
      </w:r>
    </w:p>
    <w:p w14:paraId="22037D72" w14:textId="77777777" w:rsidR="005A1A44" w:rsidRDefault="0008059E">
      <w:pPr>
        <w:ind w:firstLine="480"/>
      </w:pPr>
      <w:r>
        <w:rPr>
          <w:rFonts w:ascii="宋体" w:eastAsia="宋体" w:hAnsi="宋体" w:cs="宋体"/>
          <w:kern w:val="0"/>
        </w:rPr>
        <w:t>和田河流域防洪总体布局为</w:t>
      </w:r>
      <w:r>
        <w:rPr>
          <w:rFonts w:ascii="宋体" w:eastAsia="宋体" w:hAnsi="宋体" w:cs="宋体" w:hint="eastAsia"/>
          <w:kern w:val="0"/>
        </w:rPr>
        <w:t>：</w:t>
      </w:r>
      <w:r>
        <w:rPr>
          <w:rFonts w:ascii="宋体" w:eastAsia="宋体" w:hAnsi="宋体" w:cs="宋体"/>
          <w:kern w:val="0"/>
        </w:rPr>
        <w:t>上游山区段修建山区控制性水库调蓄</w:t>
      </w:r>
      <w:r>
        <w:rPr>
          <w:rFonts w:ascii="宋体" w:eastAsia="宋体" w:hAnsi="宋体" w:cs="宋体" w:hint="eastAsia"/>
          <w:kern w:val="0"/>
        </w:rPr>
        <w:t>洪水，削减洪峰；</w:t>
      </w:r>
      <w:r>
        <w:rPr>
          <w:rFonts w:ascii="宋体" w:eastAsia="宋体" w:hAnsi="宋体" w:cs="宋体"/>
          <w:kern w:val="0"/>
        </w:rPr>
        <w:t>在中游修建护岸和堤坝工程</w:t>
      </w:r>
      <w:r>
        <w:rPr>
          <w:rFonts w:ascii="宋体" w:eastAsia="宋体" w:hAnsi="宋体" w:cs="宋体" w:hint="eastAsia"/>
          <w:kern w:val="0"/>
        </w:rPr>
        <w:t>，</w:t>
      </w:r>
      <w:r>
        <w:rPr>
          <w:rFonts w:ascii="宋体" w:eastAsia="宋体" w:hAnsi="宋体" w:cs="宋体"/>
          <w:kern w:val="0"/>
        </w:rPr>
        <w:t>稳定河岸</w:t>
      </w:r>
      <w:r>
        <w:rPr>
          <w:rFonts w:ascii="宋体" w:eastAsia="宋体" w:hAnsi="宋体" w:cs="宋体" w:hint="eastAsia"/>
          <w:kern w:val="0"/>
        </w:rPr>
        <w:t>，</w:t>
      </w:r>
      <w:r>
        <w:rPr>
          <w:rFonts w:ascii="宋体" w:eastAsia="宋体" w:hAnsi="宋体" w:cs="宋体"/>
          <w:kern w:val="0"/>
        </w:rPr>
        <w:t>提高河道过洪能力</w:t>
      </w:r>
      <w:r>
        <w:rPr>
          <w:rFonts w:ascii="宋体" w:eastAsia="宋体" w:hAnsi="宋体" w:cs="宋体" w:hint="eastAsia"/>
          <w:kern w:val="0"/>
        </w:rPr>
        <w:t>，</w:t>
      </w:r>
      <w:r>
        <w:rPr>
          <w:rFonts w:ascii="宋体" w:eastAsia="宋体" w:hAnsi="宋体" w:cs="宋体"/>
          <w:kern w:val="0"/>
        </w:rPr>
        <w:t>保护沿岸城镇、</w:t>
      </w:r>
      <w:r>
        <w:rPr>
          <w:rFonts w:ascii="宋体" w:eastAsia="宋体" w:hAnsi="宋体" w:cs="宋体"/>
          <w:kern w:val="0"/>
        </w:rPr>
        <w:lastRenderedPageBreak/>
        <w:t>翠田</w:t>
      </w:r>
      <w:r>
        <w:rPr>
          <w:rFonts w:ascii="宋体" w:eastAsia="宋体" w:hAnsi="宋体" w:cs="宋体" w:hint="eastAsia"/>
          <w:kern w:val="0"/>
        </w:rPr>
        <w:t>农田、</w:t>
      </w:r>
      <w:r>
        <w:rPr>
          <w:rFonts w:ascii="宋体" w:eastAsia="宋体" w:hAnsi="宋体" w:cs="宋体"/>
          <w:kern w:val="0"/>
        </w:rPr>
        <w:t>村庄、交通、水利工程等的防洪安全</w:t>
      </w:r>
      <w:r>
        <w:rPr>
          <w:rFonts w:ascii="宋体" w:eastAsia="宋体" w:hAnsi="宋体" w:cs="宋体" w:hint="eastAsia"/>
          <w:kern w:val="0"/>
        </w:rPr>
        <w:t>；</w:t>
      </w:r>
      <w:r>
        <w:rPr>
          <w:rFonts w:ascii="宋体" w:eastAsia="宋体" w:hAnsi="宋体" w:cs="宋体"/>
          <w:kern w:val="0"/>
        </w:rPr>
        <w:t>在下游修筑堤防工程</w:t>
      </w:r>
      <w:r>
        <w:rPr>
          <w:rFonts w:ascii="宋体" w:eastAsia="宋体" w:hAnsi="宋体" w:cs="宋体" w:hint="eastAsia"/>
          <w:kern w:val="0"/>
        </w:rPr>
        <w:t>，</w:t>
      </w:r>
      <w:r>
        <w:rPr>
          <w:rFonts w:ascii="宋体" w:eastAsia="宋体" w:hAnsi="宋体" w:cs="宋体"/>
          <w:kern w:val="0"/>
        </w:rPr>
        <w:t>结合疏河道</w:t>
      </w:r>
      <w:r>
        <w:rPr>
          <w:rFonts w:ascii="宋体" w:eastAsia="宋体" w:hAnsi="宋体" w:cs="宋体" w:hint="eastAsia"/>
          <w:kern w:val="0"/>
        </w:rPr>
        <w:t>，</w:t>
      </w:r>
      <w:r>
        <w:rPr>
          <w:rFonts w:ascii="宋体" w:eastAsia="宋体" w:hAnsi="宋体" w:cs="宋体"/>
          <w:kern w:val="0"/>
        </w:rPr>
        <w:t>防止洪水泛滥</w:t>
      </w:r>
      <w:r>
        <w:rPr>
          <w:rFonts w:ascii="宋体" w:eastAsia="宋体" w:hAnsi="宋体" w:cs="宋体" w:hint="eastAsia"/>
          <w:kern w:val="0"/>
        </w:rPr>
        <w:t>，</w:t>
      </w:r>
      <w:r>
        <w:rPr>
          <w:rFonts w:ascii="宋体" w:eastAsia="宋体" w:hAnsi="宋体" w:cs="宋体"/>
          <w:kern w:val="0"/>
        </w:rPr>
        <w:t>淹没沿岸农田村庄</w:t>
      </w:r>
      <w:r>
        <w:rPr>
          <w:rFonts w:ascii="宋体" w:eastAsia="宋体" w:hAnsi="宋体" w:cs="宋体" w:hint="eastAsia"/>
          <w:kern w:val="0"/>
        </w:rPr>
        <w:t>，</w:t>
      </w:r>
      <w:r>
        <w:rPr>
          <w:rFonts w:ascii="宋体" w:eastAsia="宋体" w:hAnsi="宋体" w:cs="宋体"/>
          <w:kern w:val="0"/>
        </w:rPr>
        <w:t>并保证平原水库蓄水和有一定水最进入塔里木河维护和田河下游和塔里木河的生态环境。</w:t>
      </w:r>
      <w:r>
        <w:rPr>
          <w:rFonts w:ascii="宋体" w:eastAsia="宋体" w:hAnsi="宋体" w:cs="宋体" w:hint="eastAsia"/>
          <w:kern w:val="0"/>
        </w:rPr>
        <w:t>对玉龙喀什河，提出“</w:t>
      </w:r>
      <w:r>
        <w:rPr>
          <w:rFonts w:ascii="宋体" w:eastAsia="宋体" w:hAnsi="宋体" w:cs="宋体"/>
          <w:kern w:val="0"/>
        </w:rPr>
        <w:t>完成以玉龙喀什河和喀拉喀什河等防洪河段堤防护岸建设</w:t>
      </w:r>
      <w:r>
        <w:rPr>
          <w:rFonts w:ascii="宋体" w:eastAsia="宋体" w:hAnsi="宋体" w:cs="宋体" w:hint="eastAsia"/>
          <w:kern w:val="0"/>
        </w:rPr>
        <w:t>，并</w:t>
      </w:r>
      <w:r>
        <w:rPr>
          <w:rFonts w:ascii="宋体" w:eastAsia="宋体" w:hAnsi="宋体" w:cs="宋体"/>
          <w:kern w:val="0"/>
        </w:rPr>
        <w:t>按照轻重缓急的原则</w:t>
      </w:r>
      <w:r>
        <w:rPr>
          <w:rFonts w:ascii="宋体" w:eastAsia="宋体" w:hAnsi="宋体" w:cs="宋体" w:hint="eastAsia"/>
          <w:kern w:val="0"/>
        </w:rPr>
        <w:t>，</w:t>
      </w:r>
      <w:r>
        <w:rPr>
          <w:rFonts w:ascii="宋体" w:eastAsia="宋体" w:hAnsi="宋体" w:cs="宋体"/>
          <w:kern w:val="0"/>
        </w:rPr>
        <w:t>有计划</w:t>
      </w:r>
      <w:r>
        <w:rPr>
          <w:rFonts w:ascii="宋体" w:eastAsia="宋体" w:hAnsi="宋体" w:cs="宋体" w:hint="eastAsia"/>
          <w:kern w:val="0"/>
        </w:rPr>
        <w:t>、</w:t>
      </w:r>
      <w:r>
        <w:rPr>
          <w:rFonts w:ascii="宋体" w:eastAsia="宋体" w:hAnsi="宋体" w:cs="宋体"/>
          <w:kern w:val="0"/>
        </w:rPr>
        <w:t>因地制宜安排流域内城镇和农田防护区的防洪堤及护岸建设</w:t>
      </w:r>
      <w:r>
        <w:rPr>
          <w:rFonts w:ascii="宋体" w:eastAsia="宋体" w:hAnsi="宋体" w:cs="宋体" w:hint="eastAsia"/>
          <w:kern w:val="0"/>
        </w:rPr>
        <w:t>”。本项目主要对玉龙喀什河的中下游段进行河道疏浚和防洪堤建设，以提高其防洪能力，其内容与</w:t>
      </w:r>
      <w:r>
        <w:rPr>
          <w:rFonts w:hint="eastAsia"/>
        </w:rPr>
        <w:t>《新疆和田河流域综合规划》的要求相符。</w:t>
      </w:r>
    </w:p>
    <w:p w14:paraId="7AF04358" w14:textId="77777777" w:rsidR="005A1A44" w:rsidRDefault="0008059E">
      <w:pPr>
        <w:ind w:firstLine="480"/>
      </w:pPr>
      <w:r>
        <w:rPr>
          <w:rFonts w:hint="eastAsia"/>
        </w:rPr>
        <w:t>（</w:t>
      </w:r>
      <w:r>
        <w:rPr>
          <w:rFonts w:hint="eastAsia"/>
        </w:rPr>
        <w:t>6</w:t>
      </w:r>
      <w:r>
        <w:rPr>
          <w:rFonts w:hint="eastAsia"/>
        </w:rPr>
        <w:t>）与《新疆和田河流域综合规划环境影响报告》的符合性</w:t>
      </w:r>
    </w:p>
    <w:p w14:paraId="6E548B5D" w14:textId="77777777" w:rsidR="005A1A44" w:rsidRDefault="0008059E">
      <w:pPr>
        <w:ind w:firstLine="480"/>
        <w:rPr>
          <w:rFonts w:ascii="宋体" w:eastAsia="宋体" w:hAnsi="宋体" w:cs="宋体" w:hint="eastAsia"/>
          <w:color w:val="000000"/>
          <w:kern w:val="0"/>
        </w:rPr>
      </w:pPr>
      <w:r>
        <w:rPr>
          <w:rFonts w:hint="eastAsia"/>
        </w:rPr>
        <w:t>《新疆和田河流域综合规划环境影响报告》中提出了实施河道综合整治。加强河道管理，严禁在行洪区内乱占、乱堆、乱</w:t>
      </w:r>
      <w:r>
        <w:rPr>
          <w:rFonts w:hint="eastAsia"/>
        </w:rPr>
        <w:t xml:space="preserve"> </w:t>
      </w:r>
      <w:r>
        <w:rPr>
          <w:rFonts w:hint="eastAsia"/>
        </w:rPr>
        <w:t>采砂石。对泄洪不畅的河段河道采取必要的清淤疏浚、扩卡等措施，以保证河道行洪畅通的要求，本项目即为对玉龙喀什河和田市段进行河道综合整治；《新疆和田河流域综合规划环境影响评价报告》评审意见提出将流域生态保护、河道修复与环境治理作为优先任务。本项目为玉龙喀什河道治理与环境修复项目，</w:t>
      </w:r>
      <w:r>
        <w:rPr>
          <w:rFonts w:ascii="宋体" w:eastAsia="宋体" w:hAnsi="宋体" w:cs="宋体" w:hint="eastAsia"/>
          <w:color w:val="000000"/>
          <w:kern w:val="0"/>
        </w:rPr>
        <w:t>与规划环评要求相符合。</w:t>
      </w:r>
    </w:p>
    <w:p w14:paraId="3C736D7D" w14:textId="77777777" w:rsidR="005A1A44" w:rsidRDefault="0008059E">
      <w:pPr>
        <w:ind w:firstLine="480"/>
      </w:pPr>
      <w:r>
        <w:rPr>
          <w:rFonts w:hint="eastAsia"/>
        </w:rPr>
        <w:t>《新疆和田河流域综合规划环境影响评价报告》</w:t>
      </w:r>
      <w:r>
        <w:rPr>
          <w:rFonts w:hint="eastAsia"/>
        </w:rPr>
        <w:t xml:space="preserve"> </w:t>
      </w:r>
      <w:r>
        <w:rPr>
          <w:rFonts w:hint="eastAsia"/>
        </w:rPr>
        <w:t>对下一层次环境评价成果的一般性要求包括：</w:t>
      </w:r>
    </w:p>
    <w:p w14:paraId="333C343F" w14:textId="77777777" w:rsidR="005A1A44" w:rsidRDefault="0008059E">
      <w:pPr>
        <w:tabs>
          <w:tab w:val="right" w:pos="8154"/>
        </w:tabs>
        <w:ind w:firstLine="480"/>
      </w:pPr>
      <w:r>
        <w:rPr>
          <w:rFonts w:hint="eastAsia"/>
        </w:rPr>
        <w:t>由于本次规划评价过程中，无法考虑各单项工程施工期的环境影响问题，</w:t>
      </w:r>
      <w:r>
        <w:rPr>
          <w:rFonts w:hint="eastAsia"/>
        </w:rPr>
        <w:tab/>
      </w:r>
      <w:r>
        <w:rPr>
          <w:rFonts w:hint="eastAsia"/>
        </w:rPr>
        <w:t>因此，在下一层次单项工程环境影响评价中，不仅要考虑运行期环境影响，还需对施工期环境影响予以关注。</w:t>
      </w:r>
    </w:p>
    <w:p w14:paraId="27AD1494" w14:textId="77777777" w:rsidR="005A1A44" w:rsidRDefault="0008059E">
      <w:pPr>
        <w:ind w:firstLine="480"/>
      </w:pPr>
      <w:r>
        <w:rPr>
          <w:rFonts w:hint="eastAsia"/>
        </w:rPr>
        <w:t>和田河流域规划逐步实施后，对整个流域生态环境的影响和作用是巨大而深远的，本规划环评报告通过对流域生态系统现状的分析以及规划对环境的影响趋势预测，对流域规划实施后流域生态系统的演替趋势进行了分析预测，并初步提出了维护生态系统内部结构协调、良性发展的对策措施。但限于流域规划阶段的工作深度，今后工作中应注意：</w:t>
      </w:r>
    </w:p>
    <w:p w14:paraId="35FB3461" w14:textId="77777777" w:rsidR="005A1A44" w:rsidRDefault="0008059E">
      <w:pPr>
        <w:numPr>
          <w:ilvl w:val="0"/>
          <w:numId w:val="9"/>
        </w:numPr>
        <w:ind w:firstLine="480"/>
      </w:pPr>
      <w:r>
        <w:rPr>
          <w:rFonts w:hint="eastAsia"/>
        </w:rPr>
        <w:t>水库工程</w:t>
      </w:r>
    </w:p>
    <w:p w14:paraId="01153313" w14:textId="77777777" w:rsidR="005A1A44" w:rsidRDefault="0008059E">
      <w:pPr>
        <w:ind w:firstLine="480"/>
      </w:pPr>
      <w:r>
        <w:rPr>
          <w:rFonts w:hint="eastAsia"/>
        </w:rPr>
        <w:t>和田河流域重大水利工程有八座，其中控制性枢纽工程五座，分别为黑山水库、玉龙喀什水利枢纽、吐日苏水库、庞纳子水库和乌鲁瓦提水利枢纽。目前，已建的重要枢纽工程为乌鲁瓦提水利枢纽。水库工程所处的水域水质保护要求比较高，工</w:t>
      </w:r>
      <w:r>
        <w:rPr>
          <w:rFonts w:hint="eastAsia"/>
        </w:rPr>
        <w:lastRenderedPageBreak/>
        <w:t>程施工期间的环境影响比较复杂；同时，水库蓄水与运行对库区以及下游河道水温、水质影响以及水库大坝的阻隔效益对水生生态的影响都需要进行专题研究。而在本阶段受工作深度的限制，环境影响评价深度不够，</w:t>
      </w:r>
      <w:r>
        <w:rPr>
          <w:rFonts w:ascii="宋体" w:eastAsia="宋体" w:hAnsi="宋体" w:cs="宋体" w:hint="eastAsia"/>
          <w:color w:val="000000"/>
          <w:kern w:val="0"/>
        </w:rPr>
        <w:t xml:space="preserve">因此在进行山区水库可研设计阶段时，应尽快开展水库工程环境影响报告书的 编制工作。 </w:t>
      </w:r>
    </w:p>
    <w:p w14:paraId="25551E78" w14:textId="77777777" w:rsidR="005A1A44" w:rsidRDefault="0008059E">
      <w:pPr>
        <w:widowControl/>
        <w:ind w:firstLine="480"/>
        <w:jc w:val="left"/>
      </w:pPr>
      <w:r>
        <w:rPr>
          <w:rFonts w:ascii="宋体" w:eastAsia="宋体" w:hAnsi="宋体" w:cs="宋体" w:hint="eastAsia"/>
          <w:color w:val="000000"/>
          <w:kern w:val="0"/>
        </w:rPr>
        <w:t>（</w:t>
      </w:r>
      <w:r>
        <w:rPr>
          <w:rFonts w:ascii="TimesNewRomanPSMT" w:eastAsia="TimesNewRomanPSMT" w:hAnsi="TimesNewRomanPSMT" w:cs="TimesNewRomanPSMT"/>
          <w:color w:val="000000"/>
          <w:kern w:val="0"/>
        </w:rPr>
        <w:t>2</w:t>
      </w:r>
      <w:r>
        <w:rPr>
          <w:rFonts w:ascii="宋体" w:eastAsia="宋体" w:hAnsi="宋体" w:cs="宋体" w:hint="eastAsia"/>
          <w:color w:val="000000"/>
          <w:kern w:val="0"/>
        </w:rPr>
        <w:t xml:space="preserve">）灌区工程 </w:t>
      </w:r>
    </w:p>
    <w:p w14:paraId="4D7EAEC5" w14:textId="77777777" w:rsidR="005A1A44" w:rsidRDefault="0008059E">
      <w:pPr>
        <w:widowControl/>
        <w:ind w:firstLine="480"/>
        <w:jc w:val="left"/>
      </w:pPr>
      <w:r>
        <w:rPr>
          <w:rFonts w:ascii="宋体" w:eastAsia="宋体" w:hAnsi="宋体" w:cs="宋体" w:hint="eastAsia"/>
          <w:color w:val="000000"/>
          <w:kern w:val="0"/>
        </w:rPr>
        <w:t xml:space="preserve">在本次评价工作中，已经说明通过山区水库对天然径流的调节，基本能满足近远期水平年各业供水保证率要求，因此对灌区灌溉工程环境影响评价等级 可以适当放宽，对干支渠道防渗工程可编制环境影响报告表。 </w:t>
      </w:r>
    </w:p>
    <w:p w14:paraId="1003A45B" w14:textId="77777777" w:rsidR="005A1A44" w:rsidRDefault="0008059E">
      <w:pPr>
        <w:widowControl/>
        <w:ind w:firstLine="480"/>
        <w:jc w:val="left"/>
      </w:pPr>
      <w:r>
        <w:rPr>
          <w:rFonts w:ascii="宋体" w:eastAsia="宋体" w:hAnsi="宋体" w:cs="宋体" w:hint="eastAsia"/>
          <w:color w:val="000000"/>
          <w:kern w:val="0"/>
        </w:rPr>
        <w:t>（</w:t>
      </w:r>
      <w:r>
        <w:rPr>
          <w:rFonts w:ascii="TimesNewRomanPSMT" w:eastAsia="TimesNewRomanPSMT" w:hAnsi="TimesNewRomanPSMT" w:cs="TimesNewRomanPSMT"/>
          <w:color w:val="000000"/>
          <w:kern w:val="0"/>
        </w:rPr>
        <w:t>3</w:t>
      </w:r>
      <w:r>
        <w:rPr>
          <w:rFonts w:ascii="宋体" w:eastAsia="宋体" w:hAnsi="宋体" w:cs="宋体" w:hint="eastAsia"/>
          <w:color w:val="000000"/>
          <w:kern w:val="0"/>
        </w:rPr>
        <w:t xml:space="preserve">）水电站工程、防洪与河道整治工程、乡镇与工业供水工程 </w:t>
      </w:r>
    </w:p>
    <w:p w14:paraId="76C4FEB0" w14:textId="77777777" w:rsidR="005A1A44" w:rsidRDefault="0008059E">
      <w:pPr>
        <w:widowControl/>
        <w:ind w:firstLine="480"/>
        <w:jc w:val="left"/>
        <w:rPr>
          <w:rFonts w:ascii="宋体" w:eastAsia="宋体" w:hAnsi="宋体" w:cs="宋体" w:hint="eastAsia"/>
          <w:color w:val="000000"/>
          <w:kern w:val="0"/>
        </w:rPr>
      </w:pPr>
      <w:r>
        <w:rPr>
          <w:rFonts w:ascii="宋体" w:eastAsia="宋体" w:hAnsi="宋体" w:cs="宋体" w:hint="eastAsia"/>
          <w:color w:val="000000"/>
          <w:kern w:val="0"/>
        </w:rPr>
        <w:t>对于上述这些工程，除了施工期环境影响外，还涉及对地下水环境的影响以及生态环境的影响，环境影响比较复杂，建议按照《建设项目环境影响评价分类管理名录》（</w:t>
      </w:r>
      <w:r>
        <w:rPr>
          <w:rFonts w:ascii="TimesNewRomanPSMT" w:eastAsia="TimesNewRomanPSMT" w:hAnsi="TimesNewRomanPSMT" w:cs="TimesNewRomanPSMT"/>
          <w:color w:val="000000"/>
          <w:kern w:val="0"/>
        </w:rPr>
        <w:t xml:space="preserve">2008 </w:t>
      </w:r>
      <w:r>
        <w:rPr>
          <w:rFonts w:ascii="宋体" w:eastAsia="宋体" w:hAnsi="宋体" w:cs="宋体" w:hint="eastAsia"/>
          <w:color w:val="000000"/>
          <w:kern w:val="0"/>
        </w:rPr>
        <w:t xml:space="preserve">年 </w:t>
      </w:r>
      <w:r>
        <w:rPr>
          <w:rFonts w:ascii="TimesNewRomanPSMT" w:eastAsia="TimesNewRomanPSMT" w:hAnsi="TimesNewRomanPSMT" w:cs="TimesNewRomanPSMT"/>
          <w:color w:val="000000"/>
          <w:kern w:val="0"/>
        </w:rPr>
        <w:t xml:space="preserve">10 </w:t>
      </w:r>
      <w:r>
        <w:rPr>
          <w:rFonts w:ascii="宋体" w:eastAsia="宋体" w:hAnsi="宋体" w:cs="宋体" w:hint="eastAsia"/>
          <w:color w:val="000000"/>
          <w:kern w:val="0"/>
        </w:rPr>
        <w:t xml:space="preserve">月 </w:t>
      </w:r>
      <w:r>
        <w:rPr>
          <w:rFonts w:ascii="TimesNewRomanPSMT" w:eastAsia="TimesNewRomanPSMT" w:hAnsi="TimesNewRomanPSMT" w:cs="TimesNewRomanPSMT"/>
          <w:color w:val="000000"/>
          <w:kern w:val="0"/>
        </w:rPr>
        <w:t xml:space="preserve">1 </w:t>
      </w:r>
      <w:r>
        <w:rPr>
          <w:rFonts w:ascii="宋体" w:eastAsia="宋体" w:hAnsi="宋体" w:cs="宋体" w:hint="eastAsia"/>
          <w:color w:val="000000"/>
          <w:kern w:val="0"/>
        </w:rPr>
        <w:t xml:space="preserve">日国家环境保护部第 </w:t>
      </w:r>
      <w:r>
        <w:rPr>
          <w:rFonts w:ascii="TimesNewRomanPSMT" w:eastAsia="TimesNewRomanPSMT" w:hAnsi="TimesNewRomanPSMT" w:cs="TimesNewRomanPSMT"/>
          <w:color w:val="000000"/>
          <w:kern w:val="0"/>
        </w:rPr>
        <w:t xml:space="preserve">2 </w:t>
      </w:r>
      <w:r>
        <w:rPr>
          <w:rFonts w:ascii="宋体" w:eastAsia="宋体" w:hAnsi="宋体" w:cs="宋体" w:hint="eastAsia"/>
          <w:color w:val="000000"/>
          <w:kern w:val="0"/>
        </w:rPr>
        <w:t xml:space="preserve">号令）的有关部门的规定要求，编制相应的环境影响评价文件。 </w:t>
      </w:r>
    </w:p>
    <w:p w14:paraId="7E6B98A6" w14:textId="77777777" w:rsidR="005A1A44" w:rsidRDefault="0008059E">
      <w:pPr>
        <w:widowControl/>
        <w:ind w:firstLine="480"/>
        <w:jc w:val="left"/>
      </w:pPr>
      <w:r>
        <w:rPr>
          <w:rFonts w:ascii="宋体" w:eastAsia="宋体" w:hAnsi="宋体" w:cs="宋体" w:hint="eastAsia"/>
          <w:color w:val="000000"/>
          <w:kern w:val="0"/>
        </w:rPr>
        <w:t>本次玉龙喀什河河道治理与生态修复项目单独编制了环境影响评价报告、并按照《建设项目环境影响评价分类管理名录》（</w:t>
      </w:r>
      <w:r>
        <w:rPr>
          <w:rFonts w:ascii="TimesNewRomanPSMT" w:eastAsia="TimesNewRomanPSMT" w:hAnsi="TimesNewRomanPSMT" w:cs="TimesNewRomanPSMT"/>
          <w:color w:val="000000"/>
          <w:kern w:val="0"/>
        </w:rPr>
        <w:t xml:space="preserve">2008 </w:t>
      </w:r>
      <w:r>
        <w:rPr>
          <w:rFonts w:ascii="宋体" w:eastAsia="宋体" w:hAnsi="宋体" w:cs="宋体" w:hint="eastAsia"/>
          <w:color w:val="000000"/>
          <w:kern w:val="0"/>
        </w:rPr>
        <w:t xml:space="preserve">年 </w:t>
      </w:r>
      <w:r>
        <w:rPr>
          <w:rFonts w:ascii="TimesNewRomanPSMT" w:eastAsia="TimesNewRomanPSMT" w:hAnsi="TimesNewRomanPSMT" w:cs="TimesNewRomanPSMT"/>
          <w:color w:val="000000"/>
          <w:kern w:val="0"/>
        </w:rPr>
        <w:t xml:space="preserve">10 </w:t>
      </w:r>
      <w:r>
        <w:rPr>
          <w:rFonts w:ascii="宋体" w:eastAsia="宋体" w:hAnsi="宋体" w:cs="宋体" w:hint="eastAsia"/>
          <w:color w:val="000000"/>
          <w:kern w:val="0"/>
        </w:rPr>
        <w:t xml:space="preserve">月 </w:t>
      </w:r>
      <w:r>
        <w:rPr>
          <w:rFonts w:ascii="TimesNewRomanPSMT" w:eastAsia="TimesNewRomanPSMT" w:hAnsi="TimesNewRomanPSMT" w:cs="TimesNewRomanPSMT"/>
          <w:color w:val="000000"/>
          <w:kern w:val="0"/>
        </w:rPr>
        <w:t xml:space="preserve">1 </w:t>
      </w:r>
      <w:r>
        <w:rPr>
          <w:rFonts w:ascii="宋体" w:eastAsia="宋体" w:hAnsi="宋体" w:cs="宋体" w:hint="eastAsia"/>
          <w:color w:val="000000"/>
          <w:kern w:val="0"/>
        </w:rPr>
        <w:t xml:space="preserve">日国家环境保护部第 </w:t>
      </w:r>
      <w:r>
        <w:rPr>
          <w:rFonts w:ascii="TimesNewRomanPSMT" w:eastAsia="TimesNewRomanPSMT" w:hAnsi="TimesNewRomanPSMT" w:cs="TimesNewRomanPSMT"/>
          <w:color w:val="000000"/>
          <w:kern w:val="0"/>
        </w:rPr>
        <w:t xml:space="preserve">2 </w:t>
      </w:r>
      <w:r>
        <w:rPr>
          <w:rFonts w:ascii="宋体" w:eastAsia="宋体" w:hAnsi="宋体" w:cs="宋体" w:hint="eastAsia"/>
          <w:color w:val="000000"/>
          <w:kern w:val="0"/>
        </w:rPr>
        <w:t>号令）的有关部门的规定要求，编制了包括生态环境影响、地下水环境影响评估内容在内的环境报告书，与</w:t>
      </w:r>
      <w:r>
        <w:rPr>
          <w:rFonts w:hint="eastAsia"/>
        </w:rPr>
        <w:t>《新疆和田河流域综合规划环境影响评价报告》的要求一致。</w:t>
      </w:r>
    </w:p>
    <w:p w14:paraId="00CC1C1C" w14:textId="77777777" w:rsidR="005A1A44" w:rsidRDefault="0008059E">
      <w:pPr>
        <w:ind w:firstLine="480"/>
      </w:pPr>
      <w:r>
        <w:rPr>
          <w:rFonts w:hint="eastAsia"/>
        </w:rPr>
        <w:t>流域规划环评审查意见提出：</w:t>
      </w:r>
    </w:p>
    <w:p w14:paraId="315EFEC4" w14:textId="77777777" w:rsidR="005A1A44" w:rsidRDefault="0008059E">
      <w:pPr>
        <w:numPr>
          <w:ilvl w:val="0"/>
          <w:numId w:val="10"/>
        </w:numPr>
        <w:ind w:firstLine="480"/>
      </w:pPr>
      <w:r>
        <w:rPr>
          <w:rFonts w:hint="eastAsia"/>
        </w:rPr>
        <w:t>玉龙喀什河同古孜洛克至汇合口河段，水质目标由Ⅳ类调整至Ⅱ类，控制入河污染物；</w:t>
      </w:r>
    </w:p>
    <w:p w14:paraId="24607F92" w14:textId="77777777" w:rsidR="005A1A44" w:rsidRDefault="0008059E">
      <w:pPr>
        <w:numPr>
          <w:ilvl w:val="0"/>
          <w:numId w:val="10"/>
        </w:numPr>
        <w:ind w:firstLine="480"/>
      </w:pPr>
      <w:r>
        <w:rPr>
          <w:rFonts w:hint="eastAsia"/>
        </w:rPr>
        <w:t>在玉龙喀什河英艾日克至阔什拉什汇河口</w:t>
      </w:r>
      <w:r>
        <w:rPr>
          <w:rFonts w:hint="eastAsia"/>
        </w:rPr>
        <w:t>100</w:t>
      </w:r>
      <w:r>
        <w:rPr>
          <w:rFonts w:hint="eastAsia"/>
        </w:rPr>
        <w:t>公里原则上禁止一切与保护无关的项目；</w:t>
      </w:r>
    </w:p>
    <w:p w14:paraId="250AC544" w14:textId="77777777" w:rsidR="005A1A44" w:rsidRDefault="0008059E">
      <w:pPr>
        <w:numPr>
          <w:ilvl w:val="0"/>
          <w:numId w:val="10"/>
        </w:numPr>
        <w:ind w:firstLine="480"/>
      </w:pPr>
      <w:r>
        <w:rPr>
          <w:rFonts w:hint="eastAsia"/>
        </w:rPr>
        <w:t>严格限制流域开发强度、严控水资源开发强度，避免对鱼类“三场一通道”等重要生境，及和田河流域生态产生不良影响。</w:t>
      </w:r>
    </w:p>
    <w:p w14:paraId="293E8CE5" w14:textId="77777777" w:rsidR="005A1A44" w:rsidRDefault="0008059E">
      <w:pPr>
        <w:ind w:firstLine="480"/>
      </w:pPr>
      <w:r>
        <w:rPr>
          <w:rFonts w:hint="eastAsia"/>
        </w:rPr>
        <w:t>本项目不涉及资源开发、属于河道整治和生态修复项目，项目区域不在和田河鱼类“三场一通道”等重要生境范围呢，本次环评对玉龙喀什水质的要求为Ⅱ，均与规划环评要求相一致。</w:t>
      </w:r>
    </w:p>
    <w:p w14:paraId="5FAFFE73" w14:textId="77777777" w:rsidR="005A1A44" w:rsidRDefault="0008059E">
      <w:pPr>
        <w:pStyle w:val="3"/>
        <w:numPr>
          <w:ilvl w:val="2"/>
          <w:numId w:val="2"/>
        </w:numPr>
      </w:pPr>
      <w:r>
        <w:rPr>
          <w:rFonts w:hint="eastAsia"/>
        </w:rPr>
        <w:lastRenderedPageBreak/>
        <w:t xml:space="preserve"> </w:t>
      </w:r>
      <w:r>
        <w:rPr>
          <w:rFonts w:hint="eastAsia"/>
        </w:rPr>
        <w:t>工程建设方案合理性分析</w:t>
      </w:r>
    </w:p>
    <w:p w14:paraId="7DC16E62" w14:textId="77777777" w:rsidR="005A1A44" w:rsidRDefault="0008059E">
      <w:pPr>
        <w:pStyle w:val="4"/>
        <w:numPr>
          <w:ilvl w:val="3"/>
          <w:numId w:val="2"/>
        </w:numPr>
      </w:pPr>
      <w:r>
        <w:rPr>
          <w:rFonts w:hint="eastAsia"/>
        </w:rPr>
        <w:t xml:space="preserve"> </w:t>
      </w:r>
      <w:r>
        <w:rPr>
          <w:rFonts w:hint="eastAsia"/>
        </w:rPr>
        <w:t>工程占地、选线</w:t>
      </w:r>
      <w:r>
        <w:t>合理性分析</w:t>
      </w:r>
    </w:p>
    <w:p w14:paraId="00B49DA4" w14:textId="77777777" w:rsidR="005A1A44" w:rsidRDefault="0008059E">
      <w:pPr>
        <w:pStyle w:val="51"/>
        <w:shd w:val="clear" w:color="auto" w:fill="auto"/>
        <w:spacing w:before="0" w:line="360" w:lineRule="auto"/>
        <w:ind w:right="20" w:firstLine="480"/>
        <w:rPr>
          <w:rFonts w:ascii="Times New Roman" w:eastAsia="宋体" w:hAnsi="Times New Roman"/>
          <w:spacing w:val="0"/>
          <w:sz w:val="24"/>
          <w:szCs w:val="24"/>
        </w:rPr>
      </w:pPr>
      <w:r>
        <w:rPr>
          <w:rFonts w:ascii="Times New Roman" w:eastAsia="宋体" w:hAnsi="Times New Roman" w:hint="eastAsia"/>
          <w:spacing w:val="0"/>
          <w:sz w:val="24"/>
          <w:szCs w:val="24"/>
        </w:rPr>
        <w:t>（</w:t>
      </w:r>
      <w:r>
        <w:rPr>
          <w:rFonts w:ascii="Times New Roman" w:eastAsia="宋体" w:hAnsi="Times New Roman" w:hint="eastAsia"/>
          <w:spacing w:val="0"/>
          <w:sz w:val="24"/>
          <w:szCs w:val="24"/>
        </w:rPr>
        <w:t>1</w:t>
      </w:r>
      <w:r>
        <w:rPr>
          <w:rFonts w:ascii="Times New Roman" w:eastAsia="宋体" w:hAnsi="Times New Roman" w:hint="eastAsia"/>
          <w:spacing w:val="0"/>
          <w:sz w:val="24"/>
          <w:szCs w:val="24"/>
        </w:rPr>
        <w:t>）选线选址原则</w:t>
      </w:r>
    </w:p>
    <w:p w14:paraId="2C104FC1" w14:textId="77777777" w:rsidR="005A1A44" w:rsidRDefault="0008059E">
      <w:pPr>
        <w:pStyle w:val="51"/>
        <w:shd w:val="clear" w:color="auto" w:fill="auto"/>
        <w:spacing w:before="0" w:line="360" w:lineRule="auto"/>
        <w:ind w:right="20" w:firstLine="480"/>
        <w:rPr>
          <w:rFonts w:ascii="Times New Roman" w:eastAsia="宋体" w:hAnsi="Times New Roman"/>
          <w:spacing w:val="0"/>
          <w:sz w:val="24"/>
          <w:szCs w:val="24"/>
        </w:rPr>
      </w:pPr>
      <w:r>
        <w:rPr>
          <w:rFonts w:ascii="Times New Roman" w:eastAsia="宋体" w:hAnsi="Times New Roman" w:hint="eastAsia"/>
          <w:spacing w:val="0"/>
          <w:sz w:val="24"/>
          <w:szCs w:val="24"/>
        </w:rPr>
        <w:t>本项目严格遵照《堤防工程设计规范》（</w:t>
      </w:r>
      <w:r>
        <w:rPr>
          <w:rFonts w:ascii="Times New Roman" w:eastAsia="宋体" w:hAnsi="Times New Roman" w:hint="eastAsia"/>
          <w:spacing w:val="0"/>
          <w:sz w:val="24"/>
          <w:szCs w:val="24"/>
        </w:rPr>
        <w:t>GB50286-2013</w:t>
      </w:r>
      <w:r>
        <w:rPr>
          <w:rFonts w:ascii="Times New Roman" w:eastAsia="宋体" w:hAnsi="Times New Roman" w:hint="eastAsia"/>
          <w:spacing w:val="0"/>
          <w:sz w:val="24"/>
          <w:szCs w:val="24"/>
        </w:rPr>
        <w:t>），实行以下选线原则：</w:t>
      </w:r>
    </w:p>
    <w:p w14:paraId="08D07B48" w14:textId="77777777" w:rsidR="005A1A44" w:rsidRDefault="0008059E">
      <w:pPr>
        <w:ind w:firstLine="480"/>
        <w:jc w:val="left"/>
        <w:rPr>
          <w:color w:val="000000"/>
        </w:rPr>
      </w:pPr>
      <w:r>
        <w:rPr>
          <w:rFonts w:hint="eastAsia"/>
          <w:color w:val="000000"/>
        </w:rPr>
        <w:t>1</w:t>
      </w:r>
      <w:r>
        <w:rPr>
          <w:rFonts w:hint="eastAsia"/>
          <w:color w:val="000000"/>
        </w:rPr>
        <w:t>）堤线布置应与河势相适应，并宜与大洪水的主流线大致平行。</w:t>
      </w:r>
      <w:r>
        <w:rPr>
          <w:rFonts w:hint="eastAsia"/>
          <w:color w:val="000000"/>
        </w:rPr>
        <w:t xml:space="preserve"> </w:t>
      </w:r>
    </w:p>
    <w:p w14:paraId="411621CE" w14:textId="77777777" w:rsidR="005A1A44" w:rsidRDefault="0008059E">
      <w:pPr>
        <w:ind w:firstLine="480"/>
        <w:jc w:val="left"/>
        <w:rPr>
          <w:color w:val="000000"/>
        </w:rPr>
      </w:pPr>
      <w:r>
        <w:rPr>
          <w:rFonts w:hint="eastAsia"/>
          <w:color w:val="000000"/>
        </w:rPr>
        <w:t>2</w:t>
      </w:r>
      <w:r>
        <w:rPr>
          <w:rFonts w:hint="eastAsia"/>
          <w:color w:val="000000"/>
        </w:rPr>
        <w:t>）堤线应力求平顺，相邻堤段间应平缓连接，不得采用折线或急弯。</w:t>
      </w:r>
      <w:r>
        <w:rPr>
          <w:rFonts w:hint="eastAsia"/>
          <w:color w:val="000000"/>
        </w:rPr>
        <w:t xml:space="preserve"> </w:t>
      </w:r>
    </w:p>
    <w:p w14:paraId="091BB737" w14:textId="77777777" w:rsidR="005A1A44" w:rsidRDefault="0008059E">
      <w:pPr>
        <w:ind w:firstLine="480"/>
        <w:jc w:val="left"/>
        <w:rPr>
          <w:color w:val="000000"/>
        </w:rPr>
      </w:pPr>
      <w:r>
        <w:rPr>
          <w:rFonts w:hint="eastAsia"/>
          <w:color w:val="000000"/>
        </w:rPr>
        <w:t>3</w:t>
      </w:r>
      <w:r>
        <w:rPr>
          <w:rFonts w:hint="eastAsia"/>
          <w:color w:val="000000"/>
        </w:rPr>
        <w:t>）堤线应布置在占压耕地、拆迁房屋少的地带，并宜避开文物遗址，同时应有利于防汛抢险和工程管理。</w:t>
      </w:r>
      <w:r>
        <w:rPr>
          <w:rFonts w:hint="eastAsia"/>
          <w:color w:val="000000"/>
        </w:rPr>
        <w:t xml:space="preserve"> </w:t>
      </w:r>
    </w:p>
    <w:p w14:paraId="07506CD6" w14:textId="77777777" w:rsidR="005A1A44" w:rsidRDefault="0008059E">
      <w:pPr>
        <w:ind w:firstLine="480"/>
        <w:jc w:val="left"/>
        <w:rPr>
          <w:color w:val="000000"/>
        </w:rPr>
      </w:pPr>
      <w:r>
        <w:rPr>
          <w:rFonts w:hint="eastAsia"/>
          <w:color w:val="000000"/>
        </w:rPr>
        <w:t>4</w:t>
      </w:r>
      <w:r>
        <w:rPr>
          <w:rFonts w:hint="eastAsia"/>
          <w:color w:val="000000"/>
        </w:rPr>
        <w:t>）城市防洪堤的堤线布置应与市政设施项协调。</w:t>
      </w:r>
      <w:r>
        <w:rPr>
          <w:rFonts w:hint="eastAsia"/>
          <w:color w:val="000000"/>
        </w:rPr>
        <w:t xml:space="preserve"> </w:t>
      </w:r>
    </w:p>
    <w:p w14:paraId="336BF588" w14:textId="77777777" w:rsidR="005A1A44" w:rsidRDefault="0008059E">
      <w:pPr>
        <w:ind w:firstLine="480"/>
        <w:jc w:val="left"/>
        <w:rPr>
          <w:color w:val="000000"/>
        </w:rPr>
      </w:pPr>
      <w:r>
        <w:rPr>
          <w:rFonts w:hint="eastAsia"/>
          <w:color w:val="000000"/>
        </w:rPr>
        <w:t>5</w:t>
      </w:r>
      <w:r>
        <w:rPr>
          <w:rFonts w:hint="eastAsia"/>
          <w:color w:val="000000"/>
        </w:rPr>
        <w:t>）堤防工程宜利用现有堤防和有利堤线，修筑在土质较好、比较稳定的滩岸上，应留有适当宽度的滩地，宜避开软弱地基、深水地带、古河道、强透水地基。</w:t>
      </w:r>
    </w:p>
    <w:p w14:paraId="4FB72731" w14:textId="77777777" w:rsidR="005A1A44" w:rsidRDefault="0008059E">
      <w:pPr>
        <w:ind w:firstLine="480"/>
        <w:rPr>
          <w:color w:val="000000"/>
        </w:rPr>
      </w:pPr>
      <w:r>
        <w:rPr>
          <w:rFonts w:hint="eastAsia"/>
          <w:color w:val="000000"/>
        </w:rPr>
        <w:t>（</w:t>
      </w:r>
      <w:r>
        <w:rPr>
          <w:rFonts w:hint="eastAsia"/>
          <w:color w:val="000000"/>
        </w:rPr>
        <w:t>2</w:t>
      </w:r>
      <w:r>
        <w:rPr>
          <w:rFonts w:hint="eastAsia"/>
          <w:color w:val="000000"/>
        </w:rPr>
        <w:t>）工程占地、选线合理性分析</w:t>
      </w:r>
    </w:p>
    <w:p w14:paraId="406752E6" w14:textId="77777777" w:rsidR="005A1A44" w:rsidRDefault="0008059E">
      <w:pPr>
        <w:pStyle w:val="51"/>
        <w:shd w:val="clear" w:color="auto" w:fill="auto"/>
        <w:spacing w:before="0" w:line="360" w:lineRule="auto"/>
        <w:ind w:right="20" w:firstLine="480"/>
        <w:rPr>
          <w:rFonts w:ascii="Times New Roman" w:eastAsia="宋体" w:hAnsi="Times New Roman"/>
          <w:spacing w:val="0"/>
          <w:sz w:val="24"/>
          <w:szCs w:val="24"/>
        </w:rPr>
      </w:pPr>
      <w:r>
        <w:rPr>
          <w:rFonts w:ascii="Times New Roman" w:eastAsia="宋体" w:hAnsi="Times New Roman" w:hint="eastAsia"/>
          <w:spacing w:val="0"/>
          <w:sz w:val="24"/>
          <w:szCs w:val="24"/>
        </w:rPr>
        <w:t>玉龙喀什河</w:t>
      </w:r>
      <w:r>
        <w:rPr>
          <w:rFonts w:ascii="Times New Roman" w:eastAsia="宋体" w:hAnsi="Times New Roman"/>
          <w:spacing w:val="0"/>
          <w:sz w:val="24"/>
          <w:szCs w:val="24"/>
        </w:rPr>
        <w:t>防洪治理工程</w:t>
      </w:r>
      <w:r>
        <w:rPr>
          <w:rFonts w:ascii="Times New Roman" w:eastAsia="宋体" w:hAnsi="Times New Roman" w:hint="eastAsia"/>
          <w:spacing w:val="0"/>
          <w:sz w:val="24"/>
          <w:szCs w:val="24"/>
        </w:rPr>
        <w:t>项目区范围为</w:t>
      </w:r>
      <w:r>
        <w:rPr>
          <w:rFonts w:ascii="Times New Roman" w:eastAsia="宋体" w:hAnsi="Times New Roman" w:hint="eastAsia"/>
          <w:spacing w:val="0"/>
          <w:sz w:val="24"/>
          <w:szCs w:val="24"/>
        </w:rPr>
        <w:t>2540.75hm</w:t>
      </w:r>
      <w:r>
        <w:rPr>
          <w:rFonts w:ascii="Times New Roman" w:eastAsia="宋体" w:hAnsi="Times New Roman" w:hint="eastAsia"/>
          <w:spacing w:val="0"/>
          <w:sz w:val="24"/>
          <w:szCs w:val="24"/>
          <w:vertAlign w:val="superscript"/>
        </w:rPr>
        <w:t>2</w:t>
      </w:r>
      <w:r>
        <w:rPr>
          <w:rFonts w:ascii="Times New Roman" w:eastAsia="宋体" w:hAnsi="Times New Roman" w:hint="eastAsia"/>
          <w:spacing w:val="0"/>
          <w:sz w:val="24"/>
          <w:szCs w:val="24"/>
        </w:rPr>
        <w:t>，项目区内土地利用</w:t>
      </w:r>
      <w:r>
        <w:rPr>
          <w:rFonts w:ascii="Times New Roman" w:eastAsia="宋体" w:hAnsi="Times New Roman"/>
          <w:spacing w:val="0"/>
          <w:sz w:val="24"/>
          <w:szCs w:val="24"/>
        </w:rPr>
        <w:t>类型为河滩</w:t>
      </w:r>
      <w:r>
        <w:rPr>
          <w:rFonts w:ascii="Times New Roman" w:eastAsia="宋体" w:hAnsi="Times New Roman" w:hint="eastAsia"/>
          <w:spacing w:val="0"/>
          <w:sz w:val="24"/>
          <w:szCs w:val="24"/>
        </w:rPr>
        <w:t>未利用土地（戈壁石砾地、沙地、盐碱地），草地、部分耕地等，不涉及基本农田。</w:t>
      </w:r>
      <w:r>
        <w:rPr>
          <w:rFonts w:ascii="Times New Roman" w:eastAsia="宋体" w:hAnsi="Times New Roman"/>
          <w:spacing w:val="0"/>
          <w:sz w:val="24"/>
          <w:szCs w:val="24"/>
        </w:rPr>
        <w:t>经分析，</w:t>
      </w:r>
      <w:r>
        <w:rPr>
          <w:rFonts w:ascii="Times New Roman" w:eastAsia="宋体" w:hAnsi="Times New Roman" w:hint="eastAsia"/>
          <w:spacing w:val="0"/>
          <w:sz w:val="24"/>
          <w:szCs w:val="24"/>
        </w:rPr>
        <w:t>工程永久占用的土地类型主要为河漫滩地上的内陆滩涂、裸地、沙地等，将转变为道路用地和绿地，工程</w:t>
      </w:r>
      <w:r>
        <w:rPr>
          <w:rFonts w:ascii="Times New Roman" w:eastAsia="宋体" w:hAnsi="Times New Roman"/>
          <w:spacing w:val="0"/>
          <w:sz w:val="24"/>
          <w:szCs w:val="24"/>
        </w:rPr>
        <w:t>未占用生产力较高的土地</w:t>
      </w:r>
      <w:r>
        <w:rPr>
          <w:rFonts w:ascii="Times New Roman" w:eastAsia="宋体" w:hAnsi="Times New Roman" w:hint="eastAsia"/>
          <w:spacing w:val="0"/>
          <w:sz w:val="24"/>
          <w:szCs w:val="24"/>
        </w:rPr>
        <w:t>，工程建成后，项目区绿地面积将大大增加，将有利于改善区域生态环境。</w:t>
      </w:r>
    </w:p>
    <w:p w14:paraId="56E42210" w14:textId="77777777" w:rsidR="005A1A44" w:rsidRDefault="0008059E">
      <w:pPr>
        <w:pStyle w:val="51"/>
        <w:spacing w:before="0" w:line="360" w:lineRule="auto"/>
        <w:ind w:firstLine="480"/>
        <w:rPr>
          <w:rFonts w:ascii="Times New Roman" w:eastAsia="宋体" w:hAnsi="Times New Roman"/>
          <w:spacing w:val="0"/>
          <w:sz w:val="24"/>
          <w:szCs w:val="24"/>
        </w:rPr>
      </w:pPr>
      <w:r>
        <w:rPr>
          <w:rFonts w:ascii="Times New Roman" w:eastAsia="宋体" w:hAnsi="Times New Roman" w:hint="eastAsia"/>
          <w:spacing w:val="0"/>
          <w:sz w:val="24"/>
          <w:szCs w:val="24"/>
        </w:rPr>
        <w:t>工程</w:t>
      </w:r>
      <w:r>
        <w:rPr>
          <w:rFonts w:ascii="Times New Roman" w:eastAsia="宋体" w:hAnsi="Times New Roman"/>
          <w:spacing w:val="0"/>
          <w:sz w:val="24"/>
          <w:szCs w:val="24"/>
        </w:rPr>
        <w:t>临时占地在工程建设终期可通过植物措施恢复地表植被，使被破坏的植被恢复其原有的水土保持功能，工程对地表的扰动是暂时的、可恢复的。</w:t>
      </w:r>
    </w:p>
    <w:p w14:paraId="08FB97DB" w14:textId="77777777" w:rsidR="005A1A44" w:rsidRDefault="0008059E">
      <w:pPr>
        <w:pStyle w:val="51"/>
        <w:spacing w:before="0" w:line="360" w:lineRule="auto"/>
        <w:ind w:firstLine="480"/>
        <w:rPr>
          <w:rFonts w:ascii="Times New Roman" w:eastAsia="宋体" w:hAnsi="Times New Roman"/>
          <w:spacing w:val="0"/>
          <w:sz w:val="24"/>
          <w:szCs w:val="24"/>
        </w:rPr>
      </w:pPr>
      <w:r>
        <w:rPr>
          <w:rFonts w:ascii="Times New Roman" w:eastAsia="宋体" w:hAnsi="Times New Roman" w:hint="eastAsia"/>
          <w:spacing w:val="0"/>
          <w:sz w:val="24"/>
          <w:szCs w:val="24"/>
        </w:rPr>
        <w:t>河道治理选线结合了《和田河（玉龙喀什河）防洪规划（修编）》（</w:t>
      </w:r>
      <w:r>
        <w:rPr>
          <w:rFonts w:ascii="Times New Roman" w:eastAsia="宋体" w:hAnsi="Times New Roman" w:hint="eastAsia"/>
          <w:spacing w:val="0"/>
          <w:sz w:val="24"/>
          <w:szCs w:val="24"/>
        </w:rPr>
        <w:t xml:space="preserve">2018 </w:t>
      </w:r>
      <w:r>
        <w:rPr>
          <w:rFonts w:ascii="Times New Roman" w:eastAsia="宋体" w:hAnsi="Times New Roman" w:hint="eastAsia"/>
          <w:spacing w:val="0"/>
          <w:sz w:val="24"/>
          <w:szCs w:val="24"/>
        </w:rPr>
        <w:t>年</w:t>
      </w:r>
      <w:r>
        <w:rPr>
          <w:rFonts w:ascii="Times New Roman" w:eastAsia="宋体" w:hAnsi="Times New Roman" w:hint="eastAsia"/>
          <w:spacing w:val="0"/>
          <w:sz w:val="24"/>
          <w:szCs w:val="24"/>
        </w:rPr>
        <w:t xml:space="preserve"> 1 </w:t>
      </w:r>
      <w:r>
        <w:rPr>
          <w:rFonts w:ascii="Times New Roman" w:eastAsia="宋体" w:hAnsi="Times New Roman" w:hint="eastAsia"/>
          <w:spacing w:val="0"/>
          <w:sz w:val="24"/>
          <w:szCs w:val="24"/>
        </w:rPr>
        <w:t>月），广泛听取意见并结合和田市城市总体规划（</w:t>
      </w:r>
      <w:r>
        <w:rPr>
          <w:rFonts w:ascii="Times New Roman" w:eastAsia="宋体" w:hAnsi="Times New Roman" w:hint="eastAsia"/>
          <w:spacing w:val="0"/>
          <w:sz w:val="24"/>
          <w:szCs w:val="24"/>
        </w:rPr>
        <w:t>2012</w:t>
      </w:r>
      <w:r>
        <w:rPr>
          <w:rFonts w:ascii="Times New Roman" w:eastAsia="宋体" w:hAnsi="Times New Roman" w:hint="eastAsia"/>
          <w:spacing w:val="0"/>
          <w:sz w:val="24"/>
          <w:szCs w:val="24"/>
        </w:rPr>
        <w:t>—</w:t>
      </w:r>
      <w:r>
        <w:rPr>
          <w:rFonts w:ascii="Times New Roman" w:eastAsia="宋体" w:hAnsi="Times New Roman" w:hint="eastAsia"/>
          <w:spacing w:val="0"/>
          <w:sz w:val="24"/>
          <w:szCs w:val="24"/>
        </w:rPr>
        <w:t>2030</w:t>
      </w:r>
      <w:r>
        <w:rPr>
          <w:rFonts w:ascii="Times New Roman" w:eastAsia="宋体" w:hAnsi="Times New Roman" w:hint="eastAsia"/>
          <w:spacing w:val="0"/>
          <w:sz w:val="24"/>
          <w:szCs w:val="24"/>
        </w:rPr>
        <w:t>）和《和田河（玉龙喀什河）防洪规划（修编）》（</w:t>
      </w:r>
      <w:r>
        <w:rPr>
          <w:rFonts w:ascii="Times New Roman" w:eastAsia="宋体" w:hAnsi="Times New Roman" w:hint="eastAsia"/>
          <w:spacing w:val="0"/>
          <w:sz w:val="24"/>
          <w:szCs w:val="24"/>
        </w:rPr>
        <w:t xml:space="preserve">2018 </w:t>
      </w:r>
      <w:r>
        <w:rPr>
          <w:rFonts w:ascii="Times New Roman" w:eastAsia="宋体" w:hAnsi="Times New Roman" w:hint="eastAsia"/>
          <w:spacing w:val="0"/>
          <w:sz w:val="24"/>
          <w:szCs w:val="24"/>
        </w:rPr>
        <w:t>年</w:t>
      </w:r>
      <w:r>
        <w:rPr>
          <w:rFonts w:ascii="Times New Roman" w:eastAsia="宋体" w:hAnsi="Times New Roman" w:hint="eastAsia"/>
          <w:spacing w:val="0"/>
          <w:sz w:val="24"/>
          <w:szCs w:val="24"/>
        </w:rPr>
        <w:t xml:space="preserve"> 1 </w:t>
      </w:r>
      <w:r>
        <w:rPr>
          <w:rFonts w:ascii="Times New Roman" w:eastAsia="宋体" w:hAnsi="Times New Roman" w:hint="eastAsia"/>
          <w:spacing w:val="0"/>
          <w:sz w:val="24"/>
          <w:szCs w:val="24"/>
        </w:rPr>
        <w:t>月），对玉龙喀什河河道治理及两岸生态修复项目进行平面布置，设计采用河道中心线进行控制，经现场测量复核，项目范围内现状河道中心线实际长度</w:t>
      </w:r>
      <w:r>
        <w:rPr>
          <w:rFonts w:ascii="Times New Roman" w:eastAsia="宋体" w:hAnsi="Times New Roman" w:hint="eastAsia"/>
          <w:spacing w:val="0"/>
          <w:sz w:val="24"/>
          <w:szCs w:val="24"/>
        </w:rPr>
        <w:t xml:space="preserve"> 27.125km</w:t>
      </w:r>
      <w:r>
        <w:rPr>
          <w:rFonts w:ascii="Times New Roman" w:eastAsia="宋体" w:hAnsi="Times New Roman" w:hint="eastAsia"/>
          <w:spacing w:val="0"/>
          <w:sz w:val="24"/>
          <w:szCs w:val="24"/>
        </w:rPr>
        <w:t>。经多次分析比选认为，该河段防洪堤线路布置没有太多的选择余地，基本上沿着现状河岸、已建防洪堤及城区规划路布</w:t>
      </w:r>
      <w:r>
        <w:rPr>
          <w:rFonts w:ascii="Times New Roman" w:eastAsia="宋体" w:hAnsi="Times New Roman" w:hint="eastAsia"/>
          <w:spacing w:val="0"/>
          <w:sz w:val="24"/>
          <w:szCs w:val="24"/>
        </w:rPr>
        <w:lastRenderedPageBreak/>
        <w:t>置，与《和田河（玉龙喀什河）防洪规划（修编）》（</w:t>
      </w:r>
      <w:r>
        <w:rPr>
          <w:rFonts w:ascii="Times New Roman" w:eastAsia="宋体" w:hAnsi="Times New Roman" w:hint="eastAsia"/>
          <w:spacing w:val="0"/>
          <w:sz w:val="24"/>
          <w:szCs w:val="24"/>
        </w:rPr>
        <w:t xml:space="preserve">2018 </w:t>
      </w:r>
      <w:r>
        <w:rPr>
          <w:rFonts w:ascii="Times New Roman" w:eastAsia="宋体" w:hAnsi="Times New Roman" w:hint="eastAsia"/>
          <w:spacing w:val="0"/>
          <w:sz w:val="24"/>
          <w:szCs w:val="24"/>
        </w:rPr>
        <w:t>年</w:t>
      </w:r>
      <w:r>
        <w:rPr>
          <w:rFonts w:ascii="Times New Roman" w:eastAsia="宋体" w:hAnsi="Times New Roman" w:hint="eastAsia"/>
          <w:spacing w:val="0"/>
          <w:sz w:val="24"/>
          <w:szCs w:val="24"/>
        </w:rPr>
        <w:t xml:space="preserve"> 1 </w:t>
      </w:r>
      <w:r>
        <w:rPr>
          <w:rFonts w:ascii="Times New Roman" w:eastAsia="宋体" w:hAnsi="Times New Roman" w:hint="eastAsia"/>
          <w:spacing w:val="0"/>
          <w:sz w:val="24"/>
          <w:szCs w:val="24"/>
        </w:rPr>
        <w:t>月）堤线基本一致。因此，本项目的选址选线较为合理。</w:t>
      </w:r>
    </w:p>
    <w:p w14:paraId="36FD7072" w14:textId="77777777" w:rsidR="005A1A44" w:rsidRDefault="0008059E">
      <w:pPr>
        <w:pStyle w:val="4"/>
        <w:numPr>
          <w:ilvl w:val="3"/>
          <w:numId w:val="2"/>
        </w:numPr>
      </w:pPr>
      <w:r>
        <w:rPr>
          <w:rFonts w:hint="eastAsia"/>
        </w:rPr>
        <w:t xml:space="preserve"> </w:t>
      </w:r>
      <w:r>
        <w:rPr>
          <w:rFonts w:hint="eastAsia"/>
        </w:rPr>
        <w:t>总平面布置的合理性分析</w:t>
      </w:r>
    </w:p>
    <w:p w14:paraId="33CF8E9F" w14:textId="77777777" w:rsidR="005A1A44" w:rsidRDefault="0008059E">
      <w:pPr>
        <w:ind w:firstLine="480"/>
        <w:rPr>
          <w:rFonts w:ascii="Times New Roman" w:eastAsia="宋体" w:hAnsi="Times New Roman"/>
        </w:rPr>
      </w:pPr>
      <w:r>
        <w:rPr>
          <w:rFonts w:ascii="Times New Roman" w:eastAsia="宋体" w:hAnsi="Times New Roman" w:hint="eastAsia"/>
        </w:rPr>
        <w:t>本工程为线性工程，最长项目区跨度为</w:t>
      </w:r>
      <w:r>
        <w:rPr>
          <w:rFonts w:ascii="Times New Roman" w:eastAsia="宋体" w:hAnsi="Times New Roman" w:hint="eastAsia"/>
        </w:rPr>
        <w:t>27.145km</w:t>
      </w:r>
      <w:r>
        <w:rPr>
          <w:rFonts w:ascii="Times New Roman" w:eastAsia="宋体" w:hAnsi="Times New Roman" w:hint="eastAsia"/>
        </w:rPr>
        <w:t>，本工程受地形及规划限制，选址具有唯一性。经过现场踏勘，工程区位于和田市，土和高速公路、</w:t>
      </w:r>
      <w:r>
        <w:rPr>
          <w:rFonts w:ascii="Times New Roman" w:eastAsia="宋体" w:hAnsi="Times New Roman" w:hint="eastAsia"/>
        </w:rPr>
        <w:t>315</w:t>
      </w:r>
      <w:r>
        <w:rPr>
          <w:rFonts w:ascii="Times New Roman" w:eastAsia="宋体" w:hAnsi="Times New Roman" w:hint="eastAsia"/>
        </w:rPr>
        <w:t>国道横穿河道，项目周边有</w:t>
      </w:r>
      <w:r>
        <w:rPr>
          <w:rFonts w:ascii="Times New Roman" w:eastAsia="宋体" w:hAnsi="Times New Roman" w:hint="eastAsia"/>
        </w:rPr>
        <w:t>S210</w:t>
      </w:r>
      <w:r>
        <w:rPr>
          <w:rFonts w:ascii="Times New Roman" w:eastAsia="宋体" w:hAnsi="Times New Roman" w:hint="eastAsia"/>
        </w:rPr>
        <w:t>、</w:t>
      </w:r>
      <w:r>
        <w:rPr>
          <w:rFonts w:ascii="Times New Roman" w:eastAsia="宋体" w:hAnsi="Times New Roman" w:hint="eastAsia"/>
        </w:rPr>
        <w:t>S216</w:t>
      </w:r>
      <w:r>
        <w:rPr>
          <w:rFonts w:ascii="Times New Roman" w:eastAsia="宋体" w:hAnsi="Times New Roman" w:hint="eastAsia"/>
        </w:rPr>
        <w:t>省道和滨河路、城市道路等，交通方便，对外交通十分便利，</w:t>
      </w:r>
      <w:r>
        <w:t>洪堤段有顺河流方向简易戈壁碎石路，同和布柏油公路平行，通过横向</w:t>
      </w:r>
      <w:r>
        <w:t xml:space="preserve"> 4 </w:t>
      </w:r>
      <w:r>
        <w:t>处戈壁碎石路相通，交通相对便利，可满足各种施工机械的调迁</w:t>
      </w:r>
      <w:r>
        <w:rPr>
          <w:rFonts w:hint="eastAsia"/>
        </w:rPr>
        <w:t>，因此工程施工时不需要再建设临时道路，</w:t>
      </w:r>
      <w:r>
        <w:rPr>
          <w:rFonts w:ascii="Times New Roman" w:eastAsia="宋体" w:hAnsi="Times New Roman" w:hint="eastAsia"/>
        </w:rPr>
        <w:t>这样减少了对地表结构以及植被的破坏，减少引发水土流失及对环境的影响。</w:t>
      </w:r>
    </w:p>
    <w:p w14:paraId="3C9F2EFF" w14:textId="77777777" w:rsidR="005A1A44" w:rsidRDefault="0008059E">
      <w:pPr>
        <w:ind w:firstLine="480"/>
        <w:rPr>
          <w:rFonts w:ascii="Times New Roman" w:eastAsia="宋体" w:hAnsi="Times New Roman"/>
        </w:rPr>
      </w:pPr>
      <w:r>
        <w:rPr>
          <w:rFonts w:ascii="Times New Roman" w:eastAsia="宋体" w:hAnsi="Times New Roman" w:hint="eastAsia"/>
        </w:rPr>
        <w:t>由于可研未对施工生产、生活区的位置、占地面积、数量的进行明确，本次环评对此提出以下要求：</w:t>
      </w:r>
    </w:p>
    <w:p w14:paraId="41DAC02F" w14:textId="77777777" w:rsidR="005A1A44" w:rsidRDefault="0008059E">
      <w:pPr>
        <w:ind w:firstLine="480"/>
        <w:rPr>
          <w:bCs/>
        </w:rPr>
      </w:pPr>
      <w:r>
        <w:rPr>
          <w:bCs/>
        </w:rPr>
        <w:t>（</w:t>
      </w:r>
      <w:r>
        <w:rPr>
          <w:bCs/>
        </w:rPr>
        <w:t>1</w:t>
      </w:r>
      <w:r>
        <w:rPr>
          <w:bCs/>
        </w:rPr>
        <w:t>）</w:t>
      </w:r>
      <w:r>
        <w:rPr>
          <w:rFonts w:hint="eastAsia"/>
          <w:bCs/>
        </w:rPr>
        <w:t>施工营地和施工生产区禁止布置在饮用水水源保护区内。</w:t>
      </w:r>
    </w:p>
    <w:p w14:paraId="000B92DC" w14:textId="77777777" w:rsidR="005A1A44" w:rsidRDefault="0008059E">
      <w:pPr>
        <w:ind w:firstLine="480"/>
        <w:rPr>
          <w:bCs/>
        </w:rPr>
      </w:pPr>
      <w:r>
        <w:rPr>
          <w:rFonts w:hint="eastAsia"/>
          <w:bCs/>
        </w:rPr>
        <w:t>（</w:t>
      </w:r>
      <w:r>
        <w:rPr>
          <w:rFonts w:hint="eastAsia"/>
          <w:bCs/>
        </w:rPr>
        <w:t>2</w:t>
      </w:r>
      <w:r>
        <w:rPr>
          <w:rFonts w:hint="eastAsia"/>
          <w:bCs/>
        </w:rPr>
        <w:t>）应</w:t>
      </w:r>
      <w:r>
        <w:rPr>
          <w:bCs/>
        </w:rPr>
        <w:t>结合场地的地形和交通运输、动力供应、水源等条件及状况，</w:t>
      </w:r>
      <w:r>
        <w:rPr>
          <w:rFonts w:hint="eastAsia"/>
          <w:bCs/>
        </w:rPr>
        <w:t>尤其考虑尽量利用已有污水、垃圾收集设施的情况下，</w:t>
      </w:r>
      <w:r>
        <w:rPr>
          <w:bCs/>
        </w:rPr>
        <w:t>因地制宜的布置生活生产区</w:t>
      </w:r>
      <w:r>
        <w:rPr>
          <w:rFonts w:hint="eastAsia"/>
          <w:bCs/>
        </w:rPr>
        <w:t>，施工工人的生活区尽量布置在河岸两侧区域，其生活污水可以直接接入城镇生活污水管网，生活垃圾也可按照城镇生活垃圾一起进行清运</w:t>
      </w:r>
      <w:r>
        <w:rPr>
          <w:bCs/>
        </w:rPr>
        <w:t>。</w:t>
      </w:r>
    </w:p>
    <w:p w14:paraId="570DB5D9" w14:textId="77777777" w:rsidR="005A1A44" w:rsidRDefault="0008059E">
      <w:pPr>
        <w:ind w:firstLine="480"/>
      </w:pPr>
      <w:r>
        <w:rPr>
          <w:bCs/>
        </w:rPr>
        <w:t>（</w:t>
      </w:r>
      <w:r>
        <w:rPr>
          <w:bCs/>
        </w:rPr>
        <w:t>3</w:t>
      </w:r>
      <w:r>
        <w:rPr>
          <w:bCs/>
        </w:rPr>
        <w:t>）</w:t>
      </w:r>
      <w:r>
        <w:t>工程施工时主体工程、施工营地所有剥离表土均就近堆放于各</w:t>
      </w:r>
      <w:r>
        <w:rPr>
          <w:rFonts w:hint="eastAsia"/>
        </w:rPr>
        <w:t>临时施工场</w:t>
      </w:r>
      <w:r>
        <w:t>区一侧，</w:t>
      </w:r>
      <w:r>
        <w:rPr>
          <w:rFonts w:hint="eastAsia"/>
        </w:rPr>
        <w:t>所有弃土、弃渣全部回用于本项目河道治理</w:t>
      </w:r>
      <w:r>
        <w:t>，不另设弃渣场。</w:t>
      </w:r>
    </w:p>
    <w:p w14:paraId="44061AF4" w14:textId="77777777" w:rsidR="005A1A44" w:rsidRDefault="0008059E">
      <w:pPr>
        <w:ind w:firstLine="480"/>
      </w:pPr>
      <w:r>
        <w:t>（</w:t>
      </w:r>
      <w:r>
        <w:t>4</w:t>
      </w:r>
      <w:r>
        <w:t>）</w:t>
      </w:r>
      <w:r>
        <w:rPr>
          <w:rFonts w:hint="eastAsia"/>
        </w:rPr>
        <w:t>保证周围</w:t>
      </w:r>
      <w:r>
        <w:t>居民点及施工人员休息室距施工区有一定距离，</w:t>
      </w:r>
      <w:r>
        <w:rPr>
          <w:rFonts w:hint="eastAsia"/>
        </w:rPr>
        <w:t>减轻</w:t>
      </w:r>
      <w:r>
        <w:t>噪声</w:t>
      </w:r>
      <w:r>
        <w:rPr>
          <w:rFonts w:hint="eastAsia"/>
        </w:rPr>
        <w:t>、扬尘等</w:t>
      </w:r>
      <w:r>
        <w:t>对其的</w:t>
      </w:r>
      <w:r>
        <w:rPr>
          <w:rFonts w:hint="eastAsia"/>
        </w:rPr>
        <w:t>影响</w:t>
      </w:r>
      <w:r>
        <w:t>。</w:t>
      </w:r>
    </w:p>
    <w:p w14:paraId="3944D0F1" w14:textId="77777777" w:rsidR="005A1A44" w:rsidRDefault="0008059E">
      <w:pPr>
        <w:ind w:firstLine="480"/>
      </w:pPr>
      <w:r>
        <w:t>（</w:t>
      </w:r>
      <w:r>
        <w:t>4</w:t>
      </w:r>
      <w:r>
        <w:t>）满足工艺流程，力求各工序间距离最短，运输方便。</w:t>
      </w:r>
    </w:p>
    <w:p w14:paraId="20108046" w14:textId="77777777" w:rsidR="005A1A44" w:rsidRDefault="0008059E">
      <w:pPr>
        <w:pStyle w:val="51"/>
        <w:spacing w:before="0" w:line="360" w:lineRule="auto"/>
        <w:ind w:firstLine="480"/>
        <w:rPr>
          <w:rFonts w:ascii="Times New Roman" w:eastAsia="宋体" w:hAnsi="Times New Roman"/>
          <w:spacing w:val="0"/>
          <w:sz w:val="24"/>
          <w:szCs w:val="24"/>
        </w:rPr>
      </w:pPr>
      <w:r>
        <w:rPr>
          <w:rFonts w:asciiTheme="minorHAnsi" w:eastAsiaTheme="minorEastAsia" w:hAnsiTheme="minorHAnsi" w:hint="eastAsia"/>
          <w:spacing w:val="0"/>
          <w:kern w:val="2"/>
          <w:sz w:val="24"/>
          <w:szCs w:val="24"/>
        </w:rPr>
        <w:t>（</w:t>
      </w:r>
      <w:r>
        <w:rPr>
          <w:rFonts w:asciiTheme="minorHAnsi" w:eastAsiaTheme="minorEastAsia" w:hAnsiTheme="minorHAnsi" w:hint="eastAsia"/>
          <w:spacing w:val="0"/>
          <w:kern w:val="2"/>
          <w:sz w:val="24"/>
          <w:szCs w:val="24"/>
        </w:rPr>
        <w:t>5</w:t>
      </w:r>
      <w:r>
        <w:rPr>
          <w:rFonts w:asciiTheme="minorHAnsi" w:eastAsiaTheme="minorEastAsia" w:hAnsiTheme="minorHAnsi" w:hint="eastAsia"/>
          <w:spacing w:val="0"/>
          <w:kern w:val="2"/>
          <w:sz w:val="24"/>
          <w:szCs w:val="24"/>
        </w:rPr>
        <w:t>）考虑到现场</w:t>
      </w:r>
      <w:r>
        <w:rPr>
          <w:rFonts w:ascii="Times New Roman" w:eastAsia="宋体" w:hAnsi="Times New Roman" w:hint="eastAsia"/>
          <w:spacing w:val="0"/>
          <w:sz w:val="24"/>
          <w:szCs w:val="24"/>
        </w:rPr>
        <w:t>实际情况限制和项目施工需要，可以考虑将整个工程划分为</w:t>
      </w:r>
      <w:r>
        <w:rPr>
          <w:rFonts w:ascii="Times New Roman" w:eastAsia="宋体" w:hAnsi="Times New Roman" w:hint="eastAsia"/>
          <w:spacing w:val="0"/>
          <w:sz w:val="24"/>
          <w:szCs w:val="24"/>
        </w:rPr>
        <w:t>1-</w:t>
      </w:r>
      <w:r>
        <w:rPr>
          <w:rFonts w:ascii="Times New Roman" w:eastAsia="宋体" w:hAnsi="Times New Roman"/>
          <w:spacing w:val="0"/>
          <w:sz w:val="24"/>
          <w:szCs w:val="24"/>
        </w:rPr>
        <w:t>3</w:t>
      </w:r>
      <w:r>
        <w:rPr>
          <w:rFonts w:ascii="Times New Roman" w:eastAsia="宋体" w:hAnsi="Times New Roman" w:hint="eastAsia"/>
          <w:spacing w:val="0"/>
          <w:sz w:val="24"/>
          <w:szCs w:val="24"/>
        </w:rPr>
        <w:t>个施工工区段，为提高设备及设施使用效率，施工过程中部分临建设施可采用共享的方式使用，施工机具落实到各施工面上，机具不固定，随工程进展而移动。</w:t>
      </w:r>
    </w:p>
    <w:p w14:paraId="3415C549" w14:textId="77777777" w:rsidR="005A1A44" w:rsidRDefault="0008059E">
      <w:pPr>
        <w:ind w:firstLine="480"/>
        <w:rPr>
          <w:rFonts w:ascii="Times New Roman" w:eastAsia="宋体" w:hAnsi="Times New Roman"/>
          <w:bCs/>
        </w:rPr>
      </w:pPr>
      <w:r>
        <w:rPr>
          <w:rFonts w:ascii="Times New Roman" w:eastAsia="宋体" w:hAnsi="Times New Roman" w:hint="eastAsia"/>
          <w:bCs/>
        </w:rPr>
        <w:t>在上述要求的情况下，</w:t>
      </w:r>
      <w:r>
        <w:rPr>
          <w:rFonts w:ascii="Times New Roman" w:eastAsia="宋体" w:hAnsi="Times New Roman"/>
          <w:bCs/>
        </w:rPr>
        <w:t>本工程总平面布置上</w:t>
      </w:r>
      <w:r>
        <w:rPr>
          <w:rFonts w:ascii="Times New Roman" w:eastAsia="宋体" w:hAnsi="Times New Roman" w:hint="eastAsia"/>
          <w:bCs/>
        </w:rPr>
        <w:t>可实现</w:t>
      </w:r>
      <w:r>
        <w:rPr>
          <w:rFonts w:ascii="Times New Roman" w:eastAsia="宋体" w:hAnsi="Times New Roman"/>
          <w:bCs/>
        </w:rPr>
        <w:t>基本合理。</w:t>
      </w:r>
    </w:p>
    <w:p w14:paraId="423E62C7" w14:textId="77777777" w:rsidR="005A1A44" w:rsidRDefault="0008059E">
      <w:pPr>
        <w:pStyle w:val="4"/>
        <w:numPr>
          <w:ilvl w:val="3"/>
          <w:numId w:val="2"/>
        </w:numPr>
      </w:pPr>
      <w:r>
        <w:rPr>
          <w:rFonts w:hint="eastAsia"/>
        </w:rPr>
        <w:lastRenderedPageBreak/>
        <w:t xml:space="preserve"> </w:t>
      </w:r>
      <w:r>
        <w:rPr>
          <w:rFonts w:hint="eastAsia"/>
        </w:rPr>
        <w:t>施工场地及施工方案合理性分析</w:t>
      </w:r>
    </w:p>
    <w:p w14:paraId="6E603D4A" w14:textId="77777777" w:rsidR="005A1A44" w:rsidRDefault="0008059E">
      <w:pPr>
        <w:pStyle w:val="51"/>
        <w:spacing w:before="0" w:line="360" w:lineRule="auto"/>
        <w:ind w:firstLine="480"/>
        <w:rPr>
          <w:rFonts w:ascii="宋体" w:eastAsia="宋体" w:hAnsi="宋体" w:cs="宋体" w:hint="eastAsia"/>
          <w:spacing w:val="0"/>
          <w:sz w:val="24"/>
          <w:szCs w:val="24"/>
        </w:rPr>
      </w:pPr>
      <w:r>
        <w:rPr>
          <w:rFonts w:ascii="宋体" w:eastAsia="宋体" w:hAnsi="宋体" w:cs="宋体" w:hint="eastAsia"/>
          <w:spacing w:val="0"/>
          <w:sz w:val="24"/>
          <w:szCs w:val="24"/>
        </w:rPr>
        <w:t>由于项目可研报告对施工场地和施工方案内容较为缺乏，未提供施工布置图，本次环评对施工场地及施工方案提出以下要求。</w:t>
      </w:r>
    </w:p>
    <w:p w14:paraId="7D1C2748" w14:textId="77777777" w:rsidR="005A1A44" w:rsidRDefault="0008059E">
      <w:pPr>
        <w:pStyle w:val="51"/>
        <w:spacing w:before="0" w:line="360" w:lineRule="auto"/>
        <w:ind w:firstLine="480"/>
        <w:rPr>
          <w:rFonts w:ascii="宋体" w:eastAsia="宋体" w:hAnsi="宋体" w:cs="宋体" w:hint="eastAsia"/>
          <w:spacing w:val="0"/>
          <w:sz w:val="24"/>
          <w:szCs w:val="24"/>
        </w:rPr>
      </w:pPr>
      <w:r>
        <w:rPr>
          <w:rFonts w:ascii="宋体" w:eastAsia="宋体" w:hAnsi="宋体" w:cs="宋体" w:hint="eastAsia"/>
          <w:spacing w:val="0"/>
          <w:sz w:val="24"/>
          <w:szCs w:val="24"/>
        </w:rPr>
        <w:t>（1）施工临时占地</w:t>
      </w:r>
    </w:p>
    <w:p w14:paraId="3C1BE879" w14:textId="77777777" w:rsidR="005A1A44" w:rsidRDefault="0008059E">
      <w:pPr>
        <w:pStyle w:val="51"/>
        <w:spacing w:before="0" w:line="360" w:lineRule="auto"/>
        <w:ind w:firstLine="480"/>
        <w:rPr>
          <w:rFonts w:ascii="宋体" w:eastAsia="宋体" w:hAnsi="宋体" w:cs="宋体" w:hint="eastAsia"/>
          <w:spacing w:val="0"/>
          <w:sz w:val="24"/>
          <w:szCs w:val="24"/>
        </w:rPr>
      </w:pPr>
      <w:r>
        <w:rPr>
          <w:rFonts w:ascii="宋体" w:eastAsia="宋体" w:hAnsi="宋体" w:cs="宋体" w:hint="eastAsia"/>
          <w:spacing w:val="0"/>
          <w:sz w:val="24"/>
          <w:szCs w:val="24"/>
        </w:rPr>
        <w:t>临时占地的布设应遵循以下原则：</w:t>
      </w:r>
    </w:p>
    <w:p w14:paraId="15B2326A" w14:textId="77777777" w:rsidR="005A1A44" w:rsidRDefault="0008059E">
      <w:pPr>
        <w:pStyle w:val="51"/>
        <w:spacing w:before="0" w:line="360" w:lineRule="auto"/>
        <w:ind w:firstLineChars="176" w:firstLine="422"/>
        <w:rPr>
          <w:rFonts w:ascii="宋体" w:eastAsia="宋体" w:hAnsi="宋体" w:cs="宋体" w:hint="eastAsia"/>
          <w:spacing w:val="0"/>
          <w:sz w:val="24"/>
          <w:szCs w:val="24"/>
        </w:rPr>
      </w:pPr>
      <w:r>
        <w:rPr>
          <w:rFonts w:ascii="宋体" w:eastAsia="宋体" w:hAnsi="宋体" w:cs="宋体" w:hint="eastAsia"/>
          <w:spacing w:val="0"/>
          <w:sz w:val="24"/>
          <w:szCs w:val="24"/>
        </w:rPr>
        <w:t>①尽量减少施工用地，使平面布置紧凑合理；</w:t>
      </w:r>
    </w:p>
    <w:p w14:paraId="7044D8C8" w14:textId="77777777" w:rsidR="005A1A44" w:rsidRDefault="0008059E">
      <w:pPr>
        <w:pStyle w:val="51"/>
        <w:spacing w:before="0" w:line="360" w:lineRule="auto"/>
        <w:ind w:firstLineChars="176" w:firstLine="422"/>
        <w:rPr>
          <w:rFonts w:ascii="宋体" w:eastAsia="宋体" w:hAnsi="宋体" w:cs="宋体" w:hint="eastAsia"/>
          <w:spacing w:val="0"/>
          <w:sz w:val="24"/>
          <w:szCs w:val="24"/>
        </w:rPr>
      </w:pPr>
      <w:r>
        <w:rPr>
          <w:rFonts w:ascii="宋体" w:eastAsia="宋体" w:hAnsi="宋体" w:cs="宋体" w:hint="eastAsia"/>
          <w:spacing w:val="0"/>
          <w:sz w:val="24"/>
          <w:szCs w:val="24"/>
        </w:rPr>
        <w:t>②合理组织运输，减少运输费用，保证运输方便通畅；</w:t>
      </w:r>
    </w:p>
    <w:p w14:paraId="1C3D6D6A" w14:textId="77777777" w:rsidR="005A1A44" w:rsidRDefault="0008059E">
      <w:pPr>
        <w:pStyle w:val="51"/>
        <w:spacing w:before="0" w:line="360" w:lineRule="auto"/>
        <w:ind w:firstLineChars="176" w:firstLine="422"/>
        <w:rPr>
          <w:rFonts w:ascii="宋体" w:eastAsia="宋体" w:hAnsi="宋体" w:cs="宋体" w:hint="eastAsia"/>
          <w:spacing w:val="0"/>
          <w:sz w:val="24"/>
          <w:szCs w:val="24"/>
        </w:rPr>
      </w:pPr>
      <w:r>
        <w:rPr>
          <w:rFonts w:ascii="宋体" w:eastAsia="宋体" w:hAnsi="宋体" w:cs="宋体" w:hint="eastAsia"/>
          <w:spacing w:val="0"/>
          <w:sz w:val="24"/>
          <w:szCs w:val="24"/>
        </w:rPr>
        <w:t>③施工区域的划分和场地的确定，应符合施工流程要求，尽量减少专业工种和各工程之间的干扰；</w:t>
      </w:r>
    </w:p>
    <w:p w14:paraId="7B9B3F9D" w14:textId="77777777" w:rsidR="005A1A44" w:rsidRDefault="0008059E">
      <w:pPr>
        <w:pStyle w:val="51"/>
        <w:spacing w:before="0" w:line="360" w:lineRule="auto"/>
        <w:ind w:firstLineChars="176" w:firstLine="422"/>
        <w:rPr>
          <w:rFonts w:ascii="宋体" w:eastAsia="宋体" w:hAnsi="宋体" w:cs="宋体" w:hint="eastAsia"/>
          <w:spacing w:val="0"/>
          <w:sz w:val="24"/>
          <w:szCs w:val="24"/>
        </w:rPr>
      </w:pPr>
      <w:r>
        <w:rPr>
          <w:rFonts w:ascii="宋体" w:eastAsia="宋体" w:hAnsi="宋体" w:cs="宋体" w:hint="eastAsia"/>
          <w:spacing w:val="0"/>
          <w:sz w:val="24"/>
          <w:szCs w:val="24"/>
        </w:rPr>
        <w:t>④将高噪声设备、料场等布置在区域中部，尽量远离周围敏感点；</w:t>
      </w:r>
    </w:p>
    <w:p w14:paraId="0DE46E83" w14:textId="77777777" w:rsidR="005A1A44" w:rsidRDefault="0008059E">
      <w:pPr>
        <w:pStyle w:val="51"/>
        <w:spacing w:before="0" w:line="360" w:lineRule="auto"/>
        <w:ind w:firstLineChars="176" w:firstLine="422"/>
        <w:rPr>
          <w:rFonts w:ascii="宋体" w:eastAsia="宋体" w:hAnsi="宋体" w:cs="宋体" w:hint="eastAsia"/>
          <w:spacing w:val="0"/>
          <w:sz w:val="24"/>
          <w:szCs w:val="24"/>
        </w:rPr>
      </w:pPr>
      <w:r>
        <w:rPr>
          <w:rFonts w:ascii="宋体" w:eastAsia="宋体" w:hAnsi="宋体" w:cs="宋体" w:hint="eastAsia"/>
          <w:spacing w:val="0"/>
          <w:sz w:val="24"/>
          <w:szCs w:val="24"/>
        </w:rPr>
        <w:t>⑤施工场地布置钢筋制作区、机械停放区、材料仓库、水泥仓库、砼拌合站等，尽量布设在项目区范围内，占地类型尽量为荒地；</w:t>
      </w:r>
    </w:p>
    <w:p w14:paraId="0F705077" w14:textId="77777777" w:rsidR="005A1A44" w:rsidRDefault="0008059E">
      <w:pPr>
        <w:pStyle w:val="51"/>
        <w:spacing w:before="0" w:line="360" w:lineRule="auto"/>
        <w:ind w:firstLineChars="176" w:firstLine="422"/>
        <w:rPr>
          <w:rFonts w:ascii="宋体" w:eastAsia="宋体" w:hAnsi="宋体" w:cs="宋体" w:hint="eastAsia"/>
          <w:spacing w:val="0"/>
          <w:sz w:val="24"/>
          <w:szCs w:val="24"/>
        </w:rPr>
      </w:pPr>
      <w:r>
        <w:rPr>
          <w:rFonts w:ascii="宋体" w:eastAsia="宋体" w:hAnsi="宋体" w:cs="宋体" w:hint="eastAsia"/>
          <w:spacing w:val="0"/>
          <w:sz w:val="24"/>
          <w:szCs w:val="24"/>
        </w:rPr>
        <w:t>⑥员工食堂、休息室、管理办公室、安全值班室以及化粪池、隔油池、沉淀池等须布设在河道外，市政设施较完善的区域。</w:t>
      </w:r>
    </w:p>
    <w:p w14:paraId="62CB9389" w14:textId="77777777" w:rsidR="005A1A44" w:rsidRDefault="0008059E">
      <w:pPr>
        <w:ind w:firstLine="480"/>
        <w:rPr>
          <w:rFonts w:ascii="宋体" w:hAnsi="宋体" w:hint="eastAsia"/>
        </w:rPr>
      </w:pPr>
      <w:r>
        <w:rPr>
          <w:rFonts w:ascii="宋体" w:eastAsia="宋体" w:hAnsi="宋体" w:cs="宋体" w:hint="eastAsia"/>
        </w:rPr>
        <w:t>⑦</w:t>
      </w:r>
      <w:r>
        <w:rPr>
          <w:rFonts w:ascii="宋体" w:hAnsi="宋体" w:hint="eastAsia"/>
        </w:rPr>
        <w:t>旱厕和砼拌合站都设置在当地风向的下风向，且旱厕、隔油池和沉淀池都需采取“基底砂土覆盖平整+C25混凝土”防渗结构防渗。</w:t>
      </w:r>
    </w:p>
    <w:p w14:paraId="36E7D25A" w14:textId="77777777" w:rsidR="005A1A44" w:rsidRDefault="0008059E">
      <w:pPr>
        <w:pStyle w:val="51"/>
        <w:spacing w:before="0" w:line="360" w:lineRule="auto"/>
        <w:ind w:firstLineChars="176" w:firstLine="422"/>
        <w:rPr>
          <w:rFonts w:ascii="宋体" w:eastAsia="宋体" w:hAnsi="宋体" w:cs="宋体" w:hint="eastAsia"/>
          <w:spacing w:val="0"/>
          <w:sz w:val="24"/>
          <w:szCs w:val="24"/>
        </w:rPr>
      </w:pPr>
      <w:r>
        <w:rPr>
          <w:rFonts w:ascii="宋体" w:eastAsia="宋体" w:hAnsi="宋体" w:cs="宋体" w:hint="eastAsia"/>
          <w:spacing w:val="0"/>
          <w:sz w:val="24"/>
          <w:szCs w:val="24"/>
        </w:rPr>
        <w:t>⑧满足安全防火、劳动保护的要求。</w:t>
      </w:r>
    </w:p>
    <w:p w14:paraId="767D8987" w14:textId="77777777" w:rsidR="005A1A44" w:rsidRDefault="0008059E">
      <w:pPr>
        <w:pStyle w:val="51"/>
        <w:spacing w:before="0" w:line="360" w:lineRule="auto"/>
        <w:ind w:firstLineChars="176" w:firstLine="422"/>
        <w:rPr>
          <w:rFonts w:ascii="宋体" w:eastAsia="宋体" w:hAnsi="宋体" w:cs="宋体" w:hint="eastAsia"/>
          <w:spacing w:val="0"/>
          <w:sz w:val="24"/>
          <w:szCs w:val="24"/>
        </w:rPr>
      </w:pPr>
      <w:r>
        <w:rPr>
          <w:rFonts w:ascii="宋体" w:eastAsia="宋体" w:hAnsi="宋体" w:cs="宋体" w:hint="eastAsia"/>
          <w:spacing w:val="0"/>
          <w:sz w:val="24"/>
          <w:szCs w:val="24"/>
        </w:rPr>
        <w:t>（2）施工用水</w:t>
      </w:r>
    </w:p>
    <w:p w14:paraId="49120125" w14:textId="77777777" w:rsidR="005A1A44" w:rsidRDefault="0008059E">
      <w:pPr>
        <w:pStyle w:val="51"/>
        <w:spacing w:before="0" w:line="360" w:lineRule="auto"/>
        <w:ind w:firstLineChars="176" w:firstLine="422"/>
        <w:rPr>
          <w:rFonts w:ascii="宋体" w:eastAsia="宋体" w:hAnsi="宋体" w:cs="宋体" w:hint="eastAsia"/>
          <w:spacing w:val="0"/>
          <w:sz w:val="24"/>
          <w:szCs w:val="24"/>
        </w:rPr>
      </w:pPr>
      <w:r>
        <w:rPr>
          <w:rFonts w:ascii="宋体" w:eastAsia="宋体" w:hAnsi="宋体" w:cs="宋体" w:hint="eastAsia"/>
          <w:spacing w:val="0"/>
          <w:sz w:val="24"/>
          <w:szCs w:val="24"/>
        </w:rPr>
        <w:t>项目施工用水拟从总干渠或河道抽取，环评认为基本可行。</w:t>
      </w:r>
    </w:p>
    <w:p w14:paraId="52C2C115" w14:textId="77777777" w:rsidR="005A1A44" w:rsidRDefault="0008059E">
      <w:pPr>
        <w:pStyle w:val="51"/>
        <w:spacing w:before="0" w:line="360" w:lineRule="auto"/>
        <w:ind w:firstLineChars="176" w:firstLine="422"/>
        <w:rPr>
          <w:rFonts w:ascii="宋体" w:eastAsia="宋体" w:hAnsi="宋体" w:cs="宋体" w:hint="eastAsia"/>
          <w:spacing w:val="0"/>
          <w:sz w:val="24"/>
          <w:szCs w:val="24"/>
        </w:rPr>
      </w:pPr>
      <w:r>
        <w:rPr>
          <w:rFonts w:ascii="宋体" w:eastAsia="宋体" w:hAnsi="宋体" w:cs="宋体" w:hint="eastAsia"/>
          <w:spacing w:val="0"/>
          <w:sz w:val="24"/>
          <w:szCs w:val="24"/>
        </w:rPr>
        <w:t>（3）施工期生活用水</w:t>
      </w:r>
    </w:p>
    <w:p w14:paraId="147617E6" w14:textId="77777777" w:rsidR="005A1A44" w:rsidRDefault="0008059E">
      <w:pPr>
        <w:pStyle w:val="51"/>
        <w:spacing w:before="0" w:line="360" w:lineRule="auto"/>
        <w:ind w:firstLineChars="176" w:firstLine="458"/>
        <w:rPr>
          <w:rFonts w:ascii="宋体" w:eastAsia="宋体" w:hAnsi="宋体" w:hint="eastAsia"/>
          <w:spacing w:val="0"/>
          <w:sz w:val="24"/>
          <w:szCs w:val="24"/>
        </w:rPr>
      </w:pPr>
      <w:r>
        <w:rPr>
          <w:rFonts w:asciiTheme="minorHAnsi" w:eastAsiaTheme="minorEastAsia" w:hAnsiTheme="minorHAnsi" w:hint="eastAsia"/>
          <w:kern w:val="2"/>
          <w:sz w:val="24"/>
          <w:szCs w:val="24"/>
        </w:rPr>
        <w:t>工人饮用水水源为外购，</w:t>
      </w:r>
      <w:r>
        <w:rPr>
          <w:rFonts w:ascii="宋体" w:eastAsia="宋体" w:hAnsi="宋体" w:hint="eastAsia"/>
          <w:spacing w:val="0"/>
          <w:sz w:val="24"/>
          <w:szCs w:val="24"/>
        </w:rPr>
        <w:t>环评认为可行。</w:t>
      </w:r>
    </w:p>
    <w:p w14:paraId="117FA128" w14:textId="77777777" w:rsidR="005A1A44" w:rsidRDefault="0008059E">
      <w:pPr>
        <w:numPr>
          <w:ilvl w:val="0"/>
          <w:numId w:val="8"/>
        </w:numPr>
        <w:ind w:firstLine="480"/>
        <w:rPr>
          <w:rFonts w:ascii="宋体" w:eastAsia="宋体" w:hAnsi="宋体" w:hint="eastAsia"/>
        </w:rPr>
      </w:pPr>
      <w:r>
        <w:rPr>
          <w:rFonts w:ascii="宋体" w:eastAsia="宋体" w:hAnsi="宋体" w:hint="eastAsia"/>
        </w:rPr>
        <w:t>施工用电</w:t>
      </w:r>
    </w:p>
    <w:p w14:paraId="685643C3" w14:textId="77777777" w:rsidR="005A1A44" w:rsidRDefault="0008059E">
      <w:pPr>
        <w:ind w:firstLine="480"/>
      </w:pPr>
      <w:r>
        <w:rPr>
          <w:rFonts w:hint="eastAsia"/>
        </w:rPr>
        <w:t>可研提出本工程外部输电线路没有专门架设，建议施工用电采用自备电源，由施工单位自行发电解决。</w:t>
      </w:r>
    </w:p>
    <w:p w14:paraId="50726D93" w14:textId="77777777" w:rsidR="005A1A44" w:rsidRDefault="0008059E">
      <w:pPr>
        <w:ind w:firstLine="480"/>
        <w:rPr>
          <w:rFonts w:ascii="宋体" w:hAnsi="宋体" w:hint="eastAsia"/>
        </w:rPr>
      </w:pPr>
      <w:r>
        <w:rPr>
          <w:rFonts w:ascii="宋体" w:hAnsi="宋体" w:hint="eastAsia"/>
        </w:rPr>
        <w:t>经过调查，施工时可经协调就近接机井电源，距离城镇、村庄、水源地较近处可采用就近接变压器或村民用电，部分施工供电困难工区，施工配备合适数量的柴油发电机组供电。</w:t>
      </w:r>
    </w:p>
    <w:p w14:paraId="50E28328" w14:textId="77777777" w:rsidR="005A1A44" w:rsidRDefault="0008059E">
      <w:pPr>
        <w:ind w:firstLine="480"/>
        <w:rPr>
          <w:rFonts w:ascii="宋体" w:hAnsi="宋体" w:hint="eastAsia"/>
        </w:rPr>
      </w:pPr>
      <w:r>
        <w:rPr>
          <w:rFonts w:ascii="宋体" w:hAnsi="宋体" w:hint="eastAsia"/>
        </w:rPr>
        <w:lastRenderedPageBreak/>
        <w:t>（5）施工废水</w:t>
      </w:r>
    </w:p>
    <w:p w14:paraId="1CCE7ECF" w14:textId="77777777" w:rsidR="005A1A44" w:rsidRDefault="0008059E">
      <w:pPr>
        <w:ind w:firstLine="480"/>
      </w:pPr>
      <w:r>
        <w:rPr>
          <w:rFonts w:hint="eastAsia"/>
        </w:rPr>
        <w:t>在施工场地设置沉淀池、隔油池等，对于施工废水进行沉淀处理后，上清液用于附近林草灌溉；施工车辆的清洗废水经隔油池处理后进入沉淀池进行处理后回用。</w:t>
      </w:r>
    </w:p>
    <w:p w14:paraId="38E3868B" w14:textId="77777777" w:rsidR="005A1A44" w:rsidRDefault="0008059E">
      <w:pPr>
        <w:ind w:firstLine="480"/>
        <w:rPr>
          <w:rFonts w:ascii="宋体" w:hAnsi="宋体" w:hint="eastAsia"/>
        </w:rPr>
      </w:pPr>
      <w:r>
        <w:rPr>
          <w:rFonts w:ascii="宋体" w:hAnsi="宋体" w:hint="eastAsia"/>
        </w:rPr>
        <w:t>（6）场内交通</w:t>
      </w:r>
    </w:p>
    <w:p w14:paraId="0BAD56F2" w14:textId="77777777" w:rsidR="005A1A44" w:rsidRDefault="0008059E">
      <w:pPr>
        <w:ind w:firstLine="480"/>
        <w:rPr>
          <w:rFonts w:ascii="宋体" w:hAnsi="宋体" w:hint="eastAsia"/>
        </w:rPr>
      </w:pPr>
      <w:r>
        <w:rPr>
          <w:rFonts w:ascii="宋体" w:hAnsi="宋体" w:hint="eastAsia"/>
        </w:rPr>
        <w:t>根据现场踏勘，项目区外有国道、省道、城市道路、乡村道路等，项目区内有自然道路，运输条件较方便。</w:t>
      </w:r>
    </w:p>
    <w:p w14:paraId="13ED2A3A" w14:textId="77777777" w:rsidR="005A1A44" w:rsidRDefault="0008059E">
      <w:pPr>
        <w:ind w:firstLine="480"/>
        <w:rPr>
          <w:rFonts w:ascii="宋体" w:hAnsi="宋体" w:hint="eastAsia"/>
        </w:rPr>
      </w:pPr>
      <w:r>
        <w:rPr>
          <w:rFonts w:ascii="宋体" w:hAnsi="宋体" w:hint="eastAsia"/>
        </w:rPr>
        <w:t>（7）施工时间</w:t>
      </w:r>
    </w:p>
    <w:p w14:paraId="0C79C246" w14:textId="77777777" w:rsidR="005A1A44" w:rsidRDefault="0008059E">
      <w:pPr>
        <w:ind w:firstLine="480"/>
      </w:pPr>
      <w:r>
        <w:t>工程施工前达到</w:t>
      </w:r>
      <w:r>
        <w:t>“</w:t>
      </w:r>
      <w:r>
        <w:t>三通一平</w:t>
      </w:r>
      <w:r>
        <w:t>”</w:t>
      </w:r>
      <w:r>
        <w:t>，主体工程土方工程尽量避开大风暴雨天气，以减少开挖土方产生的扬尘和流失；植物措施在春季实施，符合植物生长条件，有利于及时达到对地表的全面植被覆盖，使地表土壤在雨季不易被冲刷。</w:t>
      </w:r>
    </w:p>
    <w:p w14:paraId="361EAAAE" w14:textId="77777777" w:rsidR="005A1A44" w:rsidRDefault="0008059E">
      <w:pPr>
        <w:tabs>
          <w:tab w:val="left" w:pos="832"/>
        </w:tabs>
        <w:ind w:firstLine="480"/>
        <w:rPr>
          <w:rFonts w:ascii="宋体" w:hAnsi="宋体" w:hint="eastAsia"/>
        </w:rPr>
      </w:pPr>
      <w:r>
        <w:rPr>
          <w:rFonts w:ascii="宋体" w:hAnsi="宋体" w:hint="eastAsia"/>
        </w:rPr>
        <w:t>（8）生活污水、垃圾</w:t>
      </w:r>
    </w:p>
    <w:p w14:paraId="5186B857" w14:textId="77777777" w:rsidR="005A1A44" w:rsidRDefault="0008059E">
      <w:pPr>
        <w:ind w:firstLine="480"/>
        <w:rPr>
          <w:rFonts w:ascii="宋体" w:hAnsi="宋体" w:hint="eastAsia"/>
        </w:rPr>
      </w:pPr>
      <w:r>
        <w:rPr>
          <w:rFonts w:ascii="宋体" w:hAnsi="宋体" w:hint="eastAsia"/>
        </w:rPr>
        <w:t>项目施工期生活污水在有城镇管网的区域，直接接入市政污水管网进行处理，食堂废水通过隔油沉淀池处置后接入管网；没有市政管网的区域，设置化粪池，定期进行清理。</w:t>
      </w:r>
    </w:p>
    <w:p w14:paraId="385AC75C" w14:textId="77777777" w:rsidR="005A1A44" w:rsidRDefault="0008059E">
      <w:pPr>
        <w:ind w:firstLine="480"/>
      </w:pPr>
      <w:r>
        <w:rPr>
          <w:rFonts w:hint="eastAsia"/>
        </w:rPr>
        <w:t>在施工人员生活区，设置若干带盖垃圾桶，并及时按照城镇生活垃圾进行收集，运送至和田市垃圾填埋场进行无害化处理。</w:t>
      </w:r>
    </w:p>
    <w:p w14:paraId="0D9EE187" w14:textId="77777777" w:rsidR="005A1A44" w:rsidRDefault="0008059E">
      <w:pPr>
        <w:tabs>
          <w:tab w:val="left" w:pos="832"/>
        </w:tabs>
        <w:ind w:firstLine="480"/>
        <w:rPr>
          <w:rFonts w:ascii="宋体" w:hAnsi="宋体" w:hint="eastAsia"/>
        </w:rPr>
      </w:pPr>
      <w:r>
        <w:rPr>
          <w:rFonts w:ascii="宋体" w:hAnsi="宋体" w:hint="eastAsia"/>
        </w:rPr>
        <w:t>（9）外购材料</w:t>
      </w:r>
    </w:p>
    <w:p w14:paraId="233EA800" w14:textId="77777777" w:rsidR="005A1A44" w:rsidRDefault="0008059E">
      <w:pPr>
        <w:tabs>
          <w:tab w:val="left" w:pos="832"/>
        </w:tabs>
        <w:ind w:firstLine="480"/>
      </w:pPr>
      <w:r>
        <w:rPr>
          <w:rFonts w:ascii="宋体" w:hAnsi="宋体" w:hint="eastAsia"/>
        </w:rPr>
        <w:t>工程中水泥从和田市水</w:t>
      </w:r>
      <w:r>
        <w:rPr>
          <w:rFonts w:hint="eastAsia"/>
        </w:rPr>
        <w:t>泥厂购买，运距</w:t>
      </w:r>
      <w:r>
        <w:rPr>
          <w:rFonts w:hint="eastAsia"/>
        </w:rPr>
        <w:t xml:space="preserve"> 20km</w:t>
      </w:r>
      <w:r>
        <w:rPr>
          <w:rFonts w:hint="eastAsia"/>
        </w:rPr>
        <w:t>，钢材、木材等材料，机电设备、施工机具、配件器材及区外材料等物资主要靠和田市供应，以和田市为集中地，运至工地，运距</w:t>
      </w:r>
      <w:r>
        <w:rPr>
          <w:rFonts w:hint="eastAsia"/>
        </w:rPr>
        <w:t>20km</w:t>
      </w:r>
      <w:r>
        <w:rPr>
          <w:rFonts w:hint="eastAsia"/>
        </w:rPr>
        <w:t>。</w:t>
      </w:r>
    </w:p>
    <w:p w14:paraId="35BFC511" w14:textId="77777777" w:rsidR="005A1A44" w:rsidRDefault="0008059E">
      <w:pPr>
        <w:ind w:firstLine="480"/>
      </w:pPr>
      <w:r>
        <w:rPr>
          <w:rFonts w:hint="eastAsia"/>
        </w:rPr>
        <w:t>（</w:t>
      </w:r>
      <w:r>
        <w:rPr>
          <w:rFonts w:hint="eastAsia"/>
        </w:rPr>
        <w:t>10</w:t>
      </w:r>
      <w:r>
        <w:rPr>
          <w:rFonts w:hint="eastAsia"/>
        </w:rPr>
        <w:t>）天然建筑材料</w:t>
      </w:r>
    </w:p>
    <w:p w14:paraId="18F7F871" w14:textId="77777777" w:rsidR="005A1A44" w:rsidRDefault="0008059E">
      <w:pPr>
        <w:ind w:firstLine="480"/>
      </w:pPr>
      <w:r>
        <w:rPr>
          <w:rFonts w:hint="eastAsia"/>
        </w:rPr>
        <w:t>防洪堤填方土料来源于防洪堤迎水面侧宽阔的戈壁荒滩，岩性为戈壁碎石层和粗粒土为主，储量丰富，土料的质量技术指标满足规范要求，且开采运输条件较好，开采后易恢复，符合环保要求，可充分满足工程所需。全堤段平均运距</w:t>
      </w:r>
      <w:r>
        <w:rPr>
          <w:rFonts w:hint="eastAsia"/>
        </w:rPr>
        <w:t xml:space="preserve"> 5km</w:t>
      </w:r>
      <w:r>
        <w:rPr>
          <w:rFonts w:hint="eastAsia"/>
        </w:rPr>
        <w:t>。</w:t>
      </w:r>
    </w:p>
    <w:p w14:paraId="7C02C3AA" w14:textId="77777777" w:rsidR="005A1A44" w:rsidRDefault="0008059E">
      <w:pPr>
        <w:ind w:firstLine="480"/>
      </w:pPr>
      <w:r>
        <w:rPr>
          <w:rFonts w:hint="eastAsia"/>
        </w:rPr>
        <w:t>砂砾石垫层料选在防洪堤下游河道附近大面积的戈壁荒滩，为冲洪积所形成的卵砾石层，分布稳定，厚度较大，平均运距</w:t>
      </w:r>
      <w:r>
        <w:rPr>
          <w:rFonts w:hint="eastAsia"/>
        </w:rPr>
        <w:t>10km</w:t>
      </w:r>
      <w:r>
        <w:rPr>
          <w:rFonts w:hint="eastAsia"/>
        </w:rPr>
        <w:t>。</w:t>
      </w:r>
    </w:p>
    <w:p w14:paraId="11194EF1" w14:textId="77777777" w:rsidR="005A1A44" w:rsidRDefault="0008059E">
      <w:pPr>
        <w:ind w:firstLine="480"/>
      </w:pPr>
      <w:r>
        <w:rPr>
          <w:rFonts w:hint="eastAsia"/>
        </w:rPr>
        <w:t>砼骨料场位于洛浦县城东南</w:t>
      </w:r>
      <w:r>
        <w:rPr>
          <w:rFonts w:hint="eastAsia"/>
        </w:rPr>
        <w:t>3km</w:t>
      </w:r>
      <w:r>
        <w:rPr>
          <w:rFonts w:hint="eastAsia"/>
        </w:rPr>
        <w:t>处，</w:t>
      </w:r>
      <w:r>
        <w:rPr>
          <w:rFonts w:hint="eastAsia"/>
        </w:rPr>
        <w:t>315</w:t>
      </w:r>
      <w:r>
        <w:rPr>
          <w:rFonts w:hint="eastAsia"/>
        </w:rPr>
        <w:t>国道两侧，开采面积取</w:t>
      </w:r>
      <w:r>
        <w:rPr>
          <w:rFonts w:hint="eastAsia"/>
        </w:rPr>
        <w:t>2km</w:t>
      </w:r>
      <w:r>
        <w:rPr>
          <w:rFonts w:hint="eastAsia"/>
          <w:vertAlign w:val="superscript"/>
        </w:rPr>
        <w:t>2</w:t>
      </w:r>
      <w:r>
        <w:rPr>
          <w:rFonts w:hint="eastAsia"/>
        </w:rPr>
        <w:t>，开采厚</w:t>
      </w:r>
      <w:r>
        <w:rPr>
          <w:rFonts w:hint="eastAsia"/>
        </w:rPr>
        <w:lastRenderedPageBreak/>
        <w:t>度</w:t>
      </w:r>
      <w:r>
        <w:rPr>
          <w:rFonts w:hint="eastAsia"/>
        </w:rPr>
        <w:t>3m</w:t>
      </w:r>
      <w:r>
        <w:rPr>
          <w:rFonts w:hint="eastAsia"/>
        </w:rPr>
        <w:t>，储量达</w:t>
      </w:r>
      <w:r>
        <w:rPr>
          <w:rFonts w:hint="eastAsia"/>
        </w:rPr>
        <w:t>12.5</w:t>
      </w:r>
      <w:r>
        <w:rPr>
          <w:rFonts w:hint="eastAsia"/>
        </w:rPr>
        <w:t>×</w:t>
      </w:r>
      <w:r>
        <w:rPr>
          <w:rFonts w:hint="eastAsia"/>
        </w:rPr>
        <w:t>104m</w:t>
      </w:r>
      <w:r>
        <w:rPr>
          <w:rFonts w:hint="eastAsia"/>
          <w:vertAlign w:val="superscript"/>
        </w:rPr>
        <w:t>3</w:t>
      </w:r>
      <w:r>
        <w:rPr>
          <w:rFonts w:hint="eastAsia"/>
        </w:rPr>
        <w:t>，距工程区平均</w:t>
      </w:r>
      <w:r>
        <w:rPr>
          <w:rFonts w:hint="eastAsia"/>
        </w:rPr>
        <w:t>30km</w:t>
      </w:r>
      <w:r>
        <w:rPr>
          <w:rFonts w:hint="eastAsia"/>
        </w:rPr>
        <w:t>。工程用砼骨料可在此购买成品方。</w:t>
      </w:r>
    </w:p>
    <w:p w14:paraId="12F62289" w14:textId="77777777" w:rsidR="005A1A44" w:rsidRDefault="0008059E">
      <w:pPr>
        <w:ind w:firstLine="480"/>
      </w:pPr>
      <w:r>
        <w:rPr>
          <w:rFonts w:hint="eastAsia"/>
        </w:rPr>
        <w:t>卵石料场位于洛浦县与和田市交界的玉河大桥上游</w:t>
      </w:r>
      <w:r>
        <w:rPr>
          <w:rFonts w:hint="eastAsia"/>
        </w:rPr>
        <w:t>3km</w:t>
      </w:r>
      <w:r>
        <w:rPr>
          <w:rFonts w:hint="eastAsia"/>
        </w:rPr>
        <w:t>～</w:t>
      </w:r>
      <w:r>
        <w:rPr>
          <w:rFonts w:hint="eastAsia"/>
        </w:rPr>
        <w:t xml:space="preserve">10km </w:t>
      </w:r>
      <w:r>
        <w:rPr>
          <w:rFonts w:hint="eastAsia"/>
        </w:rPr>
        <w:t>范围内的玉河河床及河漫滩内，卵石储量及质量满足需要，距工程区平均</w:t>
      </w:r>
      <w:r>
        <w:rPr>
          <w:rFonts w:hint="eastAsia"/>
        </w:rPr>
        <w:t xml:space="preserve"> km</w:t>
      </w:r>
      <w:r>
        <w:rPr>
          <w:rFonts w:hint="eastAsia"/>
        </w:rPr>
        <w:t>。</w:t>
      </w:r>
    </w:p>
    <w:p w14:paraId="079790FA" w14:textId="77777777" w:rsidR="005A1A44" w:rsidRDefault="0008059E">
      <w:pPr>
        <w:ind w:firstLine="480"/>
      </w:pPr>
      <w:r>
        <w:rPr>
          <w:rFonts w:hint="eastAsia"/>
        </w:rPr>
        <w:t>因此，料场材料储量和质量能满足设计要求，交通便利，料场规划合理。</w:t>
      </w:r>
    </w:p>
    <w:p w14:paraId="5CA18AEE" w14:textId="77777777" w:rsidR="005A1A44" w:rsidRDefault="0008059E">
      <w:pPr>
        <w:ind w:firstLine="480"/>
      </w:pPr>
      <w:r>
        <w:rPr>
          <w:rFonts w:hint="eastAsia"/>
        </w:rPr>
        <w:t>总体上，按照环评提出的要求下，本项目施工平面及施工方案布置较为合理。</w:t>
      </w:r>
    </w:p>
    <w:p w14:paraId="3C5BAA92" w14:textId="77777777" w:rsidR="005A1A44" w:rsidRDefault="0008059E">
      <w:pPr>
        <w:pStyle w:val="4"/>
        <w:numPr>
          <w:ilvl w:val="3"/>
          <w:numId w:val="2"/>
        </w:numPr>
      </w:pPr>
      <w:r>
        <w:rPr>
          <w:rFonts w:hint="eastAsia"/>
        </w:rPr>
        <w:t xml:space="preserve"> </w:t>
      </w:r>
      <w:r>
        <w:rPr>
          <w:rFonts w:hint="eastAsia"/>
        </w:rPr>
        <w:t>施工方法、工艺与时序的合理性分析</w:t>
      </w:r>
    </w:p>
    <w:p w14:paraId="23AB8246" w14:textId="77777777" w:rsidR="005A1A44" w:rsidRDefault="0008059E">
      <w:pPr>
        <w:pStyle w:val="51"/>
        <w:spacing w:before="0" w:line="360" w:lineRule="auto"/>
        <w:ind w:firstLine="480"/>
        <w:rPr>
          <w:rFonts w:ascii="Times New Roman" w:eastAsia="宋体" w:hAnsi="Times New Roman"/>
          <w:spacing w:val="0"/>
          <w:sz w:val="24"/>
          <w:szCs w:val="24"/>
        </w:rPr>
      </w:pPr>
      <w:r>
        <w:rPr>
          <w:rFonts w:ascii="Times New Roman" w:eastAsia="宋体" w:hAnsi="Times New Roman" w:hint="eastAsia"/>
          <w:spacing w:val="0"/>
          <w:sz w:val="24"/>
          <w:szCs w:val="24"/>
        </w:rPr>
        <w:t>（</w:t>
      </w:r>
      <w:r>
        <w:rPr>
          <w:rFonts w:ascii="Times New Roman" w:eastAsia="宋体" w:hAnsi="Times New Roman" w:hint="eastAsia"/>
          <w:spacing w:val="0"/>
          <w:sz w:val="24"/>
          <w:szCs w:val="24"/>
        </w:rPr>
        <w:t>1</w:t>
      </w:r>
      <w:r>
        <w:rPr>
          <w:rFonts w:ascii="Times New Roman" w:eastAsia="宋体" w:hAnsi="Times New Roman" w:hint="eastAsia"/>
          <w:spacing w:val="0"/>
          <w:sz w:val="24"/>
          <w:szCs w:val="24"/>
        </w:rPr>
        <w:t>）</w:t>
      </w:r>
      <w:r>
        <w:rPr>
          <w:rFonts w:ascii="Times New Roman" w:eastAsia="宋体" w:hAnsi="Times New Roman"/>
          <w:spacing w:val="0"/>
          <w:sz w:val="24"/>
          <w:szCs w:val="24"/>
        </w:rPr>
        <w:t>工程施工采用机械和人工相结合的方式进行，以机械施工为主。通过合理安排施工时序，缩短工期，减少被扰动地面的裸露时间，从而降低水土流失量。</w:t>
      </w:r>
    </w:p>
    <w:p w14:paraId="05B18C1A" w14:textId="77777777" w:rsidR="005A1A44" w:rsidRDefault="0008059E">
      <w:pPr>
        <w:pStyle w:val="51"/>
        <w:spacing w:before="0" w:line="360" w:lineRule="auto"/>
        <w:ind w:firstLine="480"/>
        <w:rPr>
          <w:rFonts w:ascii="Times New Roman" w:eastAsia="宋体" w:hAnsi="Times New Roman"/>
          <w:spacing w:val="0"/>
          <w:sz w:val="24"/>
          <w:szCs w:val="24"/>
        </w:rPr>
      </w:pPr>
      <w:r>
        <w:rPr>
          <w:rFonts w:ascii="Times New Roman" w:eastAsia="宋体" w:hAnsi="Times New Roman" w:hint="eastAsia"/>
          <w:spacing w:val="0"/>
          <w:sz w:val="24"/>
          <w:szCs w:val="24"/>
        </w:rPr>
        <w:t>（</w:t>
      </w:r>
      <w:r>
        <w:rPr>
          <w:rFonts w:ascii="Times New Roman" w:eastAsia="宋体" w:hAnsi="Times New Roman" w:hint="eastAsia"/>
          <w:spacing w:val="0"/>
          <w:sz w:val="24"/>
          <w:szCs w:val="24"/>
        </w:rPr>
        <w:t>2</w:t>
      </w:r>
      <w:r>
        <w:rPr>
          <w:rFonts w:ascii="Times New Roman" w:eastAsia="宋体" w:hAnsi="Times New Roman" w:hint="eastAsia"/>
          <w:spacing w:val="0"/>
          <w:sz w:val="24"/>
          <w:szCs w:val="24"/>
        </w:rPr>
        <w:t>）</w:t>
      </w:r>
      <w:r>
        <w:rPr>
          <w:rFonts w:ascii="Times New Roman" w:eastAsia="宋体" w:hAnsi="Times New Roman"/>
          <w:spacing w:val="0"/>
          <w:sz w:val="24"/>
          <w:szCs w:val="24"/>
        </w:rPr>
        <w:t>基础开挖应严格按照主体工程设计的开挖面范围进行施工，避免扰动开挖范围以外的区域。基础开挖之后应立即进行基础施工，尽可能缩短临时堆土的堆放时间，施工结束后应对施工场地实施土地平整以恢复原地貌。同时，主体工程设计的人工开挖基槽的长度和深度均考虑了项目区的冻土深度。</w:t>
      </w:r>
    </w:p>
    <w:p w14:paraId="07587EAA" w14:textId="77777777" w:rsidR="005A1A44" w:rsidRDefault="0008059E">
      <w:pPr>
        <w:pStyle w:val="51"/>
        <w:spacing w:before="0" w:line="360" w:lineRule="auto"/>
        <w:ind w:firstLine="480"/>
        <w:rPr>
          <w:rFonts w:ascii="Times New Roman" w:eastAsia="宋体" w:hAnsi="Times New Roman"/>
          <w:spacing w:val="0"/>
          <w:sz w:val="24"/>
          <w:szCs w:val="24"/>
        </w:rPr>
      </w:pPr>
      <w:r>
        <w:rPr>
          <w:rFonts w:ascii="Times New Roman" w:eastAsia="宋体" w:hAnsi="Times New Roman" w:hint="eastAsia"/>
          <w:spacing w:val="0"/>
          <w:sz w:val="24"/>
          <w:szCs w:val="24"/>
        </w:rPr>
        <w:t>（</w:t>
      </w:r>
      <w:r>
        <w:rPr>
          <w:rFonts w:ascii="Times New Roman" w:eastAsia="宋体" w:hAnsi="Times New Roman" w:hint="eastAsia"/>
          <w:spacing w:val="0"/>
          <w:sz w:val="24"/>
          <w:szCs w:val="24"/>
        </w:rPr>
        <w:t>3</w:t>
      </w:r>
      <w:r>
        <w:rPr>
          <w:rFonts w:ascii="Times New Roman" w:eastAsia="宋体" w:hAnsi="Times New Roman" w:hint="eastAsia"/>
          <w:spacing w:val="0"/>
          <w:sz w:val="24"/>
          <w:szCs w:val="24"/>
        </w:rPr>
        <w:t>）</w:t>
      </w:r>
      <w:r>
        <w:rPr>
          <w:rFonts w:ascii="Times New Roman" w:eastAsia="宋体" w:hAnsi="Times New Roman"/>
          <w:spacing w:val="0"/>
          <w:sz w:val="24"/>
          <w:szCs w:val="24"/>
        </w:rPr>
        <w:t>各分区土地平整采用机械和人工相结合的方式进行，机械以挖掘机、推土机、蛙式打夯机为主，人工则配合机械作零星场地或边角区域的平整，符合水土保持要求。</w:t>
      </w:r>
    </w:p>
    <w:p w14:paraId="69000297" w14:textId="77777777" w:rsidR="005A1A44" w:rsidRDefault="0008059E">
      <w:pPr>
        <w:pStyle w:val="4"/>
        <w:numPr>
          <w:ilvl w:val="3"/>
          <w:numId w:val="2"/>
        </w:numPr>
      </w:pPr>
      <w:r>
        <w:rPr>
          <w:rFonts w:hint="eastAsia"/>
        </w:rPr>
        <w:t xml:space="preserve"> </w:t>
      </w:r>
      <w:r>
        <w:rPr>
          <w:rFonts w:hint="eastAsia"/>
        </w:rPr>
        <w:t>工作时制及劳动定员</w:t>
      </w:r>
    </w:p>
    <w:p w14:paraId="40705BF5" w14:textId="77777777" w:rsidR="005A1A44" w:rsidRDefault="0008059E">
      <w:pPr>
        <w:ind w:firstLine="480"/>
      </w:pPr>
      <w:r>
        <w:rPr>
          <w:rFonts w:hint="eastAsia"/>
        </w:rPr>
        <w:t>可研未明确项目施工期和运营期的施工人员及管理劳动定员，环评根据该工程的工程量，估计本工程施工期平均日劳动定员</w:t>
      </w:r>
      <w:r>
        <w:rPr>
          <w:rFonts w:hint="eastAsia"/>
        </w:rPr>
        <w:t>150</w:t>
      </w:r>
      <w:r>
        <w:rPr>
          <w:rFonts w:hint="eastAsia"/>
        </w:rPr>
        <w:t>人</w:t>
      </w:r>
      <w:r>
        <w:rPr>
          <w:rFonts w:hint="eastAsia"/>
        </w:rPr>
        <w:t>/d</w:t>
      </w:r>
      <w:r>
        <w:rPr>
          <w:rFonts w:hint="eastAsia"/>
        </w:rPr>
        <w:t>，高峰期达到了</w:t>
      </w:r>
      <w:r>
        <w:rPr>
          <w:rFonts w:hint="eastAsia"/>
        </w:rPr>
        <w:t>330</w:t>
      </w:r>
      <w:r>
        <w:rPr>
          <w:rFonts w:hint="eastAsia"/>
        </w:rPr>
        <w:t>人</w:t>
      </w:r>
      <w:r>
        <w:rPr>
          <w:rFonts w:hint="eastAsia"/>
        </w:rPr>
        <w:t>/d</w:t>
      </w:r>
      <w:r>
        <w:rPr>
          <w:rFonts w:hint="eastAsia"/>
        </w:rPr>
        <w:t>。</w:t>
      </w:r>
    </w:p>
    <w:p w14:paraId="31849E92" w14:textId="77777777" w:rsidR="005A1A44" w:rsidRDefault="0008059E">
      <w:pPr>
        <w:pStyle w:val="4"/>
        <w:numPr>
          <w:ilvl w:val="3"/>
          <w:numId w:val="2"/>
        </w:numPr>
      </w:pPr>
      <w:r>
        <w:rPr>
          <w:rFonts w:hint="eastAsia"/>
        </w:rPr>
        <w:t xml:space="preserve"> </w:t>
      </w:r>
      <w:r>
        <w:rPr>
          <w:rFonts w:hint="eastAsia"/>
        </w:rPr>
        <w:t>土石方平衡分析</w:t>
      </w:r>
    </w:p>
    <w:p w14:paraId="47C41557" w14:textId="77777777" w:rsidR="005A1A44" w:rsidRDefault="0008059E">
      <w:pPr>
        <w:ind w:firstLine="480"/>
      </w:pPr>
      <w:r>
        <w:rPr>
          <w:rFonts w:hint="eastAsia"/>
        </w:rPr>
        <w:t>本工程河道疏浚开挖土石方</w:t>
      </w:r>
      <w:r>
        <w:rPr>
          <w:rFonts w:hint="eastAsia"/>
        </w:rPr>
        <w:t>1148.44</w:t>
      </w:r>
      <w:r>
        <w:rPr>
          <w:rFonts w:hint="eastAsia"/>
        </w:rPr>
        <w:t>万</w:t>
      </w:r>
      <w:r>
        <w:rPr>
          <w:rFonts w:ascii="宋体" w:hAnsi="宋体" w:hint="eastAsia"/>
        </w:rPr>
        <w:t>m</w:t>
      </w:r>
      <w:r>
        <w:rPr>
          <w:rFonts w:ascii="宋体" w:hAnsi="宋体" w:hint="eastAsia"/>
          <w:vertAlign w:val="superscript"/>
        </w:rPr>
        <w:t>3</w:t>
      </w:r>
      <w:r>
        <w:rPr>
          <w:rFonts w:ascii="宋体" w:hAnsi="宋体" w:hint="eastAsia"/>
        </w:rPr>
        <w:t>，防洪堤工程土石方开挖244.02万m</w:t>
      </w:r>
      <w:r>
        <w:rPr>
          <w:rFonts w:ascii="宋体" w:hAnsi="宋体" w:hint="eastAsia"/>
          <w:vertAlign w:val="superscript"/>
        </w:rPr>
        <w:t>3</w:t>
      </w:r>
      <w:r>
        <w:rPr>
          <w:rFonts w:ascii="宋体" w:hAnsi="宋体" w:hint="eastAsia"/>
        </w:rPr>
        <w:t>，慢道和景观工程土石方开挖33.746</w:t>
      </w:r>
      <w:r>
        <w:rPr>
          <w:rFonts w:hint="eastAsia"/>
        </w:rPr>
        <w:t>万</w:t>
      </w:r>
      <w:r>
        <w:rPr>
          <w:rFonts w:ascii="宋体" w:hAnsi="宋体" w:hint="eastAsia"/>
        </w:rPr>
        <w:t>m</w:t>
      </w:r>
      <w:r>
        <w:rPr>
          <w:rFonts w:ascii="宋体" w:hAnsi="宋体" w:hint="eastAsia"/>
          <w:vertAlign w:val="superscript"/>
        </w:rPr>
        <w:t>3</w:t>
      </w:r>
      <w:r>
        <w:rPr>
          <w:rFonts w:ascii="宋体" w:hAnsi="宋体" w:hint="eastAsia"/>
        </w:rPr>
        <w:t>，可用于主体项目回填的量为330.78</w:t>
      </w:r>
      <w:r>
        <w:rPr>
          <w:rFonts w:hint="eastAsia"/>
        </w:rPr>
        <w:t>万</w:t>
      </w:r>
      <w:r>
        <w:rPr>
          <w:rFonts w:ascii="宋体" w:hAnsi="宋体" w:hint="eastAsia"/>
        </w:rPr>
        <w:t>m</w:t>
      </w:r>
      <w:r>
        <w:rPr>
          <w:rFonts w:ascii="宋体" w:hAnsi="宋体" w:hint="eastAsia"/>
          <w:vertAlign w:val="superscript"/>
        </w:rPr>
        <w:t>3</w:t>
      </w:r>
      <w:r>
        <w:rPr>
          <w:rFonts w:ascii="宋体" w:hAnsi="宋体" w:hint="eastAsia"/>
        </w:rPr>
        <w:t>，仍然剩余1095.72</w:t>
      </w:r>
      <w:r>
        <w:rPr>
          <w:rFonts w:hint="eastAsia"/>
        </w:rPr>
        <w:t>万</w:t>
      </w:r>
      <w:r>
        <w:rPr>
          <w:rFonts w:ascii="宋体" w:hAnsi="宋体" w:hint="eastAsia"/>
        </w:rPr>
        <w:t>m</w:t>
      </w:r>
      <w:r>
        <w:rPr>
          <w:rFonts w:ascii="宋体" w:hAnsi="宋体" w:hint="eastAsia"/>
          <w:vertAlign w:val="superscript"/>
        </w:rPr>
        <w:t>3</w:t>
      </w:r>
      <w:r>
        <w:rPr>
          <w:rFonts w:ascii="宋体" w:hAnsi="宋体" w:hint="eastAsia"/>
        </w:rPr>
        <w:t>。余方主要为河道疏浚开发的土石方，因疏浚出的底</w:t>
      </w:r>
      <w:r>
        <w:rPr>
          <w:rFonts w:ascii="宋体" w:hAnsi="宋体" w:hint="eastAsia"/>
        </w:rPr>
        <w:lastRenderedPageBreak/>
        <w:t>质未受到污染，环评要求所有余方全部用于河道平整，所有</w:t>
      </w:r>
      <w:r>
        <w:rPr>
          <w:rFonts w:hint="eastAsia"/>
        </w:rPr>
        <w:t>石方不允许运出河道，需在河道内利用消化。</w:t>
      </w:r>
    </w:p>
    <w:p w14:paraId="48737D53"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t>表3.6-1   玉龙喀什河河道治理及两岸生态修复项目主体工程土石方平衡表</w:t>
      </w:r>
    </w:p>
    <w:tbl>
      <w:tblPr>
        <w:tblW w:w="8664" w:type="dxa"/>
        <w:tblLayout w:type="fixed"/>
        <w:tblCellMar>
          <w:left w:w="0" w:type="dxa"/>
          <w:right w:w="0" w:type="dxa"/>
        </w:tblCellMar>
        <w:tblLook w:val="04A0" w:firstRow="1" w:lastRow="0" w:firstColumn="1" w:lastColumn="0" w:noHBand="0" w:noVBand="1"/>
      </w:tblPr>
      <w:tblGrid>
        <w:gridCol w:w="3102"/>
        <w:gridCol w:w="1906"/>
        <w:gridCol w:w="1750"/>
        <w:gridCol w:w="1906"/>
      </w:tblGrid>
      <w:tr w:rsidR="005A1A44" w14:paraId="5F1A766E" w14:textId="77777777">
        <w:trPr>
          <w:trHeight w:val="285"/>
        </w:trPr>
        <w:tc>
          <w:tcPr>
            <w:tcW w:w="3102"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119BC76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项目</w:t>
            </w:r>
          </w:p>
        </w:tc>
        <w:tc>
          <w:tcPr>
            <w:tcW w:w="1906"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203C68C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挖方</w:t>
            </w:r>
          </w:p>
        </w:tc>
        <w:tc>
          <w:tcPr>
            <w:tcW w:w="1750"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488C1E9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填方</w:t>
            </w:r>
          </w:p>
        </w:tc>
        <w:tc>
          <w:tcPr>
            <w:tcW w:w="1906"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14:paraId="427D61B7"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余方</w:t>
            </w:r>
          </w:p>
        </w:tc>
      </w:tr>
      <w:tr w:rsidR="005A1A44" w14:paraId="505ECC03" w14:textId="77777777">
        <w:trPr>
          <w:trHeight w:val="285"/>
        </w:trPr>
        <w:tc>
          <w:tcPr>
            <w:tcW w:w="3102"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53E48B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河道清淤及河槽疏浚</w:t>
            </w:r>
          </w:p>
        </w:tc>
        <w:tc>
          <w:tcPr>
            <w:tcW w:w="1906"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1780D11"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11484440</w:t>
            </w:r>
          </w:p>
        </w:tc>
        <w:tc>
          <w:tcPr>
            <w:tcW w:w="17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599F95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643161</w:t>
            </w:r>
          </w:p>
        </w:tc>
        <w:tc>
          <w:tcPr>
            <w:tcW w:w="1906"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EFECF2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10841279</w:t>
            </w:r>
          </w:p>
        </w:tc>
      </w:tr>
      <w:tr w:rsidR="005A1A44" w14:paraId="495A306A" w14:textId="77777777">
        <w:trPr>
          <w:trHeight w:val="285"/>
        </w:trPr>
        <w:tc>
          <w:tcPr>
            <w:tcW w:w="3102"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FC560AF"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左岸防洪堤工程</w:t>
            </w:r>
          </w:p>
        </w:tc>
        <w:tc>
          <w:tcPr>
            <w:tcW w:w="1906"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21B125C"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1265051</w:t>
            </w:r>
          </w:p>
        </w:tc>
        <w:tc>
          <w:tcPr>
            <w:tcW w:w="17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39C25C4"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1413318</w:t>
            </w:r>
          </w:p>
        </w:tc>
        <w:tc>
          <w:tcPr>
            <w:tcW w:w="1906"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861C1F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-148267</w:t>
            </w:r>
          </w:p>
        </w:tc>
      </w:tr>
      <w:tr w:rsidR="005A1A44" w14:paraId="721804AA" w14:textId="77777777">
        <w:trPr>
          <w:trHeight w:val="285"/>
        </w:trPr>
        <w:tc>
          <w:tcPr>
            <w:tcW w:w="3102"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40021A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右岸防洪堤工程</w:t>
            </w:r>
          </w:p>
        </w:tc>
        <w:tc>
          <w:tcPr>
            <w:tcW w:w="1906"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417168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1175120</w:t>
            </w:r>
          </w:p>
        </w:tc>
        <w:tc>
          <w:tcPr>
            <w:tcW w:w="17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4C6ED6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1191179</w:t>
            </w:r>
          </w:p>
        </w:tc>
        <w:tc>
          <w:tcPr>
            <w:tcW w:w="1906"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E8DD459"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-16059</w:t>
            </w:r>
          </w:p>
        </w:tc>
      </w:tr>
      <w:tr w:rsidR="005A1A44" w14:paraId="18C09ECD" w14:textId="77777777">
        <w:trPr>
          <w:trHeight w:val="285"/>
        </w:trPr>
        <w:tc>
          <w:tcPr>
            <w:tcW w:w="3102"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E77DFA7"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绿行慢道工程</w:t>
            </w:r>
          </w:p>
        </w:tc>
        <w:tc>
          <w:tcPr>
            <w:tcW w:w="1906"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7CBC0B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336960</w:t>
            </w:r>
          </w:p>
        </w:tc>
        <w:tc>
          <w:tcPr>
            <w:tcW w:w="17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EADFFE7"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50000</w:t>
            </w:r>
          </w:p>
        </w:tc>
        <w:tc>
          <w:tcPr>
            <w:tcW w:w="1906"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43F3AD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286960</w:t>
            </w:r>
          </w:p>
        </w:tc>
      </w:tr>
      <w:tr w:rsidR="005A1A44" w14:paraId="7138672B" w14:textId="77777777">
        <w:trPr>
          <w:trHeight w:val="285"/>
        </w:trPr>
        <w:tc>
          <w:tcPr>
            <w:tcW w:w="3102"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098D266"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配套景观工程</w:t>
            </w:r>
          </w:p>
        </w:tc>
        <w:tc>
          <w:tcPr>
            <w:tcW w:w="1906"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1CC682C"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3500</w:t>
            </w:r>
          </w:p>
        </w:tc>
        <w:tc>
          <w:tcPr>
            <w:tcW w:w="17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9C5470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10200</w:t>
            </w:r>
          </w:p>
        </w:tc>
        <w:tc>
          <w:tcPr>
            <w:tcW w:w="1906"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0420EA4"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-6700</w:t>
            </w:r>
          </w:p>
        </w:tc>
      </w:tr>
      <w:tr w:rsidR="005A1A44" w14:paraId="119DFB8A" w14:textId="77777777">
        <w:trPr>
          <w:trHeight w:val="285"/>
        </w:trPr>
        <w:tc>
          <w:tcPr>
            <w:tcW w:w="3102"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1BDAC24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合计</w:t>
            </w:r>
          </w:p>
        </w:tc>
        <w:tc>
          <w:tcPr>
            <w:tcW w:w="1906"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25CCA2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14265071</w:t>
            </w:r>
          </w:p>
        </w:tc>
        <w:tc>
          <w:tcPr>
            <w:tcW w:w="175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CC5281F"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3307858</w:t>
            </w:r>
          </w:p>
        </w:tc>
        <w:tc>
          <w:tcPr>
            <w:tcW w:w="1906"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2A0E5D6"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10957213</w:t>
            </w:r>
          </w:p>
        </w:tc>
      </w:tr>
    </w:tbl>
    <w:p w14:paraId="74C7AAD5" w14:textId="77777777" w:rsidR="005A1A44" w:rsidRDefault="0008059E">
      <w:pPr>
        <w:pStyle w:val="4"/>
        <w:numPr>
          <w:ilvl w:val="3"/>
          <w:numId w:val="2"/>
        </w:numPr>
      </w:pPr>
      <w:r>
        <w:rPr>
          <w:rFonts w:hint="eastAsia"/>
        </w:rPr>
        <w:t xml:space="preserve"> </w:t>
      </w:r>
      <w:r>
        <w:rPr>
          <w:rFonts w:hint="eastAsia"/>
        </w:rPr>
        <w:t>主要环境影响因素</w:t>
      </w:r>
    </w:p>
    <w:p w14:paraId="2AF19515" w14:textId="77777777" w:rsidR="005A1A44" w:rsidRDefault="0008059E">
      <w:pPr>
        <w:ind w:firstLine="480"/>
      </w:pPr>
      <w:r>
        <w:rPr>
          <w:rFonts w:hint="eastAsia"/>
        </w:rPr>
        <w:t>施工期：建设项目施工期存在施工噪声、施工扬尘、施工废水、弃土、建筑垃圾、施工机械尾气等对环境的影响；对生态环境的影响为占用土地、破坏生态环境、扰动地表、改变原有地貌、改变用地性质、破坏植被以及由施工引起的局部水土流失的影响。</w:t>
      </w:r>
    </w:p>
    <w:p w14:paraId="10F10918" w14:textId="77777777" w:rsidR="005A1A44" w:rsidRDefault="0008059E">
      <w:pPr>
        <w:ind w:firstLine="480"/>
      </w:pPr>
      <w:r>
        <w:rPr>
          <w:rFonts w:hint="eastAsia"/>
        </w:rPr>
        <w:t>运行期：工程建成后，运行期间不增加新的污染源，不产生污染物。</w:t>
      </w:r>
    </w:p>
    <w:p w14:paraId="09F6959E" w14:textId="77777777" w:rsidR="005A1A44" w:rsidRDefault="0008059E">
      <w:pPr>
        <w:pStyle w:val="3"/>
        <w:numPr>
          <w:ilvl w:val="2"/>
          <w:numId w:val="2"/>
        </w:numPr>
      </w:pPr>
      <w:r>
        <w:rPr>
          <w:rFonts w:hint="eastAsia"/>
        </w:rPr>
        <w:t xml:space="preserve"> </w:t>
      </w:r>
      <w:r>
        <w:rPr>
          <w:rFonts w:hint="eastAsia"/>
        </w:rPr>
        <w:t>污染源分析</w:t>
      </w:r>
    </w:p>
    <w:p w14:paraId="53D69534" w14:textId="77777777" w:rsidR="005A1A44" w:rsidRDefault="0008059E">
      <w:pPr>
        <w:pStyle w:val="4"/>
        <w:numPr>
          <w:ilvl w:val="3"/>
          <w:numId w:val="2"/>
        </w:numPr>
      </w:pPr>
      <w:r>
        <w:rPr>
          <w:rFonts w:hint="eastAsia"/>
        </w:rPr>
        <w:t xml:space="preserve"> </w:t>
      </w:r>
      <w:r>
        <w:rPr>
          <w:rFonts w:hint="eastAsia"/>
        </w:rPr>
        <w:t>施工期污染分析</w:t>
      </w:r>
    </w:p>
    <w:p w14:paraId="6A26DEAE" w14:textId="77777777" w:rsidR="005A1A44" w:rsidRDefault="0008059E">
      <w:pPr>
        <w:pStyle w:val="51"/>
        <w:shd w:val="clear" w:color="auto" w:fill="auto"/>
        <w:spacing w:before="0" w:line="360" w:lineRule="auto"/>
        <w:ind w:left="20" w:right="20" w:firstLine="480"/>
        <w:rPr>
          <w:rFonts w:ascii="Times New Roman" w:eastAsia="宋体" w:hAnsi="Times New Roman"/>
          <w:spacing w:val="0"/>
          <w:sz w:val="24"/>
          <w:szCs w:val="24"/>
        </w:rPr>
      </w:pPr>
      <w:r>
        <w:rPr>
          <w:rFonts w:ascii="Times New Roman" w:eastAsia="宋体" w:hAnsi="Times New Roman"/>
          <w:spacing w:val="0"/>
          <w:sz w:val="24"/>
          <w:szCs w:val="24"/>
        </w:rPr>
        <w:t>工程施工中产生的废水、废气、扬尘和噪声，会对施工区域局部的水环境、声环境、环境空气产生影响；临时堆料场会破坏地表植被、新增水土流失；施工占地、噪声、人员活动等对工程区动物会产生一定影响。</w:t>
      </w:r>
    </w:p>
    <w:p w14:paraId="70399D8A" w14:textId="77777777" w:rsidR="005A1A44" w:rsidRDefault="0008059E">
      <w:pPr>
        <w:ind w:firstLine="480"/>
      </w:pPr>
      <w:r>
        <w:rPr>
          <w:rFonts w:hint="eastAsia"/>
        </w:rPr>
        <w:t>（</w:t>
      </w:r>
      <w:r>
        <w:rPr>
          <w:rFonts w:hint="eastAsia"/>
        </w:rPr>
        <w:t>1</w:t>
      </w:r>
      <w:r>
        <w:rPr>
          <w:rFonts w:hint="eastAsia"/>
        </w:rPr>
        <w:t>）施工期废水</w:t>
      </w:r>
    </w:p>
    <w:p w14:paraId="6D5D9949" w14:textId="77777777" w:rsidR="005A1A44" w:rsidRDefault="0008059E">
      <w:pPr>
        <w:ind w:firstLine="480"/>
      </w:pPr>
      <w:r>
        <w:rPr>
          <w:rFonts w:hint="eastAsia"/>
        </w:rPr>
        <w:t>①施工人员的生活污水</w:t>
      </w:r>
    </w:p>
    <w:p w14:paraId="3ACE83ED" w14:textId="77777777" w:rsidR="005A1A44" w:rsidRDefault="0008059E">
      <w:pPr>
        <w:ind w:firstLine="480"/>
      </w:pPr>
      <w:r>
        <w:rPr>
          <w:rFonts w:hint="eastAsia"/>
        </w:rPr>
        <w:t>本项目施工期，高峰期人员需要量为</w:t>
      </w:r>
      <w:r>
        <w:rPr>
          <w:rFonts w:hint="eastAsia"/>
        </w:rPr>
        <w:t>330</w:t>
      </w:r>
      <w:r>
        <w:rPr>
          <w:rFonts w:hint="eastAsia"/>
        </w:rPr>
        <w:t>人，按照每人每天用水量为</w:t>
      </w:r>
      <w:r>
        <w:rPr>
          <w:rFonts w:hint="eastAsia"/>
        </w:rPr>
        <w:t>80</w:t>
      </w:r>
      <w:r>
        <w:rPr>
          <w:rFonts w:hint="eastAsia"/>
        </w:rPr>
        <w:t>升，则用水量为</w:t>
      </w:r>
      <w:r>
        <w:rPr>
          <w:rFonts w:hint="eastAsia"/>
        </w:rPr>
        <w:t>26.4m</w:t>
      </w:r>
      <w:r>
        <w:rPr>
          <w:rFonts w:hint="eastAsia"/>
          <w:vertAlign w:val="superscript"/>
        </w:rPr>
        <w:t>3</w:t>
      </w:r>
      <w:r>
        <w:rPr>
          <w:rFonts w:hint="eastAsia"/>
        </w:rPr>
        <w:t>/d</w:t>
      </w:r>
      <w:r>
        <w:rPr>
          <w:rFonts w:hint="eastAsia"/>
        </w:rPr>
        <w:t>，按用水量</w:t>
      </w:r>
      <w:r>
        <w:rPr>
          <w:rFonts w:hint="eastAsia"/>
        </w:rPr>
        <w:t>0.80</w:t>
      </w:r>
      <w:r>
        <w:rPr>
          <w:rFonts w:hint="eastAsia"/>
        </w:rPr>
        <w:t>计算排水量，则生活污水产生量为</w:t>
      </w:r>
      <w:r>
        <w:rPr>
          <w:rFonts w:hint="eastAsia"/>
        </w:rPr>
        <w:t>21.12m</w:t>
      </w:r>
      <w:r>
        <w:rPr>
          <w:rFonts w:hint="eastAsia"/>
          <w:vertAlign w:val="superscript"/>
        </w:rPr>
        <w:t>3</w:t>
      </w:r>
      <w:r>
        <w:rPr>
          <w:rFonts w:hint="eastAsia"/>
        </w:rPr>
        <w:t>/d</w:t>
      </w:r>
      <w:r>
        <w:rPr>
          <w:rFonts w:hint="eastAsia"/>
        </w:rPr>
        <w:t>。</w:t>
      </w:r>
    </w:p>
    <w:p w14:paraId="1FA7DF0F" w14:textId="77777777" w:rsidR="005A1A44" w:rsidRDefault="0008059E">
      <w:pPr>
        <w:ind w:firstLine="480"/>
      </w:pPr>
      <w:r>
        <w:rPr>
          <w:rFonts w:hint="eastAsia"/>
        </w:rPr>
        <w:t>生活污水中主要污染物为</w:t>
      </w:r>
      <w:r>
        <w:rPr>
          <w:rFonts w:hint="eastAsia"/>
        </w:rPr>
        <w:t>COD</w:t>
      </w:r>
      <w:r>
        <w:rPr>
          <w:rFonts w:hint="eastAsia"/>
        </w:rPr>
        <w:t>、</w:t>
      </w:r>
      <w:r>
        <w:rPr>
          <w:rFonts w:hint="eastAsia"/>
        </w:rPr>
        <w:t>BOD</w:t>
      </w:r>
      <w:r>
        <w:rPr>
          <w:rFonts w:hint="eastAsia"/>
          <w:vertAlign w:val="subscript"/>
        </w:rPr>
        <w:t>5</w:t>
      </w:r>
      <w:r>
        <w:rPr>
          <w:rFonts w:hint="eastAsia"/>
        </w:rPr>
        <w:t>、</w:t>
      </w:r>
      <w:r>
        <w:rPr>
          <w:rFonts w:hint="eastAsia"/>
        </w:rPr>
        <w:t>SS</w:t>
      </w:r>
      <w:r>
        <w:rPr>
          <w:rFonts w:hint="eastAsia"/>
        </w:rPr>
        <w:t>、氨氮及石油类等，根据类比调查，</w:t>
      </w:r>
      <w:r>
        <w:rPr>
          <w:rFonts w:hint="eastAsia"/>
        </w:rPr>
        <w:lastRenderedPageBreak/>
        <w:t>其污水水质一般为</w:t>
      </w:r>
      <w:r>
        <w:rPr>
          <w:rFonts w:hint="eastAsia"/>
        </w:rPr>
        <w:t>COD 300mg/l</w:t>
      </w:r>
      <w:r>
        <w:rPr>
          <w:rFonts w:hint="eastAsia"/>
        </w:rPr>
        <w:t>，</w:t>
      </w:r>
      <w:r>
        <w:rPr>
          <w:rFonts w:hint="eastAsia"/>
        </w:rPr>
        <w:t>BOD5 200mg/l</w:t>
      </w:r>
      <w:r>
        <w:rPr>
          <w:rFonts w:hint="eastAsia"/>
        </w:rPr>
        <w:t>，</w:t>
      </w:r>
      <w:r>
        <w:rPr>
          <w:rFonts w:hint="eastAsia"/>
        </w:rPr>
        <w:t>SS 200mg/l</w:t>
      </w:r>
      <w:r>
        <w:rPr>
          <w:rFonts w:hint="eastAsia"/>
        </w:rPr>
        <w:t>，氨氮</w:t>
      </w:r>
      <w:r>
        <w:rPr>
          <w:rFonts w:hint="eastAsia"/>
        </w:rPr>
        <w:t>35mg/L</w:t>
      </w:r>
      <w:r>
        <w:rPr>
          <w:rFonts w:hint="eastAsia"/>
        </w:rPr>
        <w:t>。则产生的污染物：</w:t>
      </w:r>
      <w:r>
        <w:rPr>
          <w:rFonts w:hint="eastAsia"/>
        </w:rPr>
        <w:t>COD</w:t>
      </w:r>
      <w:r>
        <w:rPr>
          <w:rFonts w:hint="eastAsia"/>
        </w:rPr>
        <w:t>：</w:t>
      </w:r>
      <w:r>
        <w:rPr>
          <w:rFonts w:hint="eastAsia"/>
        </w:rPr>
        <w:t>2.31t/a</w:t>
      </w:r>
      <w:r>
        <w:rPr>
          <w:rFonts w:hint="eastAsia"/>
        </w:rPr>
        <w:t>，</w:t>
      </w:r>
      <w:r>
        <w:rPr>
          <w:rFonts w:hint="eastAsia"/>
        </w:rPr>
        <w:t>BOD5</w:t>
      </w:r>
      <w:r>
        <w:rPr>
          <w:rFonts w:hint="eastAsia"/>
        </w:rPr>
        <w:t>：</w:t>
      </w:r>
      <w:r>
        <w:rPr>
          <w:rFonts w:hint="eastAsia"/>
        </w:rPr>
        <w:t>1.54t/a</w:t>
      </w:r>
      <w:r>
        <w:rPr>
          <w:rFonts w:hint="eastAsia"/>
        </w:rPr>
        <w:t>，</w:t>
      </w:r>
      <w:r>
        <w:rPr>
          <w:rFonts w:hint="eastAsia"/>
        </w:rPr>
        <w:t>SS</w:t>
      </w:r>
      <w:r>
        <w:rPr>
          <w:rFonts w:hint="eastAsia"/>
        </w:rPr>
        <w:t>：</w:t>
      </w:r>
      <w:r>
        <w:rPr>
          <w:rFonts w:hint="eastAsia"/>
        </w:rPr>
        <w:t>1.54t/a</w:t>
      </w:r>
      <w:r>
        <w:rPr>
          <w:rFonts w:hint="eastAsia"/>
        </w:rPr>
        <w:t>，氨氮：</w:t>
      </w:r>
      <w:r>
        <w:rPr>
          <w:rFonts w:hint="eastAsia"/>
        </w:rPr>
        <w:t>0.27t/a</w:t>
      </w:r>
      <w:r>
        <w:rPr>
          <w:rFonts w:hint="eastAsia"/>
        </w:rPr>
        <w:t>。</w:t>
      </w:r>
    </w:p>
    <w:p w14:paraId="062512A0" w14:textId="77777777" w:rsidR="005A1A44" w:rsidRDefault="0008059E">
      <w:pPr>
        <w:ind w:firstLine="480"/>
      </w:pPr>
      <w:r>
        <w:rPr>
          <w:rFonts w:hint="eastAsia"/>
        </w:rPr>
        <w:t>由于施工人员生活区基本沿河布置，沿岸大部分为居民区，对于生活污水结合施工营地布设情况，拟采取就近且灵活的处理原则，对于附近有市政排水管网的二区域，施工人员生活废水尽量接入城镇居民生活污水管网，由城镇污水处理厂进行处理；在城镇污水管网未覆盖的区域，在施工营地设置临时防渗漏旱厕，并设立化粪池对其进行处理并及时清运。</w:t>
      </w:r>
    </w:p>
    <w:p w14:paraId="5748453D" w14:textId="77777777" w:rsidR="005A1A44" w:rsidRDefault="0008059E">
      <w:pPr>
        <w:ind w:firstLine="480"/>
      </w:pPr>
      <w:r>
        <w:rPr>
          <w:rFonts w:hint="eastAsia"/>
        </w:rPr>
        <w:t>②施工作业废水</w:t>
      </w:r>
    </w:p>
    <w:p w14:paraId="0A950915" w14:textId="77777777" w:rsidR="005A1A44" w:rsidRDefault="0008059E">
      <w:pPr>
        <w:ind w:firstLine="480"/>
      </w:pPr>
      <w:r>
        <w:rPr>
          <w:rFonts w:hint="eastAsia"/>
        </w:rPr>
        <w:t>施工作业废水主要包括施工机械、施工运输车辆运行、维修和清洗时产生的含油废水和混凝土养护过程中产生的少量废水，其主要污染物包括</w:t>
      </w:r>
      <w:r>
        <w:rPr>
          <w:rFonts w:hint="eastAsia"/>
        </w:rPr>
        <w:t>COD</w:t>
      </w:r>
      <w:r>
        <w:rPr>
          <w:rFonts w:hint="eastAsia"/>
        </w:rPr>
        <w:t>、石油类、</w:t>
      </w:r>
      <w:r>
        <w:rPr>
          <w:rFonts w:hint="eastAsia"/>
        </w:rPr>
        <w:t>SS</w:t>
      </w:r>
      <w:r>
        <w:rPr>
          <w:rFonts w:hint="eastAsia"/>
        </w:rPr>
        <w:t>等。大型车辆冲洗废水主要污染物为石油类、</w:t>
      </w:r>
      <w:r>
        <w:rPr>
          <w:rFonts w:hint="eastAsia"/>
        </w:rPr>
        <w:t>SS</w:t>
      </w:r>
      <w:r>
        <w:rPr>
          <w:rFonts w:hint="eastAsia"/>
        </w:rPr>
        <w:t>，混凝土拌合和混凝土物件的养护过程中也有少量废水排放，主要污染物是</w:t>
      </w:r>
      <w:r>
        <w:rPr>
          <w:rFonts w:hint="eastAsia"/>
        </w:rPr>
        <w:t>SS</w:t>
      </w:r>
      <w:r>
        <w:rPr>
          <w:rFonts w:hint="eastAsia"/>
        </w:rPr>
        <w:t>。</w:t>
      </w:r>
    </w:p>
    <w:p w14:paraId="128A2EE4" w14:textId="77777777" w:rsidR="005A1A44" w:rsidRDefault="0008059E">
      <w:pPr>
        <w:ind w:firstLine="480"/>
      </w:pPr>
      <w:r>
        <w:rPr>
          <w:rFonts w:hint="eastAsia"/>
        </w:rPr>
        <w:t>工程施工期高峰作业产生生产性废水约</w:t>
      </w:r>
      <w:r>
        <w:rPr>
          <w:rFonts w:hint="eastAsia"/>
        </w:rPr>
        <w:t>73.6m</w:t>
      </w:r>
      <w:r>
        <w:rPr>
          <w:rFonts w:hint="eastAsia"/>
          <w:vertAlign w:val="superscript"/>
        </w:rPr>
        <w:t>3</w:t>
      </w:r>
      <w:r>
        <w:rPr>
          <w:rFonts w:hint="eastAsia"/>
        </w:rPr>
        <w:t>/d</w:t>
      </w:r>
      <w:r>
        <w:rPr>
          <w:rFonts w:hint="eastAsia"/>
        </w:rPr>
        <w:t>，块砾石及作业面冲洗废水中主要污染物质为</w:t>
      </w:r>
      <w:r>
        <w:rPr>
          <w:rFonts w:hint="eastAsia"/>
        </w:rPr>
        <w:t>SS</w:t>
      </w:r>
      <w:r>
        <w:rPr>
          <w:rFonts w:hint="eastAsia"/>
        </w:rPr>
        <w:t>，类比同类工程其浓度为</w:t>
      </w:r>
      <w:r>
        <w:rPr>
          <w:rFonts w:hint="eastAsia"/>
        </w:rPr>
        <w:t>1500~2500mg/l</w:t>
      </w:r>
      <w:r>
        <w:rPr>
          <w:rFonts w:hint="eastAsia"/>
        </w:rPr>
        <w:t>；混凝土拌合系统生产废水主要污染物为</w:t>
      </w:r>
      <w:r>
        <w:rPr>
          <w:rFonts w:hint="eastAsia"/>
        </w:rPr>
        <w:t>pH</w:t>
      </w:r>
      <w:r>
        <w:rPr>
          <w:rFonts w:hint="eastAsia"/>
        </w:rPr>
        <w:t>、</w:t>
      </w:r>
      <w:r>
        <w:rPr>
          <w:rFonts w:hint="eastAsia"/>
        </w:rPr>
        <w:t>SS</w:t>
      </w:r>
      <w:r>
        <w:rPr>
          <w:rFonts w:hint="eastAsia"/>
        </w:rPr>
        <w:t>和石油类，</w:t>
      </w:r>
      <w:r>
        <w:rPr>
          <w:rFonts w:hint="eastAsia"/>
        </w:rPr>
        <w:t>SS</w:t>
      </w:r>
      <w:r>
        <w:rPr>
          <w:rFonts w:hint="eastAsia"/>
        </w:rPr>
        <w:t>浓度</w:t>
      </w:r>
      <w:r>
        <w:rPr>
          <w:rFonts w:hint="eastAsia"/>
        </w:rPr>
        <w:t>2500~5000mg/l</w:t>
      </w:r>
      <w:r>
        <w:rPr>
          <w:rFonts w:hint="eastAsia"/>
        </w:rPr>
        <w:t>，油类含量</w:t>
      </w:r>
      <w:r>
        <w:rPr>
          <w:rFonts w:hint="eastAsia"/>
        </w:rPr>
        <w:t>&lt;10mg/l</w:t>
      </w:r>
      <w:r>
        <w:rPr>
          <w:rFonts w:hint="eastAsia"/>
        </w:rPr>
        <w:t>。基坑排水的主要污染物为</w:t>
      </w:r>
      <w:r>
        <w:rPr>
          <w:rFonts w:hint="eastAsia"/>
        </w:rPr>
        <w:t>SS</w:t>
      </w:r>
      <w:r>
        <w:rPr>
          <w:rFonts w:hint="eastAsia"/>
        </w:rPr>
        <w:t>，排水中</w:t>
      </w:r>
      <w:r>
        <w:rPr>
          <w:rFonts w:hint="eastAsia"/>
        </w:rPr>
        <w:t>SS</w:t>
      </w:r>
      <w:r>
        <w:rPr>
          <w:rFonts w:hint="eastAsia"/>
        </w:rPr>
        <w:t>浓度约</w:t>
      </w:r>
      <w:r>
        <w:rPr>
          <w:rFonts w:hint="eastAsia"/>
        </w:rPr>
        <w:t>1500~2500mg/l</w:t>
      </w:r>
      <w:r>
        <w:rPr>
          <w:rFonts w:hint="eastAsia"/>
        </w:rPr>
        <w:t>。</w:t>
      </w:r>
    </w:p>
    <w:p w14:paraId="5A35A683" w14:textId="77777777" w:rsidR="005A1A44" w:rsidRDefault="0008059E">
      <w:pPr>
        <w:ind w:firstLine="482"/>
        <w:rPr>
          <w:b/>
          <w:bCs/>
        </w:rPr>
      </w:pPr>
      <w:r>
        <w:rPr>
          <w:rFonts w:hint="eastAsia"/>
          <w:b/>
          <w:bCs/>
        </w:rPr>
        <w:t>a</w:t>
      </w:r>
      <w:r>
        <w:rPr>
          <w:rFonts w:hint="eastAsia"/>
          <w:b/>
          <w:bCs/>
        </w:rPr>
        <w:t>、机械冲洗废水</w:t>
      </w:r>
    </w:p>
    <w:p w14:paraId="5741C695" w14:textId="77777777" w:rsidR="005A1A44" w:rsidRDefault="0008059E">
      <w:pPr>
        <w:ind w:firstLine="480"/>
      </w:pPr>
      <w:r>
        <w:rPr>
          <w:rFonts w:hint="eastAsia"/>
        </w:rPr>
        <w:t>根据工程可研，施工营地设置施工机械停车场，施工机械停车场主要停放自卸汽车、挖掘机、推土机和拖拉机等，根据水利工程实际施工经验，一般车辆冲洗用水是施工生产用水的</w:t>
      </w:r>
      <w:r>
        <w:rPr>
          <w:rFonts w:hint="eastAsia"/>
        </w:rPr>
        <w:t>5%</w:t>
      </w:r>
      <w:r>
        <w:rPr>
          <w:rFonts w:hint="eastAsia"/>
        </w:rPr>
        <w:t>～</w:t>
      </w:r>
      <w:r>
        <w:rPr>
          <w:rFonts w:hint="eastAsia"/>
        </w:rPr>
        <w:t>15%</w:t>
      </w:r>
      <w:r>
        <w:rPr>
          <w:rFonts w:hint="eastAsia"/>
        </w:rPr>
        <w:t>左右，本工程车辆冲洗用水取施工生产用水的</w:t>
      </w:r>
      <w:r>
        <w:rPr>
          <w:rFonts w:hint="eastAsia"/>
        </w:rPr>
        <w:t>10%</w:t>
      </w:r>
      <w:r>
        <w:rPr>
          <w:rFonts w:hint="eastAsia"/>
        </w:rPr>
        <w:t>。本工程施工营地共产生车辆冲洗废水</w:t>
      </w:r>
      <w:r>
        <w:rPr>
          <w:rFonts w:hint="eastAsia"/>
        </w:rPr>
        <w:t>7.36m</w:t>
      </w:r>
      <w:r>
        <w:rPr>
          <w:rFonts w:hint="eastAsia"/>
          <w:vertAlign w:val="superscript"/>
        </w:rPr>
        <w:t>3</w:t>
      </w:r>
      <w:r>
        <w:rPr>
          <w:rFonts w:hint="eastAsia"/>
        </w:rPr>
        <w:t>/d</w:t>
      </w:r>
      <w:r>
        <w:rPr>
          <w:rFonts w:hint="eastAsia"/>
        </w:rPr>
        <w:t>。废水中主要污染物为石油类和悬浮物，机械车辆冲洗废水石油类污染物浓度约</w:t>
      </w:r>
      <w:r>
        <w:rPr>
          <w:rFonts w:hint="eastAsia"/>
        </w:rPr>
        <w:t>10mg/L</w:t>
      </w:r>
      <w:r>
        <w:rPr>
          <w:rFonts w:hint="eastAsia"/>
        </w:rPr>
        <w:t>，工程拟在每个施工营地建设隔油池</w:t>
      </w:r>
      <w:r>
        <w:rPr>
          <w:rFonts w:hint="eastAsia"/>
        </w:rPr>
        <w:t>+</w:t>
      </w:r>
      <w:r>
        <w:rPr>
          <w:rFonts w:hint="eastAsia"/>
        </w:rPr>
        <w:t>沉淀池对工程车辆冲洗废水进行处理。机械车辆冲洗废水经除油、沉淀处理后，石油类浓度可降至</w:t>
      </w:r>
      <w:r>
        <w:rPr>
          <w:rFonts w:hint="eastAsia"/>
        </w:rPr>
        <w:t>5mg/L</w:t>
      </w:r>
      <w:r>
        <w:rPr>
          <w:rFonts w:hint="eastAsia"/>
        </w:rPr>
        <w:t>以下，回用于车辆冲洗用水或施工区洒水降尘。</w:t>
      </w:r>
    </w:p>
    <w:p w14:paraId="116C178D" w14:textId="77777777" w:rsidR="005A1A44" w:rsidRDefault="0008059E">
      <w:pPr>
        <w:ind w:firstLine="482"/>
        <w:rPr>
          <w:b/>
          <w:bCs/>
        </w:rPr>
      </w:pPr>
      <w:r>
        <w:rPr>
          <w:rFonts w:hint="eastAsia"/>
          <w:b/>
          <w:bCs/>
        </w:rPr>
        <w:t>b</w:t>
      </w:r>
      <w:r>
        <w:rPr>
          <w:rFonts w:hint="eastAsia"/>
          <w:b/>
          <w:bCs/>
        </w:rPr>
        <w:t>、混凝土拌合系统废水</w:t>
      </w:r>
    </w:p>
    <w:p w14:paraId="7AD03264" w14:textId="77777777" w:rsidR="005A1A44" w:rsidRDefault="0008059E">
      <w:pPr>
        <w:ind w:firstLine="480"/>
      </w:pPr>
      <w:r>
        <w:rPr>
          <w:rFonts w:hint="eastAsia"/>
        </w:rPr>
        <w:t>混凝土拌合系统废水产生自混凝土拌合过程，以及混凝土转筒和料罐在每班末的冲洗过程，拌合废水主要是碱性水，</w:t>
      </w:r>
      <w:r>
        <w:rPr>
          <w:rFonts w:hint="eastAsia"/>
        </w:rPr>
        <w:t>pH</w:t>
      </w:r>
      <w:r>
        <w:rPr>
          <w:rFonts w:hint="eastAsia"/>
        </w:rPr>
        <w:t>值</w:t>
      </w:r>
      <w:r>
        <w:rPr>
          <w:rFonts w:hint="eastAsia"/>
        </w:rPr>
        <w:t>9-12</w:t>
      </w:r>
      <w:r>
        <w:rPr>
          <w:rFonts w:hint="eastAsia"/>
        </w:rPr>
        <w:t>，</w:t>
      </w:r>
      <w:r>
        <w:rPr>
          <w:rFonts w:hint="eastAsia"/>
        </w:rPr>
        <w:t>SS</w:t>
      </w:r>
      <w:r>
        <w:rPr>
          <w:rFonts w:hint="eastAsia"/>
        </w:rPr>
        <w:t>浓度约</w:t>
      </w:r>
      <w:r>
        <w:rPr>
          <w:rFonts w:hint="eastAsia"/>
        </w:rPr>
        <w:t>5000mg/L</w:t>
      </w:r>
      <w:r>
        <w:rPr>
          <w:rFonts w:hint="eastAsia"/>
        </w:rPr>
        <w:t>，根据新疆地区其他水利工程混凝拌合站生产经验，混凝土拌合废水排放率为</w:t>
      </w:r>
      <w:r>
        <w:rPr>
          <w:rFonts w:hint="eastAsia"/>
        </w:rPr>
        <w:t>40%</w:t>
      </w:r>
      <w:r>
        <w:rPr>
          <w:rFonts w:hint="eastAsia"/>
        </w:rPr>
        <w:t>，根据河道</w:t>
      </w:r>
      <w:r>
        <w:rPr>
          <w:rFonts w:hint="eastAsia"/>
        </w:rPr>
        <w:lastRenderedPageBreak/>
        <w:t>整治所需要的混凝土量，分析本工程凝土拌合系统废水排放情况如下。</w:t>
      </w:r>
    </w:p>
    <w:p w14:paraId="202A330C"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t>表3.6-2  工程凝土拌合系统废水排放情况表</w:t>
      </w:r>
    </w:p>
    <w:tbl>
      <w:tblPr>
        <w:tblStyle w:val="af"/>
        <w:tblW w:w="8850" w:type="dxa"/>
        <w:tblLayout w:type="fixed"/>
        <w:tblLook w:val="04A0" w:firstRow="1" w:lastRow="0" w:firstColumn="1" w:lastColumn="0" w:noHBand="0" w:noVBand="1"/>
      </w:tblPr>
      <w:tblGrid>
        <w:gridCol w:w="983"/>
        <w:gridCol w:w="983"/>
        <w:gridCol w:w="983"/>
        <w:gridCol w:w="983"/>
        <w:gridCol w:w="983"/>
        <w:gridCol w:w="983"/>
        <w:gridCol w:w="984"/>
        <w:gridCol w:w="984"/>
        <w:gridCol w:w="984"/>
      </w:tblGrid>
      <w:tr w:rsidR="005A1A44" w14:paraId="1111020B" w14:textId="77777777">
        <w:trPr>
          <w:trHeight w:val="456"/>
        </w:trPr>
        <w:tc>
          <w:tcPr>
            <w:tcW w:w="983" w:type="dxa"/>
            <w:vMerge w:val="restart"/>
            <w:vAlign w:val="center"/>
          </w:tcPr>
          <w:p w14:paraId="0DF50BA2" w14:textId="77777777" w:rsidR="005A1A44" w:rsidRDefault="0008059E">
            <w:pPr>
              <w:spacing w:line="240" w:lineRule="auto"/>
              <w:ind w:firstLineChars="0" w:firstLine="0"/>
              <w:jc w:val="center"/>
              <w:rPr>
                <w:sz w:val="21"/>
                <w:szCs w:val="21"/>
              </w:rPr>
            </w:pPr>
            <w:r>
              <w:rPr>
                <w:rFonts w:hint="eastAsia"/>
                <w:sz w:val="21"/>
                <w:szCs w:val="21"/>
              </w:rPr>
              <w:t>名称</w:t>
            </w:r>
          </w:p>
        </w:tc>
        <w:tc>
          <w:tcPr>
            <w:tcW w:w="983" w:type="dxa"/>
            <w:vMerge w:val="restart"/>
            <w:vAlign w:val="center"/>
          </w:tcPr>
          <w:p w14:paraId="0CCC0924" w14:textId="77777777" w:rsidR="005A1A44" w:rsidRDefault="0008059E">
            <w:pPr>
              <w:spacing w:line="240" w:lineRule="auto"/>
              <w:ind w:firstLineChars="0" w:firstLine="0"/>
              <w:jc w:val="center"/>
              <w:rPr>
                <w:sz w:val="21"/>
                <w:szCs w:val="21"/>
              </w:rPr>
            </w:pPr>
            <w:r>
              <w:rPr>
                <w:rFonts w:hint="eastAsia"/>
                <w:sz w:val="21"/>
                <w:szCs w:val="21"/>
              </w:rPr>
              <w:t>设计生产能力（</w:t>
            </w:r>
            <w:r>
              <w:rPr>
                <w:rFonts w:hint="eastAsia"/>
                <w:sz w:val="21"/>
                <w:szCs w:val="21"/>
              </w:rPr>
              <w:t>m</w:t>
            </w:r>
            <w:r>
              <w:rPr>
                <w:rFonts w:hint="eastAsia"/>
                <w:sz w:val="21"/>
                <w:szCs w:val="21"/>
                <w:vertAlign w:val="superscript"/>
              </w:rPr>
              <w:t>3</w:t>
            </w:r>
            <w:r>
              <w:rPr>
                <w:rFonts w:hint="eastAsia"/>
                <w:sz w:val="21"/>
                <w:szCs w:val="21"/>
              </w:rPr>
              <w:t>/h</w:t>
            </w:r>
            <w:r>
              <w:rPr>
                <w:rFonts w:hint="eastAsia"/>
                <w:sz w:val="21"/>
                <w:szCs w:val="21"/>
              </w:rPr>
              <w:t>）</w:t>
            </w:r>
          </w:p>
        </w:tc>
        <w:tc>
          <w:tcPr>
            <w:tcW w:w="983" w:type="dxa"/>
            <w:vMerge w:val="restart"/>
            <w:vAlign w:val="center"/>
          </w:tcPr>
          <w:p w14:paraId="0A8761E7" w14:textId="77777777" w:rsidR="005A1A44" w:rsidRDefault="0008059E">
            <w:pPr>
              <w:spacing w:line="240" w:lineRule="auto"/>
              <w:ind w:firstLineChars="0" w:firstLine="0"/>
              <w:jc w:val="center"/>
              <w:rPr>
                <w:sz w:val="21"/>
                <w:szCs w:val="21"/>
              </w:rPr>
            </w:pPr>
            <w:r>
              <w:rPr>
                <w:rFonts w:hint="eastAsia"/>
                <w:sz w:val="21"/>
                <w:szCs w:val="21"/>
              </w:rPr>
              <w:t>用水量（</w:t>
            </w:r>
            <w:r>
              <w:rPr>
                <w:rFonts w:hint="eastAsia"/>
                <w:sz w:val="21"/>
                <w:szCs w:val="21"/>
              </w:rPr>
              <w:t>m</w:t>
            </w:r>
            <w:r>
              <w:rPr>
                <w:rFonts w:hint="eastAsia"/>
                <w:sz w:val="21"/>
                <w:szCs w:val="21"/>
                <w:vertAlign w:val="superscript"/>
              </w:rPr>
              <w:t>3</w:t>
            </w:r>
            <w:r>
              <w:rPr>
                <w:rFonts w:hint="eastAsia"/>
                <w:sz w:val="21"/>
                <w:szCs w:val="21"/>
              </w:rPr>
              <w:t>/h</w:t>
            </w:r>
            <w:r>
              <w:rPr>
                <w:rFonts w:hint="eastAsia"/>
                <w:sz w:val="21"/>
                <w:szCs w:val="21"/>
              </w:rPr>
              <w:t>）</w:t>
            </w:r>
          </w:p>
        </w:tc>
        <w:tc>
          <w:tcPr>
            <w:tcW w:w="983" w:type="dxa"/>
            <w:vMerge w:val="restart"/>
            <w:vAlign w:val="center"/>
          </w:tcPr>
          <w:p w14:paraId="06C39AC3" w14:textId="77777777" w:rsidR="005A1A44" w:rsidRDefault="0008059E">
            <w:pPr>
              <w:spacing w:line="240" w:lineRule="auto"/>
              <w:ind w:firstLineChars="0" w:firstLine="0"/>
              <w:jc w:val="center"/>
              <w:rPr>
                <w:sz w:val="21"/>
                <w:szCs w:val="21"/>
              </w:rPr>
            </w:pPr>
            <w:r>
              <w:rPr>
                <w:rFonts w:hint="eastAsia"/>
                <w:sz w:val="21"/>
                <w:szCs w:val="21"/>
              </w:rPr>
              <w:t>每日生产时长（</w:t>
            </w:r>
            <w:r>
              <w:rPr>
                <w:rFonts w:hint="eastAsia"/>
                <w:sz w:val="21"/>
                <w:szCs w:val="21"/>
              </w:rPr>
              <w:t>h</w:t>
            </w:r>
            <w:r>
              <w:rPr>
                <w:rFonts w:hint="eastAsia"/>
                <w:sz w:val="21"/>
                <w:szCs w:val="21"/>
              </w:rPr>
              <w:t>）</w:t>
            </w:r>
          </w:p>
        </w:tc>
        <w:tc>
          <w:tcPr>
            <w:tcW w:w="983" w:type="dxa"/>
            <w:vMerge w:val="restart"/>
            <w:vAlign w:val="center"/>
          </w:tcPr>
          <w:p w14:paraId="1914D507" w14:textId="77777777" w:rsidR="005A1A44" w:rsidRDefault="0008059E">
            <w:pPr>
              <w:spacing w:line="240" w:lineRule="auto"/>
              <w:ind w:firstLineChars="0" w:firstLine="0"/>
              <w:jc w:val="center"/>
              <w:rPr>
                <w:sz w:val="21"/>
                <w:szCs w:val="21"/>
              </w:rPr>
            </w:pPr>
            <w:r>
              <w:rPr>
                <w:rFonts w:hint="eastAsia"/>
                <w:sz w:val="21"/>
                <w:szCs w:val="21"/>
              </w:rPr>
              <w:t>废水排放系数</w:t>
            </w:r>
          </w:p>
        </w:tc>
        <w:tc>
          <w:tcPr>
            <w:tcW w:w="2951" w:type="dxa"/>
            <w:gridSpan w:val="3"/>
            <w:vAlign w:val="center"/>
          </w:tcPr>
          <w:p w14:paraId="4F3D2B22" w14:textId="77777777" w:rsidR="005A1A44" w:rsidRDefault="0008059E">
            <w:pPr>
              <w:spacing w:line="240" w:lineRule="auto"/>
              <w:ind w:firstLineChars="0" w:firstLine="0"/>
              <w:jc w:val="center"/>
              <w:rPr>
                <w:sz w:val="21"/>
                <w:szCs w:val="21"/>
              </w:rPr>
            </w:pPr>
            <w:r>
              <w:rPr>
                <w:rFonts w:hint="eastAsia"/>
                <w:sz w:val="21"/>
                <w:szCs w:val="21"/>
              </w:rPr>
              <w:t>废水排放量</w:t>
            </w:r>
          </w:p>
        </w:tc>
        <w:tc>
          <w:tcPr>
            <w:tcW w:w="984" w:type="dxa"/>
            <w:vMerge w:val="restart"/>
            <w:vAlign w:val="center"/>
          </w:tcPr>
          <w:p w14:paraId="78AC9D07" w14:textId="77777777" w:rsidR="005A1A44" w:rsidRDefault="0008059E">
            <w:pPr>
              <w:spacing w:line="240" w:lineRule="auto"/>
              <w:ind w:firstLineChars="0" w:firstLine="0"/>
              <w:jc w:val="center"/>
              <w:rPr>
                <w:sz w:val="21"/>
                <w:szCs w:val="21"/>
              </w:rPr>
            </w:pPr>
            <w:r>
              <w:rPr>
                <w:rFonts w:hint="eastAsia"/>
                <w:sz w:val="21"/>
                <w:szCs w:val="21"/>
              </w:rPr>
              <w:t>SS</w:t>
            </w:r>
            <w:r>
              <w:rPr>
                <w:rFonts w:hint="eastAsia"/>
                <w:sz w:val="21"/>
                <w:szCs w:val="21"/>
              </w:rPr>
              <w:t>（</w:t>
            </w:r>
            <w:r>
              <w:rPr>
                <w:rFonts w:hint="eastAsia"/>
                <w:sz w:val="21"/>
                <w:szCs w:val="21"/>
              </w:rPr>
              <w:t>t/a</w:t>
            </w:r>
            <w:r>
              <w:rPr>
                <w:rFonts w:hint="eastAsia"/>
                <w:sz w:val="21"/>
                <w:szCs w:val="21"/>
              </w:rPr>
              <w:t>）</w:t>
            </w:r>
          </w:p>
        </w:tc>
      </w:tr>
      <w:tr w:rsidR="005A1A44" w14:paraId="71856AA5" w14:textId="77777777">
        <w:trPr>
          <w:trHeight w:val="371"/>
        </w:trPr>
        <w:tc>
          <w:tcPr>
            <w:tcW w:w="983" w:type="dxa"/>
            <w:vMerge/>
            <w:vAlign w:val="center"/>
          </w:tcPr>
          <w:p w14:paraId="54881412" w14:textId="77777777" w:rsidR="005A1A44" w:rsidRDefault="005A1A44">
            <w:pPr>
              <w:spacing w:line="240" w:lineRule="auto"/>
              <w:ind w:firstLineChars="0" w:firstLine="0"/>
              <w:jc w:val="center"/>
              <w:rPr>
                <w:sz w:val="21"/>
                <w:szCs w:val="21"/>
              </w:rPr>
            </w:pPr>
          </w:p>
        </w:tc>
        <w:tc>
          <w:tcPr>
            <w:tcW w:w="983" w:type="dxa"/>
            <w:vMerge/>
            <w:vAlign w:val="center"/>
          </w:tcPr>
          <w:p w14:paraId="0376D999" w14:textId="77777777" w:rsidR="005A1A44" w:rsidRDefault="005A1A44">
            <w:pPr>
              <w:spacing w:line="240" w:lineRule="auto"/>
              <w:ind w:firstLineChars="0" w:firstLine="0"/>
              <w:jc w:val="center"/>
              <w:rPr>
                <w:sz w:val="21"/>
                <w:szCs w:val="21"/>
              </w:rPr>
            </w:pPr>
          </w:p>
        </w:tc>
        <w:tc>
          <w:tcPr>
            <w:tcW w:w="983" w:type="dxa"/>
            <w:vMerge/>
            <w:vAlign w:val="center"/>
          </w:tcPr>
          <w:p w14:paraId="01867B02" w14:textId="77777777" w:rsidR="005A1A44" w:rsidRDefault="005A1A44">
            <w:pPr>
              <w:spacing w:line="240" w:lineRule="auto"/>
              <w:ind w:firstLineChars="0" w:firstLine="0"/>
              <w:jc w:val="center"/>
              <w:rPr>
                <w:sz w:val="21"/>
                <w:szCs w:val="21"/>
              </w:rPr>
            </w:pPr>
          </w:p>
        </w:tc>
        <w:tc>
          <w:tcPr>
            <w:tcW w:w="983" w:type="dxa"/>
            <w:vMerge/>
            <w:vAlign w:val="center"/>
          </w:tcPr>
          <w:p w14:paraId="1F29A696" w14:textId="77777777" w:rsidR="005A1A44" w:rsidRDefault="005A1A44">
            <w:pPr>
              <w:spacing w:line="240" w:lineRule="auto"/>
              <w:ind w:firstLineChars="0" w:firstLine="0"/>
              <w:jc w:val="center"/>
              <w:rPr>
                <w:sz w:val="21"/>
                <w:szCs w:val="21"/>
              </w:rPr>
            </w:pPr>
          </w:p>
        </w:tc>
        <w:tc>
          <w:tcPr>
            <w:tcW w:w="983" w:type="dxa"/>
            <w:vMerge/>
            <w:vAlign w:val="center"/>
          </w:tcPr>
          <w:p w14:paraId="1BE89E70" w14:textId="77777777" w:rsidR="005A1A44" w:rsidRDefault="005A1A44">
            <w:pPr>
              <w:spacing w:line="240" w:lineRule="auto"/>
              <w:ind w:firstLineChars="0" w:firstLine="0"/>
              <w:jc w:val="center"/>
              <w:rPr>
                <w:sz w:val="21"/>
                <w:szCs w:val="21"/>
              </w:rPr>
            </w:pPr>
          </w:p>
        </w:tc>
        <w:tc>
          <w:tcPr>
            <w:tcW w:w="983" w:type="dxa"/>
            <w:vAlign w:val="center"/>
          </w:tcPr>
          <w:p w14:paraId="4612FAC7" w14:textId="77777777" w:rsidR="005A1A44" w:rsidRDefault="0008059E">
            <w:pPr>
              <w:spacing w:line="240" w:lineRule="auto"/>
              <w:ind w:firstLineChars="0" w:firstLine="0"/>
              <w:jc w:val="center"/>
              <w:rPr>
                <w:sz w:val="21"/>
                <w:szCs w:val="21"/>
              </w:rPr>
            </w:pPr>
            <w:r>
              <w:rPr>
                <w:rFonts w:hint="eastAsia"/>
                <w:sz w:val="21"/>
                <w:szCs w:val="21"/>
              </w:rPr>
              <w:t>m</w:t>
            </w:r>
            <w:r>
              <w:rPr>
                <w:rFonts w:hint="eastAsia"/>
                <w:sz w:val="21"/>
                <w:szCs w:val="21"/>
                <w:vertAlign w:val="superscript"/>
              </w:rPr>
              <w:t>3</w:t>
            </w:r>
            <w:r>
              <w:rPr>
                <w:rFonts w:hint="eastAsia"/>
                <w:sz w:val="21"/>
                <w:szCs w:val="21"/>
              </w:rPr>
              <w:t>/h</w:t>
            </w:r>
          </w:p>
        </w:tc>
        <w:tc>
          <w:tcPr>
            <w:tcW w:w="984" w:type="dxa"/>
            <w:vAlign w:val="center"/>
          </w:tcPr>
          <w:p w14:paraId="612B7C72" w14:textId="77777777" w:rsidR="005A1A44" w:rsidRDefault="0008059E">
            <w:pPr>
              <w:spacing w:line="240" w:lineRule="auto"/>
              <w:ind w:firstLineChars="0" w:firstLine="0"/>
              <w:jc w:val="center"/>
              <w:rPr>
                <w:sz w:val="21"/>
                <w:szCs w:val="21"/>
              </w:rPr>
            </w:pPr>
            <w:r>
              <w:rPr>
                <w:rFonts w:hint="eastAsia"/>
                <w:sz w:val="21"/>
                <w:szCs w:val="21"/>
              </w:rPr>
              <w:t>m</w:t>
            </w:r>
            <w:r>
              <w:rPr>
                <w:rFonts w:hint="eastAsia"/>
                <w:sz w:val="21"/>
                <w:szCs w:val="21"/>
                <w:vertAlign w:val="superscript"/>
              </w:rPr>
              <w:t>3</w:t>
            </w:r>
            <w:r>
              <w:rPr>
                <w:rFonts w:hint="eastAsia"/>
                <w:sz w:val="21"/>
                <w:szCs w:val="21"/>
              </w:rPr>
              <w:t>/d</w:t>
            </w:r>
          </w:p>
        </w:tc>
        <w:tc>
          <w:tcPr>
            <w:tcW w:w="984" w:type="dxa"/>
            <w:vAlign w:val="center"/>
          </w:tcPr>
          <w:p w14:paraId="5C5202F8" w14:textId="77777777" w:rsidR="005A1A44" w:rsidRDefault="0008059E">
            <w:pPr>
              <w:spacing w:line="240" w:lineRule="auto"/>
              <w:ind w:firstLineChars="0" w:firstLine="0"/>
              <w:jc w:val="center"/>
              <w:rPr>
                <w:sz w:val="21"/>
                <w:szCs w:val="21"/>
              </w:rPr>
            </w:pPr>
            <w:r>
              <w:rPr>
                <w:rFonts w:hint="eastAsia"/>
                <w:sz w:val="21"/>
                <w:szCs w:val="21"/>
              </w:rPr>
              <w:t>m</w:t>
            </w:r>
            <w:r>
              <w:rPr>
                <w:rFonts w:hint="eastAsia"/>
                <w:sz w:val="21"/>
                <w:szCs w:val="21"/>
                <w:vertAlign w:val="superscript"/>
              </w:rPr>
              <w:t>3</w:t>
            </w:r>
            <w:r>
              <w:rPr>
                <w:rFonts w:hint="eastAsia"/>
                <w:sz w:val="21"/>
                <w:szCs w:val="21"/>
              </w:rPr>
              <w:t>/a</w:t>
            </w:r>
          </w:p>
        </w:tc>
        <w:tc>
          <w:tcPr>
            <w:tcW w:w="984" w:type="dxa"/>
            <w:vMerge/>
            <w:vAlign w:val="center"/>
          </w:tcPr>
          <w:p w14:paraId="5148D0F7" w14:textId="77777777" w:rsidR="005A1A44" w:rsidRDefault="005A1A44">
            <w:pPr>
              <w:spacing w:line="240" w:lineRule="auto"/>
              <w:ind w:firstLineChars="0" w:firstLine="0"/>
              <w:jc w:val="center"/>
              <w:rPr>
                <w:sz w:val="21"/>
                <w:szCs w:val="21"/>
              </w:rPr>
            </w:pPr>
          </w:p>
        </w:tc>
      </w:tr>
      <w:tr w:rsidR="005A1A44" w14:paraId="67FF6B42" w14:textId="77777777">
        <w:tc>
          <w:tcPr>
            <w:tcW w:w="983" w:type="dxa"/>
            <w:vAlign w:val="center"/>
          </w:tcPr>
          <w:p w14:paraId="265930C2" w14:textId="77777777" w:rsidR="005A1A44" w:rsidRDefault="0008059E">
            <w:pPr>
              <w:spacing w:line="240" w:lineRule="auto"/>
              <w:ind w:firstLineChars="0" w:firstLine="0"/>
              <w:jc w:val="center"/>
              <w:rPr>
                <w:sz w:val="21"/>
                <w:szCs w:val="21"/>
              </w:rPr>
            </w:pPr>
            <w:r>
              <w:rPr>
                <w:rFonts w:hint="eastAsia"/>
                <w:sz w:val="21"/>
                <w:szCs w:val="21"/>
              </w:rPr>
              <w:t>砼拌合站</w:t>
            </w:r>
          </w:p>
        </w:tc>
        <w:tc>
          <w:tcPr>
            <w:tcW w:w="983" w:type="dxa"/>
            <w:vAlign w:val="center"/>
          </w:tcPr>
          <w:p w14:paraId="46B03CD8" w14:textId="77777777" w:rsidR="005A1A44" w:rsidRDefault="0008059E">
            <w:pPr>
              <w:spacing w:line="240" w:lineRule="auto"/>
              <w:ind w:firstLineChars="0" w:firstLine="0"/>
              <w:jc w:val="center"/>
              <w:rPr>
                <w:sz w:val="21"/>
                <w:szCs w:val="21"/>
              </w:rPr>
            </w:pPr>
            <w:r>
              <w:rPr>
                <w:rFonts w:hint="eastAsia"/>
                <w:sz w:val="21"/>
                <w:szCs w:val="21"/>
              </w:rPr>
              <w:t>40</w:t>
            </w:r>
          </w:p>
        </w:tc>
        <w:tc>
          <w:tcPr>
            <w:tcW w:w="983" w:type="dxa"/>
            <w:vAlign w:val="center"/>
          </w:tcPr>
          <w:p w14:paraId="721B1769" w14:textId="77777777" w:rsidR="005A1A44" w:rsidRDefault="0008059E">
            <w:pPr>
              <w:spacing w:line="240" w:lineRule="auto"/>
              <w:ind w:firstLineChars="0" w:firstLine="0"/>
              <w:jc w:val="center"/>
              <w:rPr>
                <w:sz w:val="21"/>
                <w:szCs w:val="21"/>
              </w:rPr>
            </w:pPr>
            <w:r>
              <w:rPr>
                <w:rFonts w:hint="eastAsia"/>
                <w:sz w:val="21"/>
                <w:szCs w:val="21"/>
              </w:rPr>
              <w:t>6.8</w:t>
            </w:r>
          </w:p>
        </w:tc>
        <w:tc>
          <w:tcPr>
            <w:tcW w:w="983" w:type="dxa"/>
            <w:vAlign w:val="center"/>
          </w:tcPr>
          <w:p w14:paraId="145E1B65" w14:textId="77777777" w:rsidR="005A1A44" w:rsidRDefault="0008059E">
            <w:pPr>
              <w:spacing w:line="240" w:lineRule="auto"/>
              <w:ind w:firstLineChars="0" w:firstLine="0"/>
              <w:jc w:val="center"/>
              <w:rPr>
                <w:sz w:val="21"/>
                <w:szCs w:val="21"/>
              </w:rPr>
            </w:pPr>
            <w:r>
              <w:rPr>
                <w:rFonts w:hint="eastAsia"/>
                <w:sz w:val="21"/>
                <w:szCs w:val="21"/>
              </w:rPr>
              <w:t>8</w:t>
            </w:r>
          </w:p>
        </w:tc>
        <w:tc>
          <w:tcPr>
            <w:tcW w:w="983" w:type="dxa"/>
            <w:vAlign w:val="center"/>
          </w:tcPr>
          <w:p w14:paraId="794DBC18" w14:textId="77777777" w:rsidR="005A1A44" w:rsidRDefault="0008059E">
            <w:pPr>
              <w:spacing w:line="240" w:lineRule="auto"/>
              <w:ind w:firstLineChars="0" w:firstLine="0"/>
              <w:jc w:val="center"/>
              <w:rPr>
                <w:sz w:val="21"/>
                <w:szCs w:val="21"/>
              </w:rPr>
            </w:pPr>
            <w:r>
              <w:rPr>
                <w:rFonts w:hint="eastAsia"/>
                <w:sz w:val="21"/>
                <w:szCs w:val="21"/>
              </w:rPr>
              <w:t>0.4</w:t>
            </w:r>
          </w:p>
        </w:tc>
        <w:tc>
          <w:tcPr>
            <w:tcW w:w="983" w:type="dxa"/>
            <w:vAlign w:val="center"/>
          </w:tcPr>
          <w:p w14:paraId="3635CCB8" w14:textId="77777777" w:rsidR="005A1A44" w:rsidRDefault="0008059E">
            <w:pPr>
              <w:spacing w:line="240" w:lineRule="auto"/>
              <w:ind w:firstLineChars="0" w:firstLine="0"/>
              <w:jc w:val="center"/>
              <w:rPr>
                <w:sz w:val="21"/>
                <w:szCs w:val="21"/>
              </w:rPr>
            </w:pPr>
            <w:r>
              <w:rPr>
                <w:rFonts w:hint="eastAsia"/>
                <w:sz w:val="21"/>
                <w:szCs w:val="21"/>
              </w:rPr>
              <w:t>2.72</w:t>
            </w:r>
          </w:p>
        </w:tc>
        <w:tc>
          <w:tcPr>
            <w:tcW w:w="984" w:type="dxa"/>
            <w:vAlign w:val="center"/>
          </w:tcPr>
          <w:p w14:paraId="48FB8D2E" w14:textId="77777777" w:rsidR="005A1A44" w:rsidRDefault="0008059E">
            <w:pPr>
              <w:spacing w:line="240" w:lineRule="auto"/>
              <w:ind w:firstLineChars="0" w:firstLine="0"/>
              <w:jc w:val="center"/>
              <w:rPr>
                <w:sz w:val="21"/>
                <w:szCs w:val="21"/>
              </w:rPr>
            </w:pPr>
            <w:r>
              <w:rPr>
                <w:rFonts w:hint="eastAsia"/>
                <w:sz w:val="21"/>
                <w:szCs w:val="21"/>
              </w:rPr>
              <w:t>21.92</w:t>
            </w:r>
          </w:p>
        </w:tc>
        <w:tc>
          <w:tcPr>
            <w:tcW w:w="984" w:type="dxa"/>
            <w:vAlign w:val="center"/>
          </w:tcPr>
          <w:p w14:paraId="7563EB7C" w14:textId="77777777" w:rsidR="005A1A44" w:rsidRDefault="0008059E">
            <w:pPr>
              <w:spacing w:line="240" w:lineRule="auto"/>
              <w:ind w:firstLineChars="0" w:firstLine="0"/>
              <w:jc w:val="center"/>
              <w:rPr>
                <w:sz w:val="21"/>
                <w:szCs w:val="21"/>
              </w:rPr>
            </w:pPr>
            <w:r>
              <w:rPr>
                <w:rFonts w:hint="eastAsia"/>
                <w:sz w:val="21"/>
                <w:szCs w:val="21"/>
              </w:rPr>
              <w:t>8000.8</w:t>
            </w:r>
          </w:p>
        </w:tc>
        <w:tc>
          <w:tcPr>
            <w:tcW w:w="984" w:type="dxa"/>
            <w:vAlign w:val="center"/>
          </w:tcPr>
          <w:p w14:paraId="154DE2B8" w14:textId="77777777" w:rsidR="005A1A44" w:rsidRDefault="0008059E">
            <w:pPr>
              <w:spacing w:line="240" w:lineRule="auto"/>
              <w:ind w:firstLineChars="0" w:firstLine="0"/>
              <w:jc w:val="center"/>
              <w:rPr>
                <w:sz w:val="21"/>
                <w:szCs w:val="21"/>
              </w:rPr>
            </w:pPr>
            <w:r>
              <w:rPr>
                <w:rFonts w:hint="eastAsia"/>
                <w:sz w:val="21"/>
                <w:szCs w:val="21"/>
              </w:rPr>
              <w:t>40.0</w:t>
            </w:r>
          </w:p>
        </w:tc>
      </w:tr>
    </w:tbl>
    <w:p w14:paraId="4CC2A894" w14:textId="77777777" w:rsidR="005A1A44" w:rsidRDefault="005A1A44">
      <w:pPr>
        <w:ind w:firstLine="480"/>
      </w:pPr>
    </w:p>
    <w:p w14:paraId="62CA1B4B" w14:textId="77777777" w:rsidR="005A1A44" w:rsidRDefault="0008059E">
      <w:pPr>
        <w:ind w:firstLine="482"/>
        <w:rPr>
          <w:b/>
          <w:bCs/>
        </w:rPr>
      </w:pPr>
      <w:r>
        <w:rPr>
          <w:rFonts w:hint="eastAsia"/>
          <w:b/>
          <w:bCs/>
        </w:rPr>
        <w:t>C</w:t>
      </w:r>
      <w:r>
        <w:rPr>
          <w:rFonts w:hint="eastAsia"/>
          <w:b/>
          <w:bCs/>
        </w:rPr>
        <w:t>、混凝土养护废水</w:t>
      </w:r>
    </w:p>
    <w:p w14:paraId="7E85EACD" w14:textId="77777777" w:rsidR="005A1A44" w:rsidRDefault="0008059E">
      <w:pPr>
        <w:ind w:firstLine="480"/>
      </w:pPr>
      <w:r>
        <w:rPr>
          <w:rFonts w:hint="eastAsia"/>
        </w:rPr>
        <w:t>混凝土浇筑时将产生养护废水</w:t>
      </w:r>
      <w:r>
        <w:rPr>
          <w:rFonts w:hint="eastAsia"/>
        </w:rPr>
        <w:t>pH</w:t>
      </w:r>
      <w:r>
        <w:rPr>
          <w:rFonts w:hint="eastAsia"/>
        </w:rPr>
        <w:t>值在</w:t>
      </w:r>
      <w:r>
        <w:rPr>
          <w:rFonts w:hint="eastAsia"/>
        </w:rPr>
        <w:t>9-12</w:t>
      </w:r>
      <w:r>
        <w:rPr>
          <w:rFonts w:hint="eastAsia"/>
        </w:rPr>
        <w:t>之间，为碱性废水，具有悬浮物高、水量少，间歇性排放的特点。混凝土养护废水一次排放约为</w:t>
      </w:r>
      <w:r>
        <w:rPr>
          <w:rFonts w:hint="eastAsia"/>
        </w:rPr>
        <w:t>10m</w:t>
      </w:r>
      <w:r>
        <w:rPr>
          <w:rFonts w:hint="eastAsia"/>
          <w:vertAlign w:val="superscript"/>
        </w:rPr>
        <w:t>3</w:t>
      </w:r>
      <w:r>
        <w:rPr>
          <w:rFonts w:hint="eastAsia"/>
        </w:rPr>
        <w:t>/h</w:t>
      </w:r>
      <w:r>
        <w:rPr>
          <w:rFonts w:hint="eastAsia"/>
        </w:rPr>
        <w:t>。由于项目区地处西北极为干旱的地区，混凝土养护所用水量除保持其必要的水分外，基本都用于蒸发。</w:t>
      </w:r>
    </w:p>
    <w:p w14:paraId="728DC384" w14:textId="77777777" w:rsidR="005A1A44" w:rsidRDefault="0008059E">
      <w:pPr>
        <w:ind w:firstLine="480"/>
      </w:pPr>
      <w:r>
        <w:rPr>
          <w:rFonts w:hint="eastAsia"/>
        </w:rPr>
        <w:t>此外，堤防、河坝施工时，雨水冲刷施工现场，雨水径流含有大量悬浮固体物，短暂性的影响河水水质。</w:t>
      </w:r>
    </w:p>
    <w:p w14:paraId="43928156" w14:textId="77777777" w:rsidR="005A1A44" w:rsidRDefault="0008059E">
      <w:pPr>
        <w:ind w:firstLine="480"/>
      </w:pPr>
      <w:r>
        <w:rPr>
          <w:rFonts w:hint="eastAsia"/>
        </w:rPr>
        <w:t>③构筑物开挖废水</w:t>
      </w:r>
    </w:p>
    <w:p w14:paraId="667886BF" w14:textId="77777777" w:rsidR="005A1A44" w:rsidRDefault="0008059E">
      <w:pPr>
        <w:ind w:firstLine="480"/>
      </w:pPr>
      <w:r>
        <w:rPr>
          <w:rFonts w:hint="eastAsia"/>
        </w:rPr>
        <w:t>构筑物开挖废水包括施工临时围堰修筑和拆除、景观平台桩基施工等活动以及围堰排水造成的河底底泥扰动，使局部水体悬浮物含量增加，引起水质污染和局部河道淤积。</w:t>
      </w:r>
    </w:p>
    <w:p w14:paraId="38D64AAB" w14:textId="77777777" w:rsidR="005A1A44" w:rsidRDefault="0008059E">
      <w:pPr>
        <w:ind w:firstLine="480"/>
      </w:pPr>
      <w:r>
        <w:rPr>
          <w:rFonts w:hint="eastAsia"/>
        </w:rPr>
        <w:t>由于工程施工期生产废水产生点较为分散，难以集中处理，在各施工场地临时修建沉淀池，临时沉淀池</w:t>
      </w:r>
      <w:r>
        <w:rPr>
          <w:rFonts w:hint="eastAsia"/>
        </w:rPr>
        <w:t>10</w:t>
      </w:r>
      <w:r>
        <w:rPr>
          <w:rFonts w:hint="eastAsia"/>
        </w:rPr>
        <w:t>～</w:t>
      </w:r>
      <w:r>
        <w:rPr>
          <w:rFonts w:hint="eastAsia"/>
        </w:rPr>
        <w:t>20m</w:t>
      </w:r>
      <w:r>
        <w:rPr>
          <w:rFonts w:hint="eastAsia"/>
          <w:vertAlign w:val="superscript"/>
        </w:rPr>
        <w:t>3</w:t>
      </w:r>
      <w:r>
        <w:rPr>
          <w:rFonts w:hint="eastAsia"/>
        </w:rPr>
        <w:t>不等，对生产废水分别进行沉淀处理。经过</w:t>
      </w:r>
      <w:r>
        <w:rPr>
          <w:rFonts w:hint="eastAsia"/>
        </w:rPr>
        <w:t>12</w:t>
      </w:r>
      <w:r>
        <w:rPr>
          <w:rFonts w:hint="eastAsia"/>
        </w:rPr>
        <w:t>小时以上沉淀处理后，废水中主要污染物</w:t>
      </w:r>
      <w:r>
        <w:rPr>
          <w:rFonts w:hint="eastAsia"/>
        </w:rPr>
        <w:t>SS</w:t>
      </w:r>
      <w:r>
        <w:rPr>
          <w:rFonts w:hint="eastAsia"/>
        </w:rPr>
        <w:t>可降至</w:t>
      </w:r>
      <w:r>
        <w:rPr>
          <w:rFonts w:hint="eastAsia"/>
        </w:rPr>
        <w:t>200mg/L</w:t>
      </w:r>
      <w:r>
        <w:rPr>
          <w:rFonts w:hint="eastAsia"/>
        </w:rPr>
        <w:t>以下，回用于砾料清洗、周围区域施工及道路降尘用水等。</w:t>
      </w:r>
      <w:r>
        <w:rPr>
          <w:rFonts w:hint="eastAsia"/>
        </w:rPr>
        <w:t xml:space="preserve"> </w:t>
      </w:r>
    </w:p>
    <w:p w14:paraId="0FFB5093"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t>表3.6-3  施工期生产废水排放量估算表</w:t>
      </w:r>
    </w:p>
    <w:tbl>
      <w:tblPr>
        <w:tblStyle w:val="af"/>
        <w:tblW w:w="8850" w:type="dxa"/>
        <w:tblLayout w:type="fixed"/>
        <w:tblLook w:val="04A0" w:firstRow="1" w:lastRow="0" w:firstColumn="1" w:lastColumn="0" w:noHBand="0" w:noVBand="1"/>
      </w:tblPr>
      <w:tblGrid>
        <w:gridCol w:w="2213"/>
        <w:gridCol w:w="2212"/>
        <w:gridCol w:w="2213"/>
        <w:gridCol w:w="2212"/>
      </w:tblGrid>
      <w:tr w:rsidR="005A1A44" w14:paraId="3B1505F8" w14:textId="77777777">
        <w:trPr>
          <w:trHeight w:val="456"/>
          <w:tblHeader/>
        </w:trPr>
        <w:tc>
          <w:tcPr>
            <w:tcW w:w="2213" w:type="dxa"/>
            <w:vMerge w:val="restart"/>
            <w:vAlign w:val="center"/>
          </w:tcPr>
          <w:p w14:paraId="374ED1B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污水类别</w:t>
            </w:r>
          </w:p>
        </w:tc>
        <w:tc>
          <w:tcPr>
            <w:tcW w:w="2212" w:type="dxa"/>
            <w:vMerge w:val="restart"/>
            <w:vAlign w:val="center"/>
          </w:tcPr>
          <w:p w14:paraId="65CF7FA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废水排放量（m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2213" w:type="dxa"/>
            <w:vMerge w:val="restart"/>
            <w:vAlign w:val="center"/>
          </w:tcPr>
          <w:p w14:paraId="6460989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主要污染物浓度（m</w:t>
            </w:r>
            <w:r>
              <w:rPr>
                <w:rFonts w:ascii="宋体" w:eastAsia="宋体" w:hAnsi="宋体" w:cs="宋体" w:hint="eastAsia"/>
                <w:sz w:val="21"/>
                <w:szCs w:val="21"/>
                <w:vertAlign w:val="superscript"/>
              </w:rPr>
              <w:t>3</w:t>
            </w:r>
            <w:r>
              <w:rPr>
                <w:rFonts w:ascii="宋体" w:eastAsia="宋体" w:hAnsi="宋体" w:cs="宋体" w:hint="eastAsia"/>
                <w:sz w:val="21"/>
                <w:szCs w:val="21"/>
              </w:rPr>
              <w:t>/h）</w:t>
            </w:r>
          </w:p>
        </w:tc>
        <w:tc>
          <w:tcPr>
            <w:tcW w:w="2212" w:type="dxa"/>
            <w:vMerge w:val="restart"/>
            <w:vAlign w:val="center"/>
          </w:tcPr>
          <w:p w14:paraId="68CA7C7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备注</w:t>
            </w:r>
          </w:p>
        </w:tc>
      </w:tr>
      <w:tr w:rsidR="005A1A44" w14:paraId="3099ABCD" w14:textId="77777777">
        <w:trPr>
          <w:trHeight w:val="312"/>
          <w:tblHeader/>
        </w:trPr>
        <w:tc>
          <w:tcPr>
            <w:tcW w:w="2213" w:type="dxa"/>
            <w:vMerge/>
            <w:vAlign w:val="center"/>
          </w:tcPr>
          <w:p w14:paraId="3092CBCB"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212" w:type="dxa"/>
            <w:vMerge/>
            <w:vAlign w:val="center"/>
          </w:tcPr>
          <w:p w14:paraId="0AA0F647"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213" w:type="dxa"/>
            <w:vMerge/>
            <w:vAlign w:val="center"/>
          </w:tcPr>
          <w:p w14:paraId="5C14B8DD" w14:textId="77777777" w:rsidR="005A1A44" w:rsidRDefault="005A1A44">
            <w:pPr>
              <w:spacing w:line="240" w:lineRule="auto"/>
              <w:ind w:firstLineChars="0" w:firstLine="0"/>
              <w:jc w:val="center"/>
              <w:rPr>
                <w:rFonts w:ascii="宋体" w:eastAsia="宋体" w:hAnsi="宋体" w:cs="宋体" w:hint="eastAsia"/>
                <w:sz w:val="21"/>
                <w:szCs w:val="21"/>
              </w:rPr>
            </w:pPr>
          </w:p>
        </w:tc>
        <w:tc>
          <w:tcPr>
            <w:tcW w:w="2212" w:type="dxa"/>
            <w:vMerge/>
            <w:vAlign w:val="center"/>
          </w:tcPr>
          <w:p w14:paraId="2204E388"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416B131D" w14:textId="77777777">
        <w:trPr>
          <w:trHeight w:val="560"/>
        </w:trPr>
        <w:tc>
          <w:tcPr>
            <w:tcW w:w="2213" w:type="dxa"/>
            <w:vAlign w:val="center"/>
          </w:tcPr>
          <w:p w14:paraId="1260B7A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机械冲洗废水</w:t>
            </w:r>
          </w:p>
        </w:tc>
        <w:tc>
          <w:tcPr>
            <w:tcW w:w="2212" w:type="dxa"/>
            <w:vAlign w:val="center"/>
          </w:tcPr>
          <w:p w14:paraId="237370B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7.36m</w:t>
            </w:r>
            <w:r>
              <w:rPr>
                <w:rFonts w:ascii="宋体" w:eastAsia="宋体" w:hAnsi="宋体" w:cs="宋体" w:hint="eastAsia"/>
                <w:sz w:val="21"/>
                <w:szCs w:val="21"/>
                <w:vertAlign w:val="superscript"/>
              </w:rPr>
              <w:t>3</w:t>
            </w:r>
            <w:r>
              <w:rPr>
                <w:rFonts w:ascii="宋体" w:eastAsia="宋体" w:hAnsi="宋体" w:cs="宋体" w:hint="eastAsia"/>
                <w:sz w:val="21"/>
                <w:szCs w:val="21"/>
              </w:rPr>
              <w:t>/d</w:t>
            </w:r>
          </w:p>
        </w:tc>
        <w:tc>
          <w:tcPr>
            <w:tcW w:w="2213" w:type="dxa"/>
            <w:vAlign w:val="center"/>
          </w:tcPr>
          <w:p w14:paraId="1EB8FD6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SS：500</w:t>
            </w:r>
            <w:r>
              <w:rPr>
                <w:rFonts w:asciiTheme="majorHAnsi" w:eastAsia="宋体" w:hAnsi="宋体" w:cs="宋体" w:hint="eastAsia"/>
                <w:sz w:val="21"/>
                <w:szCs w:val="21"/>
              </w:rPr>
              <w:t>~</w:t>
            </w:r>
            <w:r>
              <w:rPr>
                <w:rFonts w:ascii="宋体" w:eastAsia="宋体" w:hAnsi="宋体" w:cs="宋体" w:hint="eastAsia"/>
                <w:sz w:val="21"/>
                <w:szCs w:val="21"/>
              </w:rPr>
              <w:t>4000mg/L</w:t>
            </w:r>
          </w:p>
          <w:p w14:paraId="39DDD36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石油类：10</w:t>
            </w:r>
            <w:r>
              <w:rPr>
                <w:rFonts w:asciiTheme="majorHAnsi" w:eastAsia="宋体" w:hAnsi="宋体" w:cs="宋体" w:hint="eastAsia"/>
                <w:sz w:val="21"/>
                <w:szCs w:val="21"/>
              </w:rPr>
              <w:t>~</w:t>
            </w:r>
            <w:r>
              <w:rPr>
                <w:rFonts w:ascii="宋体" w:eastAsia="宋体" w:hAnsi="宋体" w:cs="宋体" w:hint="eastAsia"/>
                <w:sz w:val="21"/>
                <w:szCs w:val="21"/>
              </w:rPr>
              <w:t>30mg/L</w:t>
            </w:r>
          </w:p>
        </w:tc>
        <w:tc>
          <w:tcPr>
            <w:tcW w:w="2212" w:type="dxa"/>
            <w:vAlign w:val="center"/>
          </w:tcPr>
          <w:p w14:paraId="0E03C361"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48BC83C0" w14:textId="77777777">
        <w:trPr>
          <w:trHeight w:val="560"/>
        </w:trPr>
        <w:tc>
          <w:tcPr>
            <w:tcW w:w="2213" w:type="dxa"/>
            <w:vAlign w:val="center"/>
          </w:tcPr>
          <w:p w14:paraId="43C9263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混凝土拌合废水</w:t>
            </w:r>
          </w:p>
        </w:tc>
        <w:tc>
          <w:tcPr>
            <w:tcW w:w="2212" w:type="dxa"/>
            <w:vAlign w:val="center"/>
          </w:tcPr>
          <w:p w14:paraId="16CAD36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21.92m</w:t>
            </w:r>
            <w:r>
              <w:rPr>
                <w:rFonts w:ascii="宋体" w:eastAsia="宋体" w:hAnsi="宋体" w:cs="宋体" w:hint="eastAsia"/>
                <w:sz w:val="21"/>
                <w:szCs w:val="21"/>
                <w:vertAlign w:val="superscript"/>
              </w:rPr>
              <w:t>3</w:t>
            </w:r>
            <w:r>
              <w:rPr>
                <w:rFonts w:ascii="宋体" w:eastAsia="宋体" w:hAnsi="宋体" w:cs="宋体" w:hint="eastAsia"/>
                <w:sz w:val="21"/>
                <w:szCs w:val="21"/>
              </w:rPr>
              <w:t>/d</w:t>
            </w:r>
          </w:p>
        </w:tc>
        <w:tc>
          <w:tcPr>
            <w:tcW w:w="2213" w:type="dxa"/>
            <w:vAlign w:val="center"/>
          </w:tcPr>
          <w:p w14:paraId="7E1E148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pH：9</w:t>
            </w:r>
            <w:r>
              <w:rPr>
                <w:rFonts w:asciiTheme="majorHAnsi" w:eastAsia="宋体" w:hAnsi="宋体" w:cs="宋体" w:hint="eastAsia"/>
                <w:sz w:val="21"/>
                <w:szCs w:val="21"/>
              </w:rPr>
              <w:t>~</w:t>
            </w:r>
            <w:r>
              <w:rPr>
                <w:rFonts w:ascii="宋体" w:eastAsia="宋体" w:hAnsi="宋体" w:cs="宋体" w:hint="eastAsia"/>
                <w:sz w:val="21"/>
                <w:szCs w:val="21"/>
              </w:rPr>
              <w:t>12</w:t>
            </w:r>
          </w:p>
          <w:p w14:paraId="63074D2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SS：2000</w:t>
            </w:r>
            <w:r>
              <w:rPr>
                <w:rFonts w:asciiTheme="majorHAnsi" w:eastAsia="宋体" w:hAnsi="宋体" w:cs="宋体" w:hint="eastAsia"/>
                <w:sz w:val="21"/>
                <w:szCs w:val="21"/>
              </w:rPr>
              <w:t>~</w:t>
            </w:r>
            <w:r>
              <w:rPr>
                <w:rFonts w:ascii="宋体" w:eastAsia="宋体" w:hAnsi="宋体" w:cs="宋体" w:hint="eastAsia"/>
                <w:sz w:val="21"/>
                <w:szCs w:val="21"/>
              </w:rPr>
              <w:t>5000mg/L</w:t>
            </w:r>
          </w:p>
        </w:tc>
        <w:tc>
          <w:tcPr>
            <w:tcW w:w="2212" w:type="dxa"/>
            <w:vAlign w:val="center"/>
          </w:tcPr>
          <w:p w14:paraId="2A27823F" w14:textId="77777777" w:rsidR="005A1A44" w:rsidRDefault="005A1A44">
            <w:pPr>
              <w:spacing w:line="240" w:lineRule="auto"/>
              <w:ind w:firstLineChars="0" w:firstLine="0"/>
              <w:jc w:val="center"/>
              <w:rPr>
                <w:rFonts w:ascii="宋体" w:eastAsia="宋体" w:hAnsi="宋体" w:cs="宋体" w:hint="eastAsia"/>
                <w:sz w:val="21"/>
                <w:szCs w:val="21"/>
              </w:rPr>
            </w:pPr>
          </w:p>
        </w:tc>
      </w:tr>
      <w:tr w:rsidR="005A1A44" w14:paraId="6C087FC9" w14:textId="77777777">
        <w:trPr>
          <w:trHeight w:val="560"/>
        </w:trPr>
        <w:tc>
          <w:tcPr>
            <w:tcW w:w="2213" w:type="dxa"/>
            <w:vAlign w:val="center"/>
          </w:tcPr>
          <w:p w14:paraId="031746E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混凝土养护废水</w:t>
            </w:r>
          </w:p>
        </w:tc>
        <w:tc>
          <w:tcPr>
            <w:tcW w:w="2212" w:type="dxa"/>
            <w:vAlign w:val="center"/>
          </w:tcPr>
          <w:p w14:paraId="2F08B45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w:t>
            </w:r>
          </w:p>
        </w:tc>
        <w:tc>
          <w:tcPr>
            <w:tcW w:w="2213" w:type="dxa"/>
            <w:vAlign w:val="center"/>
          </w:tcPr>
          <w:p w14:paraId="7BFB109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pH：9</w:t>
            </w:r>
            <w:r>
              <w:rPr>
                <w:rFonts w:asciiTheme="majorHAnsi" w:eastAsia="宋体" w:hAnsi="宋体" w:cs="宋体" w:hint="eastAsia"/>
                <w:sz w:val="21"/>
                <w:szCs w:val="21"/>
              </w:rPr>
              <w:t>~</w:t>
            </w:r>
            <w:r>
              <w:rPr>
                <w:rFonts w:ascii="宋体" w:eastAsia="宋体" w:hAnsi="宋体" w:cs="宋体" w:hint="eastAsia"/>
                <w:sz w:val="21"/>
                <w:szCs w:val="21"/>
              </w:rPr>
              <w:t>12</w:t>
            </w:r>
          </w:p>
        </w:tc>
        <w:tc>
          <w:tcPr>
            <w:tcW w:w="2212" w:type="dxa"/>
            <w:vAlign w:val="center"/>
          </w:tcPr>
          <w:p w14:paraId="69B8A7C1"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全部蒸发</w:t>
            </w:r>
          </w:p>
        </w:tc>
      </w:tr>
    </w:tbl>
    <w:p w14:paraId="1D1B38B5" w14:textId="77777777" w:rsidR="005A1A44" w:rsidRDefault="005A1A44">
      <w:pPr>
        <w:ind w:firstLine="480"/>
      </w:pPr>
    </w:p>
    <w:p w14:paraId="385B46CE" w14:textId="77777777" w:rsidR="005A1A44" w:rsidRDefault="0008059E">
      <w:pPr>
        <w:ind w:firstLine="480"/>
      </w:pPr>
      <w:r>
        <w:rPr>
          <w:rFonts w:hint="eastAsia"/>
        </w:rPr>
        <w:t>（</w:t>
      </w:r>
      <w:r>
        <w:rPr>
          <w:rFonts w:hint="eastAsia"/>
        </w:rPr>
        <w:t>2</w:t>
      </w:r>
      <w:r>
        <w:rPr>
          <w:rFonts w:hint="eastAsia"/>
        </w:rPr>
        <w:t>）施工期废气</w:t>
      </w:r>
    </w:p>
    <w:p w14:paraId="20B81884" w14:textId="77777777" w:rsidR="005A1A44" w:rsidRDefault="0008059E">
      <w:pPr>
        <w:ind w:firstLineChars="224" w:firstLine="538"/>
      </w:pPr>
      <w:r>
        <w:t>工程施工期对环境空气的影响主要来自施工场地及运输车辆产生的扬尘，其次是燃油设备排放的废气，具体产生工序如下：</w:t>
      </w:r>
    </w:p>
    <w:p w14:paraId="519144F6" w14:textId="77777777" w:rsidR="005A1A44" w:rsidRDefault="00BE76A0">
      <w:pPr>
        <w:ind w:firstLineChars="224" w:firstLine="538"/>
      </w:pPr>
      <w:r>
        <w:fldChar w:fldCharType="begin"/>
      </w:r>
      <w:r w:rsidR="0008059E">
        <w:instrText xml:space="preserve"> </w:instrText>
      </w:r>
      <w:r w:rsidR="0008059E">
        <w:rPr>
          <w:rFonts w:hint="eastAsia"/>
        </w:rPr>
        <w:instrText>= 1 \* GB3</w:instrText>
      </w:r>
      <w:r w:rsidR="0008059E">
        <w:instrText xml:space="preserve"> </w:instrText>
      </w:r>
      <w:r>
        <w:fldChar w:fldCharType="separate"/>
      </w:r>
      <w:r w:rsidR="0008059E">
        <w:rPr>
          <w:rFonts w:hint="eastAsia"/>
        </w:rPr>
        <w:t>①</w:t>
      </w:r>
      <w:r>
        <w:fldChar w:fldCharType="end"/>
      </w:r>
      <w:r w:rsidR="0008059E">
        <w:t>工程建设中所需的砂、石、土等材料采集、筛选、装卸、运输等工序；</w:t>
      </w:r>
    </w:p>
    <w:p w14:paraId="4D0F765F" w14:textId="77777777" w:rsidR="005A1A44" w:rsidRDefault="00BE76A0">
      <w:pPr>
        <w:ind w:firstLineChars="224" w:firstLine="538"/>
      </w:pPr>
      <w:r>
        <w:fldChar w:fldCharType="begin"/>
      </w:r>
      <w:r w:rsidR="0008059E">
        <w:instrText xml:space="preserve"> </w:instrText>
      </w:r>
      <w:r w:rsidR="0008059E">
        <w:rPr>
          <w:rFonts w:hint="eastAsia"/>
        </w:rPr>
        <w:instrText>= 2 \* GB3</w:instrText>
      </w:r>
      <w:r w:rsidR="0008059E">
        <w:instrText xml:space="preserve"> </w:instrText>
      </w:r>
      <w:r>
        <w:fldChar w:fldCharType="separate"/>
      </w:r>
      <w:r w:rsidR="0008059E">
        <w:rPr>
          <w:rFonts w:hint="eastAsia"/>
        </w:rPr>
        <w:t>②</w:t>
      </w:r>
      <w:r>
        <w:fldChar w:fldCharType="end"/>
      </w:r>
      <w:r w:rsidR="0008059E">
        <w:t>钢筋、水泥等外购材料的装卸、运输产生等工序；</w:t>
      </w:r>
    </w:p>
    <w:p w14:paraId="653CEEA7" w14:textId="77777777" w:rsidR="005A1A44" w:rsidRDefault="00BE76A0">
      <w:pPr>
        <w:ind w:firstLineChars="224" w:firstLine="538"/>
      </w:pPr>
      <w:r>
        <w:fldChar w:fldCharType="begin"/>
      </w:r>
      <w:r w:rsidR="0008059E">
        <w:instrText xml:space="preserve"> </w:instrText>
      </w:r>
      <w:r w:rsidR="0008059E">
        <w:rPr>
          <w:rFonts w:hint="eastAsia"/>
        </w:rPr>
        <w:instrText>= 3 \* GB3</w:instrText>
      </w:r>
      <w:r w:rsidR="0008059E">
        <w:instrText xml:space="preserve"> </w:instrText>
      </w:r>
      <w:r>
        <w:fldChar w:fldCharType="separate"/>
      </w:r>
      <w:r w:rsidR="0008059E">
        <w:rPr>
          <w:rFonts w:hint="eastAsia"/>
        </w:rPr>
        <w:t>③</w:t>
      </w:r>
      <w:r>
        <w:fldChar w:fldCharType="end"/>
      </w:r>
      <w:r w:rsidR="0008059E">
        <w:t>工程建设的挖掘、混凝土施工、回填、平整及压实等工序；</w:t>
      </w:r>
    </w:p>
    <w:p w14:paraId="6D9C7C32" w14:textId="77777777" w:rsidR="005A1A44" w:rsidRDefault="00BE76A0">
      <w:pPr>
        <w:ind w:firstLineChars="224" w:firstLine="538"/>
      </w:pPr>
      <w:r>
        <w:fldChar w:fldCharType="begin"/>
      </w:r>
      <w:r w:rsidR="0008059E">
        <w:instrText xml:space="preserve"> </w:instrText>
      </w:r>
      <w:r w:rsidR="0008059E">
        <w:rPr>
          <w:rFonts w:hint="eastAsia"/>
        </w:rPr>
        <w:instrText>= 4 \* GB3</w:instrText>
      </w:r>
      <w:r w:rsidR="0008059E">
        <w:instrText xml:space="preserve"> </w:instrText>
      </w:r>
      <w:r>
        <w:fldChar w:fldCharType="separate"/>
      </w:r>
      <w:r w:rsidR="0008059E">
        <w:rPr>
          <w:rFonts w:hint="eastAsia"/>
        </w:rPr>
        <w:t>④</w:t>
      </w:r>
      <w:r>
        <w:fldChar w:fldCharType="end"/>
      </w:r>
      <w:r w:rsidR="0008059E">
        <w:t>施工建设过程中的土石方作业等工序；</w:t>
      </w:r>
    </w:p>
    <w:p w14:paraId="275569D9" w14:textId="77777777" w:rsidR="005A1A44" w:rsidRDefault="00BE76A0">
      <w:pPr>
        <w:ind w:firstLineChars="224" w:firstLine="538"/>
      </w:pPr>
      <w:r>
        <w:fldChar w:fldCharType="begin"/>
      </w:r>
      <w:r w:rsidR="0008059E">
        <w:instrText xml:space="preserve"> </w:instrText>
      </w:r>
      <w:r w:rsidR="0008059E">
        <w:rPr>
          <w:rFonts w:hint="eastAsia"/>
        </w:rPr>
        <w:instrText>= 5 \* GB3</w:instrText>
      </w:r>
      <w:r w:rsidR="0008059E">
        <w:instrText xml:space="preserve"> </w:instrText>
      </w:r>
      <w:r>
        <w:fldChar w:fldCharType="separate"/>
      </w:r>
      <w:r w:rsidR="0008059E">
        <w:rPr>
          <w:rFonts w:hint="eastAsia"/>
        </w:rPr>
        <w:t>⑤</w:t>
      </w:r>
      <w:r>
        <w:fldChar w:fldCharType="end"/>
      </w:r>
      <w:r w:rsidR="0008059E">
        <w:t>建筑垃圾及废弃土石方的清运、运输及处置等工序。</w:t>
      </w:r>
    </w:p>
    <w:p w14:paraId="12CA8207" w14:textId="77777777" w:rsidR="005A1A44" w:rsidRDefault="00BE76A0">
      <w:pPr>
        <w:ind w:firstLineChars="224" w:firstLine="538"/>
      </w:pPr>
      <w:r>
        <w:fldChar w:fldCharType="begin"/>
      </w:r>
      <w:r w:rsidR="0008059E">
        <w:instrText xml:space="preserve"> </w:instrText>
      </w:r>
      <w:r w:rsidR="0008059E">
        <w:rPr>
          <w:rFonts w:hint="eastAsia"/>
        </w:rPr>
        <w:instrText>= 6 \* GB3</w:instrText>
      </w:r>
      <w:r w:rsidR="0008059E">
        <w:instrText xml:space="preserve"> </w:instrText>
      </w:r>
      <w:r>
        <w:fldChar w:fldCharType="separate"/>
      </w:r>
      <w:r w:rsidR="0008059E">
        <w:rPr>
          <w:rFonts w:hint="eastAsia"/>
        </w:rPr>
        <w:t>⑥</w:t>
      </w:r>
      <w:r>
        <w:fldChar w:fldCharType="end"/>
      </w:r>
      <w:r w:rsidR="0008059E">
        <w:t>施工场地、堆场产生的风力扬尘；</w:t>
      </w:r>
    </w:p>
    <w:p w14:paraId="7DEAF1FF" w14:textId="77777777" w:rsidR="005A1A44" w:rsidRDefault="00BE76A0">
      <w:pPr>
        <w:pStyle w:val="51"/>
        <w:shd w:val="clear" w:color="auto" w:fill="auto"/>
        <w:spacing w:before="0" w:line="360" w:lineRule="auto"/>
        <w:ind w:left="20" w:right="20" w:firstLine="480"/>
        <w:rPr>
          <w:rFonts w:ascii="Times New Roman" w:eastAsia="宋体" w:hAnsi="Times New Roman"/>
          <w:spacing w:val="0"/>
          <w:kern w:val="2"/>
          <w:sz w:val="24"/>
          <w:szCs w:val="24"/>
        </w:rPr>
      </w:pPr>
      <w:r>
        <w:rPr>
          <w:rFonts w:ascii="Times New Roman" w:eastAsia="宋体" w:hAnsi="Times New Roman"/>
          <w:spacing w:val="0"/>
          <w:kern w:val="2"/>
          <w:sz w:val="24"/>
          <w:szCs w:val="24"/>
        </w:rPr>
        <w:fldChar w:fldCharType="begin"/>
      </w:r>
      <w:r w:rsidR="0008059E">
        <w:rPr>
          <w:rFonts w:ascii="Times New Roman" w:eastAsia="宋体" w:hAnsi="Times New Roman"/>
          <w:spacing w:val="0"/>
          <w:kern w:val="2"/>
          <w:sz w:val="24"/>
          <w:szCs w:val="24"/>
        </w:rPr>
        <w:instrText xml:space="preserve"> </w:instrText>
      </w:r>
      <w:r w:rsidR="0008059E">
        <w:rPr>
          <w:rFonts w:ascii="Times New Roman" w:eastAsia="宋体" w:hAnsi="Times New Roman" w:hint="eastAsia"/>
          <w:spacing w:val="0"/>
          <w:kern w:val="2"/>
          <w:sz w:val="24"/>
          <w:szCs w:val="24"/>
        </w:rPr>
        <w:instrText>= 7 \* GB3</w:instrText>
      </w:r>
      <w:r w:rsidR="0008059E">
        <w:rPr>
          <w:rFonts w:ascii="Times New Roman" w:eastAsia="宋体" w:hAnsi="Times New Roman"/>
          <w:spacing w:val="0"/>
          <w:kern w:val="2"/>
          <w:sz w:val="24"/>
          <w:szCs w:val="24"/>
        </w:rPr>
        <w:instrText xml:space="preserve"> </w:instrText>
      </w:r>
      <w:r>
        <w:rPr>
          <w:rFonts w:ascii="Times New Roman" w:eastAsia="宋体" w:hAnsi="Times New Roman"/>
          <w:spacing w:val="0"/>
          <w:kern w:val="2"/>
          <w:sz w:val="24"/>
          <w:szCs w:val="24"/>
        </w:rPr>
        <w:fldChar w:fldCharType="separate"/>
      </w:r>
      <w:r w:rsidR="0008059E">
        <w:rPr>
          <w:rFonts w:ascii="Times New Roman" w:eastAsia="宋体" w:hAnsi="Times New Roman" w:hint="eastAsia"/>
          <w:spacing w:val="0"/>
          <w:kern w:val="2"/>
          <w:sz w:val="24"/>
          <w:szCs w:val="24"/>
        </w:rPr>
        <w:t>⑦</w:t>
      </w:r>
      <w:r>
        <w:rPr>
          <w:rFonts w:ascii="Times New Roman" w:eastAsia="宋体" w:hAnsi="Times New Roman"/>
          <w:spacing w:val="0"/>
          <w:kern w:val="2"/>
          <w:sz w:val="24"/>
          <w:szCs w:val="24"/>
        </w:rPr>
        <w:fldChar w:fldCharType="end"/>
      </w:r>
      <w:r w:rsidR="0008059E">
        <w:rPr>
          <w:rFonts w:ascii="Times New Roman" w:eastAsia="宋体" w:hAnsi="Times New Roman"/>
          <w:spacing w:val="0"/>
          <w:kern w:val="2"/>
          <w:sz w:val="24"/>
          <w:szCs w:val="24"/>
        </w:rPr>
        <w:t>施工区的燃油设备主要是施工机械（如柴油发电机、载重汽车、挖掘机等）和运输车辆，其排放的尾气中主要污染物有</w:t>
      </w:r>
      <w:r w:rsidR="0008059E">
        <w:rPr>
          <w:rFonts w:ascii="Times New Roman" w:eastAsia="宋体" w:hAnsi="Times New Roman"/>
          <w:spacing w:val="0"/>
          <w:kern w:val="2"/>
          <w:sz w:val="24"/>
          <w:szCs w:val="24"/>
        </w:rPr>
        <w:t>CO</w:t>
      </w:r>
      <w:r w:rsidR="0008059E">
        <w:rPr>
          <w:rFonts w:ascii="Times New Roman" w:eastAsia="宋体" w:hAnsi="Times New Roman"/>
          <w:spacing w:val="0"/>
          <w:kern w:val="2"/>
          <w:sz w:val="24"/>
          <w:szCs w:val="24"/>
        </w:rPr>
        <w:t>、</w:t>
      </w:r>
      <w:r w:rsidR="0008059E">
        <w:rPr>
          <w:rFonts w:ascii="Times New Roman" w:eastAsia="宋体" w:hAnsi="Times New Roman"/>
          <w:spacing w:val="0"/>
          <w:kern w:val="2"/>
          <w:sz w:val="24"/>
          <w:szCs w:val="24"/>
        </w:rPr>
        <w:t>HC</w:t>
      </w:r>
      <w:r w:rsidR="0008059E">
        <w:rPr>
          <w:rFonts w:ascii="Times New Roman" w:eastAsia="宋体" w:hAnsi="Times New Roman"/>
          <w:spacing w:val="0"/>
          <w:kern w:val="2"/>
          <w:sz w:val="24"/>
          <w:szCs w:val="24"/>
        </w:rPr>
        <w:t>、</w:t>
      </w:r>
      <w:r w:rsidR="0008059E">
        <w:rPr>
          <w:rFonts w:ascii="Times New Roman" w:eastAsia="宋体" w:hAnsi="Times New Roman"/>
          <w:spacing w:val="0"/>
          <w:kern w:val="2"/>
          <w:sz w:val="24"/>
          <w:szCs w:val="24"/>
        </w:rPr>
        <w:t>NO</w:t>
      </w:r>
      <w:r w:rsidR="0008059E">
        <w:rPr>
          <w:rFonts w:ascii="Times New Roman" w:eastAsia="宋体" w:hAnsi="Times New Roman"/>
          <w:spacing w:val="0"/>
          <w:kern w:val="2"/>
          <w:sz w:val="24"/>
          <w:szCs w:val="24"/>
          <w:vertAlign w:val="subscript"/>
        </w:rPr>
        <w:t>X</w:t>
      </w:r>
      <w:r w:rsidR="0008059E">
        <w:rPr>
          <w:rFonts w:ascii="Times New Roman" w:eastAsia="宋体" w:hAnsi="Times New Roman"/>
          <w:spacing w:val="0"/>
          <w:kern w:val="2"/>
          <w:sz w:val="24"/>
          <w:szCs w:val="24"/>
        </w:rPr>
        <w:t>、</w:t>
      </w:r>
      <w:r w:rsidR="0008059E">
        <w:rPr>
          <w:rFonts w:ascii="Times New Roman" w:eastAsia="宋体" w:hAnsi="Times New Roman"/>
          <w:spacing w:val="0"/>
          <w:kern w:val="2"/>
          <w:sz w:val="24"/>
          <w:szCs w:val="24"/>
        </w:rPr>
        <w:t>SO</w:t>
      </w:r>
      <w:r w:rsidR="0008059E">
        <w:rPr>
          <w:rFonts w:ascii="Times New Roman" w:eastAsia="宋体" w:hAnsi="Times New Roman"/>
          <w:spacing w:val="0"/>
          <w:kern w:val="2"/>
          <w:sz w:val="24"/>
          <w:szCs w:val="24"/>
          <w:vertAlign w:val="subscript"/>
        </w:rPr>
        <w:t>2</w:t>
      </w:r>
      <w:r w:rsidR="0008059E">
        <w:rPr>
          <w:rFonts w:ascii="Times New Roman" w:eastAsia="宋体" w:hAnsi="Times New Roman"/>
          <w:spacing w:val="0"/>
          <w:kern w:val="2"/>
          <w:sz w:val="24"/>
          <w:szCs w:val="24"/>
        </w:rPr>
        <w:t>等。运输车辆的废气是沿交通路线沿程排放，施工机械的废气基本是以点源形式排放。</w:t>
      </w:r>
    </w:p>
    <w:p w14:paraId="3952D154" w14:textId="77777777" w:rsidR="005A1A44" w:rsidRDefault="0008059E">
      <w:pPr>
        <w:ind w:firstLine="482"/>
        <w:rPr>
          <w:b/>
          <w:bCs/>
        </w:rPr>
      </w:pPr>
      <w:r>
        <w:rPr>
          <w:rFonts w:hint="eastAsia"/>
          <w:b/>
          <w:bCs/>
        </w:rPr>
        <w:t>a</w:t>
      </w:r>
      <w:r>
        <w:rPr>
          <w:rFonts w:hint="eastAsia"/>
          <w:b/>
          <w:bCs/>
        </w:rPr>
        <w:t>、土石方开挖</w:t>
      </w:r>
    </w:p>
    <w:p w14:paraId="39354993" w14:textId="77777777" w:rsidR="005A1A44" w:rsidRDefault="0008059E">
      <w:pPr>
        <w:ind w:firstLine="480"/>
      </w:pPr>
      <w:r>
        <w:rPr>
          <w:rFonts w:hint="eastAsia"/>
        </w:rPr>
        <w:t>工程施工过程中土石方开挖会产生较大的扬尘，在采取一定防护措施和土壤较湿时，开挖产生的扬尘量约为</w:t>
      </w:r>
      <w:r>
        <w:rPr>
          <w:rFonts w:hint="eastAsia"/>
        </w:rPr>
        <w:t>0.1%</w:t>
      </w:r>
      <w:r>
        <w:rPr>
          <w:rFonts w:hint="eastAsia"/>
        </w:rPr>
        <w:t>（回填扬尘产生量亦为</w:t>
      </w:r>
      <w:r>
        <w:rPr>
          <w:rFonts w:hint="eastAsia"/>
        </w:rPr>
        <w:t>0.1%</w:t>
      </w:r>
      <w:r>
        <w:rPr>
          <w:rFonts w:hint="eastAsia"/>
        </w:rPr>
        <w:t>）。由于本工程所在区域降雨量较少，蒸发量较大，空气干燥，且风沙很大，本工程开挖及回填过程中估算扬尘量取</w:t>
      </w:r>
      <w:r>
        <w:rPr>
          <w:rFonts w:hint="eastAsia"/>
        </w:rPr>
        <w:t>0.1%</w:t>
      </w:r>
      <w:r>
        <w:rPr>
          <w:rFonts w:hint="eastAsia"/>
        </w:rPr>
        <w:t>，施工期扬尘量约为</w:t>
      </w:r>
      <w:r>
        <w:rPr>
          <w:rFonts w:hint="eastAsia"/>
        </w:rPr>
        <w:t>1.76</w:t>
      </w:r>
      <w:r>
        <w:rPr>
          <w:rFonts w:hint="eastAsia"/>
        </w:rPr>
        <w:t>万</w:t>
      </w:r>
      <w:r>
        <w:rPr>
          <w:rFonts w:hint="eastAsia"/>
        </w:rPr>
        <w:t>t</w:t>
      </w:r>
      <w:r>
        <w:rPr>
          <w:rFonts w:hint="eastAsia"/>
        </w:rPr>
        <w:t>。</w:t>
      </w:r>
    </w:p>
    <w:p w14:paraId="4C545FDF" w14:textId="77777777" w:rsidR="005A1A44" w:rsidRDefault="0008059E">
      <w:pPr>
        <w:ind w:firstLine="482"/>
        <w:rPr>
          <w:b/>
          <w:bCs/>
        </w:rPr>
      </w:pPr>
      <w:r>
        <w:rPr>
          <w:rFonts w:hint="eastAsia"/>
          <w:b/>
          <w:bCs/>
        </w:rPr>
        <w:t>b</w:t>
      </w:r>
      <w:r>
        <w:rPr>
          <w:rFonts w:hint="eastAsia"/>
          <w:b/>
          <w:bCs/>
        </w:rPr>
        <w:t>、混凝土拌合系统</w:t>
      </w:r>
    </w:p>
    <w:p w14:paraId="5BEED530" w14:textId="77777777" w:rsidR="005A1A44" w:rsidRDefault="0008059E">
      <w:pPr>
        <w:ind w:firstLine="480"/>
      </w:pPr>
      <w:r>
        <w:rPr>
          <w:rFonts w:hint="eastAsia"/>
        </w:rPr>
        <w:t>混凝土拌合系统粉尘产生于水泥装卸和进料过程中，在无防治措施情况下，粉尘排放系数为</w:t>
      </w:r>
      <w:r>
        <w:rPr>
          <w:rFonts w:hint="eastAsia"/>
        </w:rPr>
        <w:t>0.91kg/t</w:t>
      </w:r>
      <w:r>
        <w:rPr>
          <w:rFonts w:hint="eastAsia"/>
        </w:rPr>
        <w:t>。砂石料加工系统在粗碎、中碎、细碎、筛分及运输过程中均会产生粉尘污染。一般在无控制排放情况下，粉尘排放系数为</w:t>
      </w:r>
      <w:r>
        <w:rPr>
          <w:rFonts w:hint="eastAsia"/>
        </w:rPr>
        <w:t>0.77kg/t</w:t>
      </w:r>
      <w:r>
        <w:rPr>
          <w:rFonts w:hint="eastAsia"/>
        </w:rPr>
        <w:t>产品。项目水泥用量</w:t>
      </w:r>
      <w:r>
        <w:rPr>
          <w:rFonts w:hint="eastAsia"/>
        </w:rPr>
        <w:t>7850t</w:t>
      </w:r>
      <w:r>
        <w:rPr>
          <w:rFonts w:hint="eastAsia"/>
        </w:rPr>
        <w:t>，估算混凝土拌合系统的粉尘量为</w:t>
      </w:r>
      <w:r>
        <w:rPr>
          <w:rFonts w:hint="eastAsia"/>
        </w:rPr>
        <w:t>13.19t</w:t>
      </w:r>
      <w:r>
        <w:rPr>
          <w:rFonts w:hint="eastAsia"/>
        </w:rPr>
        <w:t>。</w:t>
      </w:r>
    </w:p>
    <w:p w14:paraId="747570D8" w14:textId="77777777" w:rsidR="005A1A44" w:rsidRDefault="0008059E">
      <w:pPr>
        <w:pStyle w:val="51"/>
        <w:shd w:val="clear" w:color="auto" w:fill="auto"/>
        <w:spacing w:before="0" w:line="360" w:lineRule="auto"/>
        <w:ind w:left="20" w:right="20" w:firstLine="522"/>
        <w:rPr>
          <w:rFonts w:ascii="宋体" w:eastAsia="宋体" w:hAnsi="宋体" w:hint="eastAsia"/>
          <w:b/>
          <w:sz w:val="24"/>
          <w:szCs w:val="24"/>
        </w:rPr>
      </w:pPr>
      <w:r>
        <w:rPr>
          <w:rFonts w:ascii="宋体" w:eastAsia="宋体" w:hAnsi="宋体" w:hint="eastAsia"/>
          <w:b/>
          <w:sz w:val="24"/>
          <w:szCs w:val="24"/>
        </w:rPr>
        <w:t>C、</w:t>
      </w:r>
      <w:r>
        <w:rPr>
          <w:rFonts w:ascii="宋体" w:eastAsia="宋体" w:hAnsi="宋体"/>
          <w:b/>
          <w:sz w:val="24"/>
          <w:szCs w:val="24"/>
        </w:rPr>
        <w:t>施工</w:t>
      </w:r>
      <w:r>
        <w:rPr>
          <w:rFonts w:ascii="宋体" w:eastAsia="宋体" w:hAnsi="宋体" w:hint="eastAsia"/>
          <w:b/>
          <w:sz w:val="24"/>
          <w:szCs w:val="24"/>
        </w:rPr>
        <w:t>场地</w:t>
      </w:r>
      <w:r>
        <w:rPr>
          <w:rFonts w:ascii="宋体" w:eastAsia="宋体" w:hAnsi="宋体"/>
          <w:b/>
          <w:sz w:val="24"/>
          <w:szCs w:val="24"/>
        </w:rPr>
        <w:t>扬尘</w:t>
      </w:r>
    </w:p>
    <w:p w14:paraId="58770993" w14:textId="77777777" w:rsidR="005A1A44" w:rsidRDefault="0008059E">
      <w:pPr>
        <w:ind w:firstLine="480"/>
        <w:rPr>
          <w:rFonts w:ascii="宋体" w:hAnsi="宋体" w:hint="eastAsia"/>
        </w:rPr>
      </w:pPr>
      <w:r>
        <w:rPr>
          <w:rFonts w:ascii="宋体" w:hAnsi="宋体"/>
        </w:rPr>
        <w:t>施工期扬尘主要原因是露天堆场和裸露场地的风力扬尘。由于施工的需要，一些建材需露天堆放；一些施工点表层土壤需人工开挖、堆放，在气候干燥又有风的情况下，会产生扬尘，其扬尘可按堆放尘的经验公式计算：</w:t>
      </w:r>
    </w:p>
    <w:p w14:paraId="69B73706" w14:textId="77777777" w:rsidR="005A1A44" w:rsidRDefault="0008059E">
      <w:pPr>
        <w:ind w:firstLine="480"/>
        <w:jc w:val="center"/>
      </w:pPr>
      <w:r>
        <w:rPr>
          <w:noProof/>
        </w:rPr>
        <w:lastRenderedPageBreak/>
        <w:drawing>
          <wp:inline distT="0" distB="0" distL="114300" distR="114300" wp14:anchorId="1CE25800" wp14:editId="3256AC60">
            <wp:extent cx="2719070" cy="282575"/>
            <wp:effectExtent l="0" t="0" r="0" b="2540"/>
            <wp:docPr id="1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7"/>
                    <pic:cNvPicPr>
                      <a:picLocks noChangeAspect="1"/>
                    </pic:cNvPicPr>
                  </pic:nvPicPr>
                  <pic:blipFill>
                    <a:blip r:embed="rId32" cstate="print"/>
                    <a:stretch>
                      <a:fillRect/>
                    </a:stretch>
                  </pic:blipFill>
                  <pic:spPr>
                    <a:xfrm>
                      <a:off x="0" y="0"/>
                      <a:ext cx="2719070" cy="282575"/>
                    </a:xfrm>
                    <a:prstGeom prst="rect">
                      <a:avLst/>
                    </a:prstGeom>
                    <a:noFill/>
                    <a:ln>
                      <a:noFill/>
                    </a:ln>
                  </pic:spPr>
                </pic:pic>
              </a:graphicData>
            </a:graphic>
          </wp:inline>
        </w:drawing>
      </w:r>
    </w:p>
    <w:p w14:paraId="34C6CD3A" w14:textId="77777777" w:rsidR="005A1A44" w:rsidRDefault="0008059E">
      <w:pPr>
        <w:ind w:firstLine="480"/>
      </w:pPr>
      <w:r>
        <w:t>其中：</w:t>
      </w:r>
      <w:r>
        <w:t xml:space="preserve">Q —— </w:t>
      </w:r>
      <w:r>
        <w:t>起尘量，</w:t>
      </w:r>
      <w:r>
        <w:t>kg/t·a</w:t>
      </w:r>
      <w:r>
        <w:t>；</w:t>
      </w:r>
    </w:p>
    <w:p w14:paraId="49BC0110" w14:textId="77777777" w:rsidR="005A1A44" w:rsidRDefault="0008059E">
      <w:pPr>
        <w:ind w:firstLine="480"/>
      </w:pPr>
      <w:r>
        <w:t>V</w:t>
      </w:r>
      <w:r>
        <w:rPr>
          <w:vertAlign w:val="subscript"/>
        </w:rPr>
        <w:t>50</w:t>
      </w:r>
      <w:r>
        <w:t xml:space="preserve"> —— </w:t>
      </w:r>
      <w:r>
        <w:t>距地面</w:t>
      </w:r>
      <w:r>
        <w:t>50m</w:t>
      </w:r>
      <w:r>
        <w:t>处风速，</w:t>
      </w:r>
      <w:r>
        <w:t>m/s</w:t>
      </w:r>
      <w:r>
        <w:t>；</w:t>
      </w:r>
    </w:p>
    <w:p w14:paraId="4C81983B" w14:textId="77777777" w:rsidR="005A1A44" w:rsidRDefault="0008059E">
      <w:pPr>
        <w:ind w:firstLine="480"/>
      </w:pPr>
      <w:r>
        <w:t>V</w:t>
      </w:r>
      <w:r>
        <w:rPr>
          <w:vertAlign w:val="subscript"/>
        </w:rPr>
        <w:t>0</w:t>
      </w:r>
      <w:r>
        <w:t xml:space="preserve"> —— </w:t>
      </w:r>
      <w:r>
        <w:t>起尘风速，</w:t>
      </w:r>
      <w:r>
        <w:t>m/s</w:t>
      </w:r>
      <w:r>
        <w:t>；</w:t>
      </w:r>
    </w:p>
    <w:p w14:paraId="22B9EBF9" w14:textId="77777777" w:rsidR="005A1A44" w:rsidRDefault="0008059E">
      <w:pPr>
        <w:ind w:firstLine="480"/>
      </w:pPr>
      <w:r>
        <w:t xml:space="preserve">W —— </w:t>
      </w:r>
      <w:r>
        <w:t>尘粒的含水率，</w:t>
      </w:r>
      <w:r>
        <w:t>%</w:t>
      </w:r>
      <w:r>
        <w:t>。</w:t>
      </w:r>
    </w:p>
    <w:p w14:paraId="519E6F72" w14:textId="77777777" w:rsidR="005A1A44" w:rsidRDefault="0008059E">
      <w:pPr>
        <w:ind w:firstLine="480"/>
      </w:pPr>
      <w:r>
        <w:t>V</w:t>
      </w:r>
      <w:r>
        <w:rPr>
          <w:vertAlign w:val="subscript"/>
        </w:rPr>
        <w:t>0</w:t>
      </w:r>
      <w:r>
        <w:t>与粒径和含水率有关，因此，减少露天堆放和保证一定的含水率及减少裸露地面是减少风力起尘的有效手段。</w:t>
      </w:r>
    </w:p>
    <w:p w14:paraId="462646E6" w14:textId="77777777" w:rsidR="005A1A44" w:rsidRDefault="0008059E">
      <w:pPr>
        <w:ind w:firstLine="480"/>
      </w:pPr>
      <w:r>
        <w:t>尘粒在空气中的传播扩散情况与风速等气象条件有关，也与尘粒本身的沉降速度有关。以煤尘为例，不同粒径的尘粒的沉降速率见下表。由表可知，尘粒的沉降速度随粒径的增大而迅速增大。当粒径为</w:t>
      </w:r>
      <w:r>
        <w:t>250μm</w:t>
      </w:r>
      <w:r>
        <w:t>时，沉降速度为</w:t>
      </w:r>
      <w:r>
        <w:t>1.005m/s</w:t>
      </w:r>
      <w:r>
        <w:t>，因此可以认为当尘粒大于</w:t>
      </w:r>
      <w:r>
        <w:t>250μm</w:t>
      </w:r>
      <w:r>
        <w:t>时，主要影响范围在扬尘点下风向近距离范围内，而真正对外环境产生影响的一些微小尘粒。根据现场的气候情况不同，其影响范围也有所不同。因此禁止在大风天气进行此类作业可以有效的抑制这类扬尘。</w:t>
      </w:r>
    </w:p>
    <w:p w14:paraId="457AC144" w14:textId="77777777" w:rsidR="005A1A44" w:rsidRDefault="0008059E">
      <w:pPr>
        <w:ind w:firstLineChars="50" w:firstLine="120"/>
        <w:jc w:val="center"/>
        <w:rPr>
          <w:b/>
        </w:rPr>
      </w:pPr>
      <w:r>
        <w:rPr>
          <w:rFonts w:ascii="黑体" w:eastAsia="黑体" w:hAnsi="黑体" w:cs="黑体" w:hint="eastAsia"/>
        </w:rPr>
        <w:t xml:space="preserve">表3.6-4 </w:t>
      </w:r>
      <w:r>
        <w:rPr>
          <w:b/>
        </w:rPr>
        <w:t xml:space="preserve"> </w:t>
      </w:r>
      <w:r>
        <w:rPr>
          <w:rFonts w:ascii="黑体" w:eastAsia="黑体" w:hAnsi="黑体" w:cs="黑体" w:hint="eastAsia"/>
        </w:rPr>
        <w:t xml:space="preserve"> 不同粒径尘粒的沉降速度</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954"/>
        <w:gridCol w:w="955"/>
        <w:gridCol w:w="954"/>
        <w:gridCol w:w="954"/>
        <w:gridCol w:w="954"/>
        <w:gridCol w:w="955"/>
        <w:gridCol w:w="952"/>
      </w:tblGrid>
      <w:tr w:rsidR="005A1A44" w14:paraId="428C0915" w14:textId="77777777">
        <w:trPr>
          <w:trHeight w:val="397"/>
          <w:jc w:val="center"/>
        </w:trPr>
        <w:tc>
          <w:tcPr>
            <w:tcW w:w="2172" w:type="dxa"/>
            <w:vAlign w:val="center"/>
          </w:tcPr>
          <w:p w14:paraId="11553422"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粒径，μm</w:t>
            </w:r>
          </w:p>
        </w:tc>
        <w:tc>
          <w:tcPr>
            <w:tcW w:w="954" w:type="dxa"/>
            <w:vAlign w:val="center"/>
          </w:tcPr>
          <w:p w14:paraId="0CBDBB72"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10</w:t>
            </w:r>
          </w:p>
        </w:tc>
        <w:tc>
          <w:tcPr>
            <w:tcW w:w="955" w:type="dxa"/>
            <w:vAlign w:val="center"/>
          </w:tcPr>
          <w:p w14:paraId="65CCB5A4"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20</w:t>
            </w:r>
          </w:p>
        </w:tc>
        <w:tc>
          <w:tcPr>
            <w:tcW w:w="954" w:type="dxa"/>
            <w:vAlign w:val="center"/>
          </w:tcPr>
          <w:p w14:paraId="79613B60"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30</w:t>
            </w:r>
          </w:p>
        </w:tc>
        <w:tc>
          <w:tcPr>
            <w:tcW w:w="954" w:type="dxa"/>
            <w:vAlign w:val="center"/>
          </w:tcPr>
          <w:p w14:paraId="222FDA2C"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40</w:t>
            </w:r>
          </w:p>
        </w:tc>
        <w:tc>
          <w:tcPr>
            <w:tcW w:w="954" w:type="dxa"/>
            <w:vAlign w:val="center"/>
          </w:tcPr>
          <w:p w14:paraId="20D18D0C"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50</w:t>
            </w:r>
          </w:p>
        </w:tc>
        <w:tc>
          <w:tcPr>
            <w:tcW w:w="955" w:type="dxa"/>
            <w:vAlign w:val="center"/>
          </w:tcPr>
          <w:p w14:paraId="221CCEA4"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60</w:t>
            </w:r>
          </w:p>
        </w:tc>
        <w:tc>
          <w:tcPr>
            <w:tcW w:w="952" w:type="dxa"/>
            <w:vAlign w:val="center"/>
          </w:tcPr>
          <w:p w14:paraId="463035C8"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70</w:t>
            </w:r>
          </w:p>
        </w:tc>
      </w:tr>
      <w:tr w:rsidR="005A1A44" w14:paraId="1C771B7B" w14:textId="77777777">
        <w:trPr>
          <w:trHeight w:val="397"/>
          <w:jc w:val="center"/>
        </w:trPr>
        <w:tc>
          <w:tcPr>
            <w:tcW w:w="2172" w:type="dxa"/>
            <w:vAlign w:val="center"/>
          </w:tcPr>
          <w:p w14:paraId="114532CA"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沉降速度，m/s</w:t>
            </w:r>
          </w:p>
        </w:tc>
        <w:tc>
          <w:tcPr>
            <w:tcW w:w="954" w:type="dxa"/>
            <w:vAlign w:val="center"/>
          </w:tcPr>
          <w:p w14:paraId="26BA1FCA"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0.03</w:t>
            </w:r>
          </w:p>
        </w:tc>
        <w:tc>
          <w:tcPr>
            <w:tcW w:w="955" w:type="dxa"/>
            <w:vAlign w:val="center"/>
          </w:tcPr>
          <w:p w14:paraId="4D6248E5"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0.012</w:t>
            </w:r>
          </w:p>
        </w:tc>
        <w:tc>
          <w:tcPr>
            <w:tcW w:w="954" w:type="dxa"/>
            <w:vAlign w:val="center"/>
          </w:tcPr>
          <w:p w14:paraId="4E936217"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0.027</w:t>
            </w:r>
          </w:p>
        </w:tc>
        <w:tc>
          <w:tcPr>
            <w:tcW w:w="954" w:type="dxa"/>
            <w:vAlign w:val="center"/>
          </w:tcPr>
          <w:p w14:paraId="0726F196"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w:t>
            </w:r>
            <w:r>
              <w:rPr>
                <w:rFonts w:ascii="宋体" w:eastAsia="宋体" w:hAnsi="宋体" w:cs="宋体" w:hint="eastAsia"/>
                <w:kern w:val="0"/>
                <w:sz w:val="21"/>
                <w:szCs w:val="21"/>
              </w:rPr>
              <w:cr/>
              <w:t>048</w:t>
            </w:r>
          </w:p>
        </w:tc>
        <w:tc>
          <w:tcPr>
            <w:tcW w:w="954" w:type="dxa"/>
            <w:vAlign w:val="center"/>
          </w:tcPr>
          <w:p w14:paraId="7C0ECA2D"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0.075</w:t>
            </w:r>
          </w:p>
        </w:tc>
        <w:tc>
          <w:tcPr>
            <w:tcW w:w="955" w:type="dxa"/>
            <w:vAlign w:val="center"/>
          </w:tcPr>
          <w:p w14:paraId="5E6F1383"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w:t>
            </w:r>
            <w:r>
              <w:rPr>
                <w:rFonts w:ascii="宋体" w:eastAsia="宋体" w:hAnsi="宋体" w:cs="宋体" w:hint="eastAsia"/>
                <w:kern w:val="0"/>
                <w:sz w:val="21"/>
                <w:szCs w:val="21"/>
              </w:rPr>
              <w:cr/>
              <w:t>108</w:t>
            </w:r>
          </w:p>
        </w:tc>
        <w:tc>
          <w:tcPr>
            <w:tcW w:w="952" w:type="dxa"/>
            <w:vAlign w:val="center"/>
          </w:tcPr>
          <w:p w14:paraId="664C6978"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0.147</w:t>
            </w:r>
          </w:p>
        </w:tc>
      </w:tr>
      <w:tr w:rsidR="005A1A44" w14:paraId="0DDEB0BB" w14:textId="77777777">
        <w:trPr>
          <w:trHeight w:val="397"/>
          <w:jc w:val="center"/>
        </w:trPr>
        <w:tc>
          <w:tcPr>
            <w:tcW w:w="2172" w:type="dxa"/>
            <w:vAlign w:val="center"/>
          </w:tcPr>
          <w:p w14:paraId="2065ECF7"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粒径，μm</w:t>
            </w:r>
          </w:p>
        </w:tc>
        <w:tc>
          <w:tcPr>
            <w:tcW w:w="954" w:type="dxa"/>
            <w:vAlign w:val="center"/>
          </w:tcPr>
          <w:p w14:paraId="01408AD0"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80</w:t>
            </w:r>
          </w:p>
        </w:tc>
        <w:tc>
          <w:tcPr>
            <w:tcW w:w="955" w:type="dxa"/>
            <w:vAlign w:val="center"/>
          </w:tcPr>
          <w:p w14:paraId="241A0131"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90</w:t>
            </w:r>
          </w:p>
        </w:tc>
        <w:tc>
          <w:tcPr>
            <w:tcW w:w="954" w:type="dxa"/>
            <w:vAlign w:val="center"/>
          </w:tcPr>
          <w:p w14:paraId="14AC6E0D"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100</w:t>
            </w:r>
          </w:p>
        </w:tc>
        <w:tc>
          <w:tcPr>
            <w:tcW w:w="954" w:type="dxa"/>
            <w:vAlign w:val="center"/>
          </w:tcPr>
          <w:p w14:paraId="36069F02"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150</w:t>
            </w:r>
          </w:p>
        </w:tc>
        <w:tc>
          <w:tcPr>
            <w:tcW w:w="954" w:type="dxa"/>
            <w:vAlign w:val="center"/>
          </w:tcPr>
          <w:p w14:paraId="370EED5A"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200</w:t>
            </w:r>
          </w:p>
        </w:tc>
        <w:tc>
          <w:tcPr>
            <w:tcW w:w="955" w:type="dxa"/>
            <w:vAlign w:val="center"/>
          </w:tcPr>
          <w:p w14:paraId="52B45AC7"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250</w:t>
            </w:r>
          </w:p>
        </w:tc>
        <w:tc>
          <w:tcPr>
            <w:tcW w:w="952" w:type="dxa"/>
            <w:vAlign w:val="center"/>
          </w:tcPr>
          <w:p w14:paraId="6C0B7043"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350</w:t>
            </w:r>
          </w:p>
        </w:tc>
      </w:tr>
      <w:tr w:rsidR="005A1A44" w14:paraId="38615045" w14:textId="77777777">
        <w:trPr>
          <w:trHeight w:val="397"/>
          <w:jc w:val="center"/>
        </w:trPr>
        <w:tc>
          <w:tcPr>
            <w:tcW w:w="2172" w:type="dxa"/>
            <w:vAlign w:val="center"/>
          </w:tcPr>
          <w:p w14:paraId="332EA91C"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沉降速度，m/s</w:t>
            </w:r>
          </w:p>
        </w:tc>
        <w:tc>
          <w:tcPr>
            <w:tcW w:w="954" w:type="dxa"/>
            <w:vAlign w:val="center"/>
          </w:tcPr>
          <w:p w14:paraId="201A7356"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0.158</w:t>
            </w:r>
          </w:p>
        </w:tc>
        <w:tc>
          <w:tcPr>
            <w:tcW w:w="955" w:type="dxa"/>
            <w:vAlign w:val="center"/>
          </w:tcPr>
          <w:p w14:paraId="31C76DC1"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0.17</w:t>
            </w:r>
          </w:p>
        </w:tc>
        <w:tc>
          <w:tcPr>
            <w:tcW w:w="954" w:type="dxa"/>
            <w:vAlign w:val="center"/>
          </w:tcPr>
          <w:p w14:paraId="4ACA51D7"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0.182</w:t>
            </w:r>
          </w:p>
        </w:tc>
        <w:tc>
          <w:tcPr>
            <w:tcW w:w="954" w:type="dxa"/>
            <w:vAlign w:val="center"/>
          </w:tcPr>
          <w:p w14:paraId="4EB27EF2"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0.239</w:t>
            </w:r>
          </w:p>
        </w:tc>
        <w:tc>
          <w:tcPr>
            <w:tcW w:w="954" w:type="dxa"/>
            <w:vAlign w:val="center"/>
          </w:tcPr>
          <w:p w14:paraId="30BCDB96"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0.804</w:t>
            </w:r>
          </w:p>
        </w:tc>
        <w:tc>
          <w:tcPr>
            <w:tcW w:w="955" w:type="dxa"/>
            <w:vAlign w:val="center"/>
          </w:tcPr>
          <w:p w14:paraId="5840E2E1"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1.005</w:t>
            </w:r>
          </w:p>
        </w:tc>
        <w:tc>
          <w:tcPr>
            <w:tcW w:w="952" w:type="dxa"/>
            <w:vAlign w:val="center"/>
          </w:tcPr>
          <w:p w14:paraId="4C4CC654"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cr/>
              <w:t>.829</w:t>
            </w:r>
          </w:p>
        </w:tc>
      </w:tr>
      <w:tr w:rsidR="005A1A44" w14:paraId="4C0CA5E1" w14:textId="77777777">
        <w:trPr>
          <w:trHeight w:val="397"/>
          <w:jc w:val="center"/>
        </w:trPr>
        <w:tc>
          <w:tcPr>
            <w:tcW w:w="2172" w:type="dxa"/>
            <w:vAlign w:val="center"/>
          </w:tcPr>
          <w:p w14:paraId="0851330C"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粒径，μm</w:t>
            </w:r>
          </w:p>
        </w:tc>
        <w:tc>
          <w:tcPr>
            <w:tcW w:w="954" w:type="dxa"/>
            <w:vAlign w:val="center"/>
          </w:tcPr>
          <w:p w14:paraId="2E200DE1"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450</w:t>
            </w:r>
          </w:p>
        </w:tc>
        <w:tc>
          <w:tcPr>
            <w:tcW w:w="955" w:type="dxa"/>
            <w:vAlign w:val="center"/>
          </w:tcPr>
          <w:p w14:paraId="1EC14542"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550</w:t>
            </w:r>
          </w:p>
        </w:tc>
        <w:tc>
          <w:tcPr>
            <w:tcW w:w="954" w:type="dxa"/>
            <w:vAlign w:val="center"/>
          </w:tcPr>
          <w:p w14:paraId="778ACA9E"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650</w:t>
            </w:r>
          </w:p>
        </w:tc>
        <w:tc>
          <w:tcPr>
            <w:tcW w:w="954" w:type="dxa"/>
            <w:vAlign w:val="center"/>
          </w:tcPr>
          <w:p w14:paraId="228C00D8"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750</w:t>
            </w:r>
          </w:p>
        </w:tc>
        <w:tc>
          <w:tcPr>
            <w:tcW w:w="954" w:type="dxa"/>
            <w:vAlign w:val="center"/>
          </w:tcPr>
          <w:p w14:paraId="7009123E"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850</w:t>
            </w:r>
          </w:p>
        </w:tc>
        <w:tc>
          <w:tcPr>
            <w:tcW w:w="955" w:type="dxa"/>
            <w:vAlign w:val="center"/>
          </w:tcPr>
          <w:p w14:paraId="270DC212"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950</w:t>
            </w:r>
          </w:p>
        </w:tc>
        <w:tc>
          <w:tcPr>
            <w:tcW w:w="952" w:type="dxa"/>
            <w:vAlign w:val="center"/>
          </w:tcPr>
          <w:p w14:paraId="55DAF598"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1050</w:t>
            </w:r>
          </w:p>
        </w:tc>
      </w:tr>
      <w:tr w:rsidR="005A1A44" w14:paraId="4E311A3F" w14:textId="77777777">
        <w:trPr>
          <w:trHeight w:val="397"/>
          <w:jc w:val="center"/>
        </w:trPr>
        <w:tc>
          <w:tcPr>
            <w:tcW w:w="2172" w:type="dxa"/>
            <w:vAlign w:val="center"/>
          </w:tcPr>
          <w:p w14:paraId="1C448487"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沉降速</w:t>
            </w:r>
            <w:r>
              <w:rPr>
                <w:rFonts w:ascii="宋体" w:eastAsia="宋体" w:hAnsi="宋体" w:cs="宋体" w:hint="eastAsia"/>
                <w:kern w:val="0"/>
                <w:sz w:val="21"/>
                <w:szCs w:val="21"/>
              </w:rPr>
              <w:cr/>
              <w:t>，m/s</w:t>
            </w:r>
          </w:p>
        </w:tc>
        <w:tc>
          <w:tcPr>
            <w:tcW w:w="954" w:type="dxa"/>
            <w:vAlign w:val="center"/>
          </w:tcPr>
          <w:p w14:paraId="0B9CF614"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2.211</w:t>
            </w:r>
          </w:p>
        </w:tc>
        <w:tc>
          <w:tcPr>
            <w:tcW w:w="955" w:type="dxa"/>
            <w:vAlign w:val="center"/>
          </w:tcPr>
          <w:p w14:paraId="1F99183D"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2.614</w:t>
            </w:r>
          </w:p>
        </w:tc>
        <w:tc>
          <w:tcPr>
            <w:tcW w:w="954" w:type="dxa"/>
            <w:vAlign w:val="center"/>
          </w:tcPr>
          <w:p w14:paraId="4F438DC3"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3.016</w:t>
            </w:r>
          </w:p>
        </w:tc>
        <w:tc>
          <w:tcPr>
            <w:tcW w:w="954" w:type="dxa"/>
            <w:vAlign w:val="center"/>
          </w:tcPr>
          <w:p w14:paraId="6DA2551E"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3.418</w:t>
            </w:r>
          </w:p>
        </w:tc>
        <w:tc>
          <w:tcPr>
            <w:tcW w:w="954" w:type="dxa"/>
            <w:vAlign w:val="center"/>
          </w:tcPr>
          <w:p w14:paraId="07A85397"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3</w:t>
            </w:r>
            <w:r>
              <w:rPr>
                <w:rFonts w:ascii="宋体" w:eastAsia="宋体" w:hAnsi="宋体" w:cs="宋体" w:hint="eastAsia"/>
                <w:kern w:val="0"/>
                <w:sz w:val="21"/>
                <w:szCs w:val="21"/>
              </w:rPr>
              <w:cr/>
              <w:t>82</w:t>
            </w:r>
          </w:p>
        </w:tc>
        <w:tc>
          <w:tcPr>
            <w:tcW w:w="955" w:type="dxa"/>
            <w:vAlign w:val="center"/>
          </w:tcPr>
          <w:p w14:paraId="5F9B8CB7"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4.222</w:t>
            </w:r>
          </w:p>
        </w:tc>
        <w:tc>
          <w:tcPr>
            <w:tcW w:w="952" w:type="dxa"/>
            <w:vAlign w:val="center"/>
          </w:tcPr>
          <w:p w14:paraId="6D721F8B"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4.624</w:t>
            </w:r>
          </w:p>
        </w:tc>
      </w:tr>
    </w:tbl>
    <w:p w14:paraId="4CC8BB60" w14:textId="77777777" w:rsidR="005A1A44" w:rsidRDefault="005A1A44">
      <w:pPr>
        <w:ind w:firstLine="480"/>
      </w:pPr>
    </w:p>
    <w:p w14:paraId="4BC93F92" w14:textId="77777777" w:rsidR="005A1A44" w:rsidRDefault="0008059E">
      <w:pPr>
        <w:ind w:firstLine="482"/>
        <w:rPr>
          <w:b/>
          <w:bCs/>
        </w:rPr>
      </w:pPr>
      <w:r>
        <w:rPr>
          <w:rFonts w:hint="eastAsia"/>
          <w:b/>
          <w:bCs/>
        </w:rPr>
        <w:t>d</w:t>
      </w:r>
      <w:r>
        <w:rPr>
          <w:rFonts w:hint="eastAsia"/>
          <w:b/>
          <w:bCs/>
        </w:rPr>
        <w:t>、</w:t>
      </w:r>
      <w:r>
        <w:rPr>
          <w:rFonts w:hint="eastAsia"/>
        </w:rPr>
        <w:t>施工车辆排放尾气</w:t>
      </w:r>
    </w:p>
    <w:p w14:paraId="02989AE3" w14:textId="77777777" w:rsidR="005A1A44" w:rsidRDefault="0008059E">
      <w:pPr>
        <w:ind w:firstLine="480"/>
      </w:pPr>
      <w:r>
        <w:rPr>
          <w:rFonts w:hint="eastAsia"/>
        </w:rPr>
        <w:t>本工程施工高峰期施工车辆可达</w:t>
      </w:r>
      <w:r>
        <w:rPr>
          <w:rFonts w:hint="eastAsia"/>
        </w:rPr>
        <w:t>50</w:t>
      </w:r>
      <w:r>
        <w:rPr>
          <w:rFonts w:hint="eastAsia"/>
        </w:rPr>
        <w:t>辆</w:t>
      </w:r>
      <w:r>
        <w:rPr>
          <w:rFonts w:hint="eastAsia"/>
        </w:rPr>
        <w:t>/</w:t>
      </w:r>
      <w:r>
        <w:rPr>
          <w:rFonts w:hint="eastAsia"/>
        </w:rPr>
        <w:t>天，一般大型车辆尾气污染物排放量为</w:t>
      </w:r>
      <w:r>
        <w:rPr>
          <w:rFonts w:hint="eastAsia"/>
        </w:rPr>
        <w:t>NO</w:t>
      </w:r>
      <w:r>
        <w:rPr>
          <w:rFonts w:hint="eastAsia"/>
        </w:rPr>
        <w:t>：</w:t>
      </w:r>
      <w:r>
        <w:rPr>
          <w:rFonts w:hint="eastAsia"/>
        </w:rPr>
        <w:t>10.44g/</w:t>
      </w:r>
      <w:r>
        <w:rPr>
          <w:rFonts w:hint="eastAsia"/>
        </w:rPr>
        <w:t>辆</w:t>
      </w:r>
      <w:r>
        <w:rPr>
          <w:rFonts w:hint="eastAsia"/>
        </w:rPr>
        <w:t>.km</w:t>
      </w:r>
      <w:r>
        <w:rPr>
          <w:rFonts w:hint="eastAsia"/>
        </w:rPr>
        <w:t>，</w:t>
      </w:r>
      <w:r>
        <w:rPr>
          <w:rFonts w:hint="eastAsia"/>
        </w:rPr>
        <w:t>C0</w:t>
      </w:r>
      <w:r>
        <w:rPr>
          <w:rFonts w:hint="eastAsia"/>
        </w:rPr>
        <w:t>：</w:t>
      </w:r>
      <w:r>
        <w:rPr>
          <w:rFonts w:hint="eastAsia"/>
        </w:rPr>
        <w:t>5.25g/</w:t>
      </w:r>
      <w:r>
        <w:rPr>
          <w:rFonts w:hint="eastAsia"/>
        </w:rPr>
        <w:t>辆</w:t>
      </w:r>
      <w:r>
        <w:rPr>
          <w:rFonts w:hint="eastAsia"/>
        </w:rPr>
        <w:t>.km</w:t>
      </w:r>
      <w:r>
        <w:rPr>
          <w:rFonts w:hint="eastAsia"/>
        </w:rPr>
        <w:t>，</w:t>
      </w:r>
      <w:r>
        <w:rPr>
          <w:rFonts w:hint="eastAsia"/>
        </w:rPr>
        <w:t>THC 2.08g/</w:t>
      </w:r>
      <w:r>
        <w:rPr>
          <w:rFonts w:hint="eastAsia"/>
        </w:rPr>
        <w:t>辆</w:t>
      </w:r>
      <w:r>
        <w:rPr>
          <w:rFonts w:hint="eastAsia"/>
        </w:rPr>
        <w:t>.km</w:t>
      </w:r>
      <w:r>
        <w:rPr>
          <w:rFonts w:hint="eastAsia"/>
        </w:rPr>
        <w:t>，每辆车按照</w:t>
      </w:r>
      <w:r>
        <w:rPr>
          <w:rFonts w:hint="eastAsia"/>
        </w:rPr>
        <w:t>80km/d</w:t>
      </w:r>
      <w:r>
        <w:rPr>
          <w:rFonts w:hint="eastAsia"/>
        </w:rPr>
        <w:t>计算，施工车辆除运输渣土车辆行驶外，一般都在源地，且不集中运行，因此尾气排放的污染物量有限。</w:t>
      </w:r>
    </w:p>
    <w:p w14:paraId="337A9796" w14:textId="77777777" w:rsidR="005A1A44" w:rsidRDefault="005A1A44">
      <w:pPr>
        <w:ind w:firstLineChars="0" w:firstLine="0"/>
        <w:jc w:val="center"/>
        <w:rPr>
          <w:rFonts w:ascii="黑体" w:eastAsia="黑体" w:hAnsi="黑体" w:cs="黑体" w:hint="eastAsia"/>
        </w:rPr>
      </w:pPr>
    </w:p>
    <w:p w14:paraId="011613EA" w14:textId="77777777" w:rsidR="005A1A44" w:rsidRDefault="005A1A44">
      <w:pPr>
        <w:ind w:firstLineChars="0" w:firstLine="0"/>
        <w:jc w:val="center"/>
        <w:rPr>
          <w:rFonts w:ascii="黑体" w:eastAsia="黑体" w:hAnsi="黑体" w:cs="黑体" w:hint="eastAsia"/>
        </w:rPr>
      </w:pPr>
    </w:p>
    <w:p w14:paraId="4706A7E3" w14:textId="77777777" w:rsidR="005A1A44" w:rsidRDefault="0008059E">
      <w:pPr>
        <w:ind w:firstLineChars="0" w:firstLine="0"/>
        <w:jc w:val="center"/>
      </w:pPr>
      <w:r>
        <w:rPr>
          <w:rFonts w:ascii="黑体" w:eastAsia="黑体" w:hAnsi="黑体" w:cs="黑体" w:hint="eastAsia"/>
        </w:rPr>
        <w:lastRenderedPageBreak/>
        <w:t>表3.6-5   施工车辆废气污染物排放量统计</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8"/>
        <w:gridCol w:w="1677"/>
        <w:gridCol w:w="1678"/>
        <w:gridCol w:w="1677"/>
      </w:tblGrid>
      <w:tr w:rsidR="005A1A44" w14:paraId="742F2A50" w14:textId="77777777">
        <w:trPr>
          <w:trHeight w:val="397"/>
          <w:jc w:val="center"/>
        </w:trPr>
        <w:tc>
          <w:tcPr>
            <w:tcW w:w="3818" w:type="dxa"/>
            <w:vAlign w:val="center"/>
          </w:tcPr>
          <w:p w14:paraId="65638BED"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污染物名称</w:t>
            </w:r>
          </w:p>
        </w:tc>
        <w:tc>
          <w:tcPr>
            <w:tcW w:w="1677" w:type="dxa"/>
            <w:vAlign w:val="center"/>
          </w:tcPr>
          <w:p w14:paraId="36FBEDF2"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氮氧化物(NOx)</w:t>
            </w:r>
          </w:p>
        </w:tc>
        <w:tc>
          <w:tcPr>
            <w:tcW w:w="1678" w:type="dxa"/>
            <w:vAlign w:val="center"/>
          </w:tcPr>
          <w:p w14:paraId="79E43780"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一氧化碳（CO）</w:t>
            </w:r>
          </w:p>
        </w:tc>
        <w:tc>
          <w:tcPr>
            <w:tcW w:w="1677" w:type="dxa"/>
            <w:vAlign w:val="center"/>
          </w:tcPr>
          <w:p w14:paraId="43321A7E"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总烃（THC）</w:t>
            </w:r>
          </w:p>
        </w:tc>
      </w:tr>
      <w:tr w:rsidR="005A1A44" w14:paraId="05439BE1" w14:textId="77777777">
        <w:trPr>
          <w:trHeight w:val="397"/>
          <w:jc w:val="center"/>
        </w:trPr>
        <w:tc>
          <w:tcPr>
            <w:tcW w:w="3818" w:type="dxa"/>
            <w:vAlign w:val="center"/>
          </w:tcPr>
          <w:p w14:paraId="50773766"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排放量（g/辆.km）</w:t>
            </w:r>
          </w:p>
        </w:tc>
        <w:tc>
          <w:tcPr>
            <w:tcW w:w="1677" w:type="dxa"/>
            <w:vAlign w:val="center"/>
          </w:tcPr>
          <w:p w14:paraId="0895131C"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10.44</w:t>
            </w:r>
          </w:p>
        </w:tc>
        <w:tc>
          <w:tcPr>
            <w:tcW w:w="1678" w:type="dxa"/>
            <w:vAlign w:val="center"/>
          </w:tcPr>
          <w:p w14:paraId="5A0ABE7C"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5.25</w:t>
            </w:r>
          </w:p>
        </w:tc>
        <w:tc>
          <w:tcPr>
            <w:tcW w:w="1677" w:type="dxa"/>
            <w:vAlign w:val="center"/>
          </w:tcPr>
          <w:p w14:paraId="693A866B"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2.08</w:t>
            </w:r>
          </w:p>
        </w:tc>
      </w:tr>
      <w:tr w:rsidR="005A1A44" w14:paraId="1067868F" w14:textId="77777777">
        <w:trPr>
          <w:trHeight w:val="397"/>
          <w:jc w:val="center"/>
        </w:trPr>
        <w:tc>
          <w:tcPr>
            <w:tcW w:w="3818" w:type="dxa"/>
            <w:vAlign w:val="center"/>
          </w:tcPr>
          <w:p w14:paraId="0DBFB486"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平均每天公里数（km）</w:t>
            </w:r>
          </w:p>
        </w:tc>
        <w:tc>
          <w:tcPr>
            <w:tcW w:w="1677" w:type="dxa"/>
            <w:vAlign w:val="center"/>
          </w:tcPr>
          <w:p w14:paraId="0E7D2B7C"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80</w:t>
            </w:r>
          </w:p>
        </w:tc>
        <w:tc>
          <w:tcPr>
            <w:tcW w:w="1678" w:type="dxa"/>
            <w:vAlign w:val="center"/>
          </w:tcPr>
          <w:p w14:paraId="72F9ED5D"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80</w:t>
            </w:r>
          </w:p>
        </w:tc>
        <w:tc>
          <w:tcPr>
            <w:tcW w:w="1677" w:type="dxa"/>
            <w:vAlign w:val="center"/>
          </w:tcPr>
          <w:p w14:paraId="79140743"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80</w:t>
            </w:r>
          </w:p>
        </w:tc>
      </w:tr>
      <w:tr w:rsidR="005A1A44" w14:paraId="61D6E08C" w14:textId="77777777">
        <w:trPr>
          <w:trHeight w:val="397"/>
          <w:jc w:val="center"/>
        </w:trPr>
        <w:tc>
          <w:tcPr>
            <w:tcW w:w="3818" w:type="dxa"/>
            <w:vAlign w:val="center"/>
          </w:tcPr>
          <w:p w14:paraId="6EA1E11B"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排放源强（kg/辆）</w:t>
            </w:r>
          </w:p>
        </w:tc>
        <w:tc>
          <w:tcPr>
            <w:tcW w:w="1677" w:type="dxa"/>
            <w:vAlign w:val="center"/>
          </w:tcPr>
          <w:p w14:paraId="5345BBBF"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0.835</w:t>
            </w:r>
          </w:p>
        </w:tc>
        <w:tc>
          <w:tcPr>
            <w:tcW w:w="1678" w:type="dxa"/>
            <w:vAlign w:val="center"/>
          </w:tcPr>
          <w:p w14:paraId="354080CE"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0.42</w:t>
            </w:r>
          </w:p>
        </w:tc>
        <w:tc>
          <w:tcPr>
            <w:tcW w:w="1677" w:type="dxa"/>
            <w:vAlign w:val="center"/>
          </w:tcPr>
          <w:p w14:paraId="069A2054"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0.166</w:t>
            </w:r>
          </w:p>
        </w:tc>
      </w:tr>
      <w:tr w:rsidR="005A1A44" w14:paraId="2B782EF1" w14:textId="77777777">
        <w:trPr>
          <w:trHeight w:val="397"/>
          <w:jc w:val="center"/>
        </w:trPr>
        <w:tc>
          <w:tcPr>
            <w:tcW w:w="3818" w:type="dxa"/>
            <w:vAlign w:val="center"/>
          </w:tcPr>
          <w:p w14:paraId="0B71573E"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日排放量（kg/d）</w:t>
            </w:r>
          </w:p>
        </w:tc>
        <w:tc>
          <w:tcPr>
            <w:tcW w:w="1677" w:type="dxa"/>
            <w:vAlign w:val="center"/>
          </w:tcPr>
          <w:p w14:paraId="162CAD15"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250.5</w:t>
            </w:r>
          </w:p>
        </w:tc>
        <w:tc>
          <w:tcPr>
            <w:tcW w:w="1678" w:type="dxa"/>
            <w:vAlign w:val="center"/>
          </w:tcPr>
          <w:p w14:paraId="4AF8C403"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126.0</w:t>
            </w:r>
          </w:p>
        </w:tc>
        <w:tc>
          <w:tcPr>
            <w:tcW w:w="1677" w:type="dxa"/>
            <w:vAlign w:val="center"/>
          </w:tcPr>
          <w:p w14:paraId="44848892"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49.8</w:t>
            </w:r>
          </w:p>
        </w:tc>
      </w:tr>
      <w:tr w:rsidR="005A1A44" w14:paraId="33726F1D" w14:textId="77777777">
        <w:trPr>
          <w:trHeight w:val="397"/>
          <w:jc w:val="center"/>
        </w:trPr>
        <w:tc>
          <w:tcPr>
            <w:tcW w:w="3818" w:type="dxa"/>
            <w:vAlign w:val="center"/>
          </w:tcPr>
          <w:p w14:paraId="3CADAE97"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总排放量（t/a）</w:t>
            </w:r>
          </w:p>
        </w:tc>
        <w:tc>
          <w:tcPr>
            <w:tcW w:w="1677" w:type="dxa"/>
            <w:vAlign w:val="center"/>
          </w:tcPr>
          <w:p w14:paraId="6E0FA4EE"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91.43</w:t>
            </w:r>
          </w:p>
        </w:tc>
        <w:tc>
          <w:tcPr>
            <w:tcW w:w="1678" w:type="dxa"/>
            <w:vAlign w:val="center"/>
          </w:tcPr>
          <w:p w14:paraId="693722A3"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45.99</w:t>
            </w:r>
          </w:p>
        </w:tc>
        <w:tc>
          <w:tcPr>
            <w:tcW w:w="1677" w:type="dxa"/>
            <w:vAlign w:val="center"/>
          </w:tcPr>
          <w:p w14:paraId="0338C1E0"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18.18</w:t>
            </w:r>
          </w:p>
        </w:tc>
      </w:tr>
    </w:tbl>
    <w:p w14:paraId="481D82FB" w14:textId="77777777" w:rsidR="005A1A44" w:rsidRDefault="0008059E">
      <w:pPr>
        <w:ind w:firstLine="482"/>
        <w:rPr>
          <w:rFonts w:ascii="宋体" w:hAnsi="宋体" w:hint="eastAsia"/>
          <w:b/>
        </w:rPr>
      </w:pPr>
      <w:r>
        <w:rPr>
          <w:rFonts w:hint="eastAsia"/>
          <w:b/>
        </w:rPr>
        <w:t>e</w:t>
      </w:r>
      <w:r>
        <w:rPr>
          <w:rFonts w:hint="eastAsia"/>
          <w:b/>
        </w:rPr>
        <w:t>、</w:t>
      </w:r>
      <w:r>
        <w:rPr>
          <w:b/>
        </w:rPr>
        <w:t>机械</w:t>
      </w:r>
      <w:r>
        <w:rPr>
          <w:rFonts w:ascii="宋体" w:hAnsi="宋体"/>
          <w:b/>
        </w:rPr>
        <w:t>燃油废气</w:t>
      </w:r>
      <w:r>
        <w:rPr>
          <w:rFonts w:ascii="宋体" w:hAnsi="宋体" w:hint="eastAsia"/>
          <w:b/>
        </w:rPr>
        <w:t>（汽车、施工机械、柴油发电机等）</w:t>
      </w:r>
    </w:p>
    <w:p w14:paraId="2F36A0B1" w14:textId="77777777" w:rsidR="005A1A44" w:rsidRDefault="0008059E">
      <w:pPr>
        <w:ind w:firstLineChars="300" w:firstLine="720"/>
      </w:pPr>
      <w:r>
        <w:t>施工燃油废气中的污染物主要包括</w:t>
      </w:r>
      <w:r>
        <w:t>SO</w:t>
      </w:r>
      <w:r>
        <w:rPr>
          <w:vertAlign w:val="subscript"/>
        </w:rPr>
        <w:t>2</w:t>
      </w:r>
      <w:r>
        <w:t>、</w:t>
      </w:r>
      <w:r>
        <w:t>CO</w:t>
      </w:r>
      <w:r>
        <w:t>、</w:t>
      </w:r>
      <w:r>
        <w:t>NO</w:t>
      </w:r>
      <w:r>
        <w:rPr>
          <w:vertAlign w:val="subscript"/>
        </w:rPr>
        <w:t>2</w:t>
      </w:r>
      <w:r>
        <w:t>和烃类等，根据施工布置，工程共需使用燃油约</w:t>
      </w:r>
      <w:r>
        <w:rPr>
          <w:rFonts w:hint="eastAsia"/>
        </w:rPr>
        <w:t xml:space="preserve"> 551.88</w:t>
      </w:r>
      <w:r>
        <w:t>t</w:t>
      </w:r>
      <w:r>
        <w:t>。通过查阅有关资料，燃烧</w:t>
      </w:r>
      <w:r>
        <w:t>1t</w:t>
      </w:r>
      <w:r>
        <w:t>燃油会产生</w:t>
      </w:r>
      <w:r>
        <w:t>3.52kg SO</w:t>
      </w:r>
      <w:r>
        <w:rPr>
          <w:vertAlign w:val="subscript"/>
        </w:rPr>
        <w:t>2</w:t>
      </w:r>
      <w:r>
        <w:t>、</w:t>
      </w:r>
      <w:r>
        <w:t>27.00kg CO</w:t>
      </w:r>
      <w:r>
        <w:t>、</w:t>
      </w:r>
      <w:r>
        <w:rPr>
          <w:rFonts w:hint="eastAsia"/>
        </w:rPr>
        <w:t>48.26</w:t>
      </w:r>
      <w:r>
        <w:t>kg NO</w:t>
      </w:r>
      <w:r>
        <w:rPr>
          <w:rFonts w:hint="eastAsia"/>
          <w:vertAlign w:val="subscript"/>
        </w:rPr>
        <w:t>x</w:t>
      </w:r>
      <w:r>
        <w:t>和</w:t>
      </w:r>
      <w:r>
        <w:t>4.83kg</w:t>
      </w:r>
      <w:r>
        <w:t>烃类，由此估算出工程施工期燃油废气污染物的排放量，</w:t>
      </w:r>
      <w:r>
        <w:t>SO</w:t>
      </w:r>
      <w:r>
        <w:rPr>
          <w:vertAlign w:val="subscript"/>
        </w:rPr>
        <w:t>2</w:t>
      </w:r>
      <w:r>
        <w:t>、</w:t>
      </w:r>
      <w:r>
        <w:t>CO</w:t>
      </w:r>
      <w:r>
        <w:t>、</w:t>
      </w:r>
      <w:r>
        <w:t>NO</w:t>
      </w:r>
      <w:r>
        <w:rPr>
          <w:rFonts w:hint="eastAsia"/>
          <w:vertAlign w:val="subscript"/>
        </w:rPr>
        <w:t>x</w:t>
      </w:r>
      <w:r>
        <w:t>和烃类污染物分别为</w:t>
      </w:r>
      <w:r>
        <w:rPr>
          <w:rFonts w:hint="eastAsia"/>
        </w:rPr>
        <w:t>1.79</w:t>
      </w:r>
      <w:r>
        <w:t>t</w:t>
      </w:r>
      <w:r>
        <w:t>、</w:t>
      </w:r>
      <w:r>
        <w:rPr>
          <w:rFonts w:hint="eastAsia"/>
        </w:rPr>
        <w:t>14.98.78</w:t>
      </w:r>
      <w:r>
        <w:t>t</w:t>
      </w:r>
      <w:r>
        <w:t>、</w:t>
      </w:r>
      <w:r>
        <w:rPr>
          <w:rFonts w:hint="eastAsia"/>
        </w:rPr>
        <w:t>23.32</w:t>
      </w:r>
      <w:r>
        <w:t>t</w:t>
      </w:r>
      <w:r>
        <w:t>和</w:t>
      </w:r>
      <w:r>
        <w:rPr>
          <w:rFonts w:hint="eastAsia"/>
        </w:rPr>
        <w:t>2.67</w:t>
      </w:r>
      <w:r>
        <w:t>t</w:t>
      </w:r>
      <w:r>
        <w:t>。</w:t>
      </w:r>
    </w:p>
    <w:p w14:paraId="5DBF610B" w14:textId="77777777" w:rsidR="005A1A44" w:rsidRDefault="0008059E">
      <w:pPr>
        <w:ind w:firstLine="482"/>
        <w:rPr>
          <w:b/>
        </w:rPr>
      </w:pPr>
      <w:r>
        <w:rPr>
          <w:rFonts w:hint="eastAsia"/>
          <w:b/>
        </w:rPr>
        <w:t>f</w:t>
      </w:r>
      <w:r>
        <w:rPr>
          <w:rFonts w:hint="eastAsia"/>
          <w:b/>
        </w:rPr>
        <w:t>、饮食油烟</w:t>
      </w:r>
    </w:p>
    <w:p w14:paraId="11FACC6C" w14:textId="77777777" w:rsidR="005A1A44" w:rsidRDefault="0008059E">
      <w:pPr>
        <w:ind w:firstLine="480"/>
      </w:pPr>
      <w:r>
        <w:rPr>
          <w:rFonts w:ascii="宋体" w:hAnsi="宋体" w:hint="eastAsia"/>
          <w:color w:val="000000"/>
        </w:rPr>
        <w:t>饮食油烟排放的废气中主要污染物为烹饪、加工过程挥发的油脂、有机质及加热分解或裂解产污。本项目施工高峰期总人数为</w:t>
      </w:r>
      <w:r>
        <w:rPr>
          <w:rFonts w:hint="eastAsia"/>
        </w:rPr>
        <w:t>330</w:t>
      </w:r>
      <w:r>
        <w:t>人。根据类比调查，人均食用油用量约</w:t>
      </w:r>
      <w:r>
        <w:t>15g/</w:t>
      </w:r>
      <w:r>
        <w:t>人</w:t>
      </w:r>
      <w:r>
        <w:t>·</w:t>
      </w:r>
      <w:r>
        <w:rPr>
          <w:rFonts w:hint="eastAsia"/>
        </w:rPr>
        <w:t>d</w:t>
      </w:r>
      <w:r>
        <w:t>，一般油烟挥发量占总耗油量的</w:t>
      </w:r>
      <w:r>
        <w:t>2~4%</w:t>
      </w:r>
      <w:r>
        <w:t>，平均为</w:t>
      </w:r>
      <w:r>
        <w:t>2.83%</w:t>
      </w:r>
      <w:r>
        <w:t>，则油烟产生量约为</w:t>
      </w:r>
      <w:r>
        <w:rPr>
          <w:rFonts w:hint="eastAsia"/>
        </w:rPr>
        <w:t>0.14kg/d</w:t>
      </w:r>
      <w:r>
        <w:rPr>
          <w:rFonts w:hint="eastAsia"/>
        </w:rPr>
        <w:t>（施工期产生</w:t>
      </w:r>
      <w:r>
        <w:rPr>
          <w:rFonts w:hint="eastAsia"/>
        </w:rPr>
        <w:t>51.1kg/a</w:t>
      </w:r>
      <w:r>
        <w:rPr>
          <w:rFonts w:hint="eastAsia"/>
        </w:rPr>
        <w:t>）</w:t>
      </w:r>
      <w:r>
        <w:t>，</w:t>
      </w:r>
      <w:r>
        <w:rPr>
          <w:rFonts w:hint="eastAsia"/>
        </w:rPr>
        <w:t>假设高峰期有三处营地，</w:t>
      </w:r>
      <w:r>
        <w:t>项目</w:t>
      </w:r>
      <w:r>
        <w:rPr>
          <w:rFonts w:hint="eastAsia"/>
        </w:rPr>
        <w:t>食堂</w:t>
      </w:r>
      <w:r>
        <w:t>设</w:t>
      </w:r>
      <w:r>
        <w:rPr>
          <w:rFonts w:hint="eastAsia"/>
        </w:rPr>
        <w:t>2</w:t>
      </w:r>
      <w:r>
        <w:t>个灶头，</w:t>
      </w:r>
      <w:r>
        <w:rPr>
          <w:rFonts w:hint="eastAsia"/>
        </w:rPr>
        <w:t>每个灶头风量为</w:t>
      </w:r>
      <w:r>
        <w:rPr>
          <w:rFonts w:hint="eastAsia"/>
        </w:rPr>
        <w:t>4</w:t>
      </w:r>
      <w:r>
        <w:t>000.0m</w:t>
      </w:r>
      <w:r>
        <w:rPr>
          <w:vertAlign w:val="superscript"/>
        </w:rPr>
        <w:t>3</w:t>
      </w:r>
      <w:r>
        <w:t>/h</w:t>
      </w:r>
      <w:r>
        <w:rPr>
          <w:rFonts w:hint="eastAsia"/>
        </w:rPr>
        <w:t>，</w:t>
      </w:r>
      <w:r>
        <w:t>每天</w:t>
      </w:r>
      <w:r>
        <w:rPr>
          <w:rFonts w:hint="eastAsia"/>
        </w:rPr>
        <w:t>工作</w:t>
      </w:r>
      <w:r>
        <w:rPr>
          <w:rFonts w:hint="eastAsia"/>
        </w:rPr>
        <w:t>3</w:t>
      </w:r>
      <w:r>
        <w:t>小时，则排风量约</w:t>
      </w:r>
      <w:r>
        <w:rPr>
          <w:rFonts w:hint="eastAsia"/>
        </w:rPr>
        <w:t>12</w:t>
      </w:r>
      <w:r>
        <w:t>000.0m</w:t>
      </w:r>
      <w:r>
        <w:rPr>
          <w:vertAlign w:val="superscript"/>
        </w:rPr>
        <w:t>3</w:t>
      </w:r>
      <w:r>
        <w:rPr>
          <w:rFonts w:hint="eastAsia"/>
        </w:rPr>
        <w:t>，</w:t>
      </w:r>
      <w:r>
        <w:t>油烟产生浓度为</w:t>
      </w:r>
      <w:r>
        <w:rPr>
          <w:rFonts w:hint="eastAsia"/>
        </w:rPr>
        <w:t>3.89</w:t>
      </w:r>
      <w:r>
        <w:t>mg/m</w:t>
      </w:r>
      <w:r>
        <w:rPr>
          <w:vertAlign w:val="superscript"/>
        </w:rPr>
        <w:t>3</w:t>
      </w:r>
      <w:r>
        <w:t>。</w:t>
      </w:r>
      <w:r>
        <w:rPr>
          <w:rFonts w:hint="eastAsia"/>
        </w:rPr>
        <w:t>其油烟浓度超过了《饮食业油烟排放标准》（</w:t>
      </w:r>
      <w:r>
        <w:rPr>
          <w:rFonts w:hint="eastAsia"/>
        </w:rPr>
        <w:t>GB18483-2001</w:t>
      </w:r>
      <w:r>
        <w:rPr>
          <w:rFonts w:hint="eastAsia"/>
        </w:rPr>
        <w:t>）中的要求（油烟浓度≤</w:t>
      </w:r>
      <w:r>
        <w:rPr>
          <w:rFonts w:hint="eastAsia"/>
        </w:rPr>
        <w:t>2</w:t>
      </w:r>
      <w:r>
        <w:t>mg/m</w:t>
      </w:r>
      <w:r>
        <w:rPr>
          <w:vertAlign w:val="superscript"/>
        </w:rPr>
        <w:t>3</w:t>
      </w:r>
      <w:r>
        <w:rPr>
          <w:rFonts w:hint="eastAsia"/>
        </w:rPr>
        <w:t>）</w:t>
      </w:r>
    </w:p>
    <w:p w14:paraId="5D811483" w14:textId="77777777" w:rsidR="005A1A44" w:rsidRDefault="0008059E">
      <w:pPr>
        <w:ind w:firstLine="480"/>
      </w:pPr>
      <w:r>
        <w:t>本项目施工期</w:t>
      </w:r>
      <w:r>
        <w:rPr>
          <w:rFonts w:hint="eastAsia"/>
        </w:rPr>
        <w:t>各生产区</w:t>
      </w:r>
      <w:r>
        <w:t>拟</w:t>
      </w:r>
      <w:r>
        <w:rPr>
          <w:rFonts w:hint="eastAsia"/>
        </w:rPr>
        <w:t>各</w:t>
      </w:r>
      <w:r>
        <w:t>采购一台抽油烟机</w:t>
      </w:r>
      <w:r>
        <w:rPr>
          <w:rFonts w:hint="eastAsia"/>
        </w:rPr>
        <w:t>，</w:t>
      </w:r>
      <w:r>
        <w:t>油烟净化设施去除率为</w:t>
      </w:r>
      <w:r>
        <w:t>60%</w:t>
      </w:r>
      <w:r>
        <w:t>，</w:t>
      </w:r>
      <w:r>
        <w:rPr>
          <w:rFonts w:hint="eastAsia"/>
        </w:rPr>
        <w:t>施工期中油烟</w:t>
      </w:r>
      <w:r>
        <w:t>排放量为</w:t>
      </w:r>
      <w:r>
        <w:rPr>
          <w:rFonts w:hint="eastAsia"/>
        </w:rPr>
        <w:t>0.056</w:t>
      </w:r>
      <w:r>
        <w:t>kg</w:t>
      </w:r>
      <w:r>
        <w:rPr>
          <w:rFonts w:hint="eastAsia"/>
        </w:rPr>
        <w:t>/</w:t>
      </w:r>
      <w:r>
        <w:rPr>
          <w:rFonts w:hint="eastAsia"/>
        </w:rPr>
        <w:t>天，</w:t>
      </w:r>
      <w:r>
        <w:t>则经处理后的</w:t>
      </w:r>
      <w:r>
        <w:rPr>
          <w:rFonts w:hint="eastAsia"/>
        </w:rPr>
        <w:t>所排放的</w:t>
      </w:r>
      <w:r>
        <w:t>油烟</w:t>
      </w:r>
      <w:r>
        <w:rPr>
          <w:rFonts w:hint="eastAsia"/>
        </w:rPr>
        <w:t>浓度为</w:t>
      </w:r>
      <w:r>
        <w:rPr>
          <w:rFonts w:hint="eastAsia"/>
        </w:rPr>
        <w:t>1.56</w:t>
      </w:r>
      <w:r>
        <w:t>mg/m</w:t>
      </w:r>
      <w:r>
        <w:rPr>
          <w:vertAlign w:val="superscript"/>
        </w:rPr>
        <w:t>3</w:t>
      </w:r>
      <w:r>
        <w:rPr>
          <w:rFonts w:hint="eastAsia"/>
        </w:rPr>
        <w:t>，符合《饮食业油烟排放标准》（</w:t>
      </w:r>
      <w:r>
        <w:rPr>
          <w:rFonts w:hint="eastAsia"/>
        </w:rPr>
        <w:t>GB18483-2001</w:t>
      </w:r>
      <w:r>
        <w:rPr>
          <w:rFonts w:hint="eastAsia"/>
        </w:rPr>
        <w:t>）中的要求。</w:t>
      </w:r>
    </w:p>
    <w:p w14:paraId="3BFCD828" w14:textId="77777777" w:rsidR="005A1A44" w:rsidRDefault="0008059E">
      <w:pPr>
        <w:ind w:firstLine="480"/>
      </w:pPr>
      <w:r>
        <w:rPr>
          <w:rFonts w:hint="eastAsia"/>
        </w:rPr>
        <w:t>（</w:t>
      </w:r>
      <w:r>
        <w:rPr>
          <w:rFonts w:hint="eastAsia"/>
        </w:rPr>
        <w:t>3</w:t>
      </w:r>
      <w:r>
        <w:rPr>
          <w:rFonts w:hint="eastAsia"/>
        </w:rPr>
        <w:t>）噪声污染源</w:t>
      </w:r>
    </w:p>
    <w:p w14:paraId="6DFD45F4" w14:textId="77777777" w:rsidR="005A1A44" w:rsidRDefault="0008059E">
      <w:pPr>
        <w:ind w:firstLine="480"/>
        <w:rPr>
          <w:rFonts w:ascii="宋体" w:eastAsia="宋体" w:hAnsi="宋体" w:cs="宋体" w:hint="eastAsia"/>
          <w:kern w:val="0"/>
        </w:rPr>
      </w:pPr>
      <w:r>
        <w:rPr>
          <w:rFonts w:ascii="宋体" w:eastAsia="宋体" w:hAnsi="宋体" w:cs="宋体"/>
          <w:kern w:val="0"/>
        </w:rPr>
        <w:t>根据工程施工组织设计,施工噪声主要来源于施工开挖、砂石料加工</w:t>
      </w:r>
      <w:r>
        <w:rPr>
          <w:rFonts w:ascii="宋体" w:eastAsia="宋体" w:hAnsi="宋体" w:cs="宋体" w:hint="eastAsia"/>
          <w:kern w:val="0"/>
        </w:rPr>
        <w:t>，</w:t>
      </w:r>
      <w:r>
        <w:rPr>
          <w:rFonts w:ascii="宋体" w:eastAsia="宋体" w:hAnsi="宋体" w:cs="宋体"/>
          <w:kern w:val="0"/>
        </w:rPr>
        <w:t>混凝土拌合、机械运行和车辆运输,噪声源可分为连续稳态噪声源和流动噪声源</w:t>
      </w:r>
      <w:r>
        <w:rPr>
          <w:rFonts w:ascii="宋体" w:eastAsia="宋体" w:hAnsi="宋体" w:cs="宋体" w:hint="eastAsia"/>
          <w:kern w:val="0"/>
        </w:rPr>
        <w:t>，</w:t>
      </w:r>
      <w:r>
        <w:rPr>
          <w:rFonts w:ascii="宋体" w:eastAsia="宋体" w:hAnsi="宋体" w:cs="宋体"/>
          <w:kern w:val="0"/>
        </w:rPr>
        <w:t>前者以搅拌机、其它各类机泵的噪声为主</w:t>
      </w:r>
      <w:r>
        <w:rPr>
          <w:rFonts w:ascii="宋体" w:eastAsia="宋体" w:hAnsi="宋体" w:cs="宋体" w:hint="eastAsia"/>
          <w:kern w:val="0"/>
        </w:rPr>
        <w:t>，</w:t>
      </w:r>
      <w:r>
        <w:rPr>
          <w:rFonts w:ascii="宋体" w:eastAsia="宋体" w:hAnsi="宋体" w:cs="宋体"/>
          <w:kern w:val="0"/>
        </w:rPr>
        <w:t>后者主要是机动车辆、挖掘机及其它作业设备造成的噪声。工程施工噪声随施工结束而消失。</w:t>
      </w:r>
    </w:p>
    <w:p w14:paraId="28719029" w14:textId="77777777" w:rsidR="005A1A44" w:rsidRDefault="0008059E">
      <w:pPr>
        <w:ind w:firstLineChars="224" w:firstLine="538"/>
      </w:pPr>
      <w:r>
        <w:lastRenderedPageBreak/>
        <w:t>主要噪声影响工序如下：</w:t>
      </w:r>
    </w:p>
    <w:p w14:paraId="27B44BBD" w14:textId="77777777" w:rsidR="005A1A44" w:rsidRDefault="0008059E">
      <w:pPr>
        <w:ind w:firstLineChars="224" w:firstLine="538"/>
      </w:pPr>
      <w:r>
        <w:t>（</w:t>
      </w:r>
      <w:r>
        <w:t>1</w:t>
      </w:r>
      <w:r>
        <w:t>）工程建设中所需的砂、石、土等材料采集、筛选、装卸、运输等工序；</w:t>
      </w:r>
    </w:p>
    <w:p w14:paraId="4ACA5924" w14:textId="77777777" w:rsidR="005A1A44" w:rsidRDefault="0008059E">
      <w:pPr>
        <w:ind w:firstLineChars="224" w:firstLine="538"/>
      </w:pPr>
      <w:r>
        <w:t>（</w:t>
      </w:r>
      <w:r>
        <w:t>2</w:t>
      </w:r>
      <w:r>
        <w:t>）钢筋、水泥等外购材料的装卸、运输等工序；</w:t>
      </w:r>
    </w:p>
    <w:p w14:paraId="4FCA9EDB" w14:textId="77777777" w:rsidR="005A1A44" w:rsidRDefault="0008059E">
      <w:pPr>
        <w:ind w:firstLineChars="224" w:firstLine="538"/>
      </w:pPr>
      <w:r>
        <w:t>（</w:t>
      </w:r>
      <w:r>
        <w:t>3</w:t>
      </w:r>
      <w:r>
        <w:t>）工程建设的挖掘、混凝土施工、回填、平整及压实等工序；</w:t>
      </w:r>
    </w:p>
    <w:p w14:paraId="2B3D1D2A" w14:textId="77777777" w:rsidR="005A1A44" w:rsidRDefault="0008059E">
      <w:pPr>
        <w:ind w:firstLineChars="224" w:firstLine="538"/>
      </w:pPr>
      <w:r>
        <w:t>（</w:t>
      </w:r>
      <w:r>
        <w:t>4</w:t>
      </w:r>
      <w:r>
        <w:t>）施工建设过程中的土石方作业等工序；</w:t>
      </w:r>
    </w:p>
    <w:p w14:paraId="6294936C" w14:textId="77777777" w:rsidR="005A1A44" w:rsidRDefault="0008059E">
      <w:pPr>
        <w:ind w:firstLineChars="224" w:firstLine="538"/>
      </w:pPr>
      <w:r>
        <w:t>（</w:t>
      </w:r>
      <w:r>
        <w:t>5</w:t>
      </w:r>
      <w:r>
        <w:t>）建筑垃圾及废弃土石方的清理、运输及处置等工序。</w:t>
      </w:r>
    </w:p>
    <w:p w14:paraId="78E874CA" w14:textId="77777777" w:rsidR="005A1A44" w:rsidRDefault="0008059E">
      <w:pPr>
        <w:ind w:firstLine="480"/>
      </w:pPr>
      <w:r>
        <w:rPr>
          <w:rFonts w:ascii="宋体" w:eastAsia="宋体" w:hAnsi="宋体" w:cs="宋体"/>
          <w:kern w:val="0"/>
        </w:rPr>
        <w:t>工程施工期工地主要噪声设备噪声级统计见表</w:t>
      </w:r>
      <w:r>
        <w:rPr>
          <w:rFonts w:ascii="宋体" w:eastAsia="宋体" w:hAnsi="宋体" w:cs="宋体" w:hint="eastAsia"/>
          <w:kern w:val="0"/>
        </w:rPr>
        <w:t>3.6-6</w:t>
      </w:r>
      <w:r>
        <w:rPr>
          <w:rFonts w:ascii="宋体" w:eastAsia="宋体" w:hAnsi="宋体" w:cs="宋体"/>
          <w:kern w:val="0"/>
        </w:rPr>
        <w:t>。</w:t>
      </w:r>
    </w:p>
    <w:p w14:paraId="08D5726E"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t>表3.6-6   声源类型施工机械噪声级统计表</w:t>
      </w:r>
    </w:p>
    <w:tbl>
      <w:tblPr>
        <w:tblStyle w:val="af"/>
        <w:tblW w:w="8850" w:type="dxa"/>
        <w:tblLayout w:type="fixed"/>
        <w:tblLook w:val="04A0" w:firstRow="1" w:lastRow="0" w:firstColumn="1" w:lastColumn="0" w:noHBand="0" w:noVBand="1"/>
      </w:tblPr>
      <w:tblGrid>
        <w:gridCol w:w="2212"/>
        <w:gridCol w:w="2212"/>
        <w:gridCol w:w="2213"/>
        <w:gridCol w:w="2213"/>
      </w:tblGrid>
      <w:tr w:rsidR="005A1A44" w14:paraId="04308B34" w14:textId="77777777">
        <w:trPr>
          <w:trHeight w:val="90"/>
        </w:trPr>
        <w:tc>
          <w:tcPr>
            <w:tcW w:w="2212" w:type="dxa"/>
            <w:vAlign w:val="center"/>
          </w:tcPr>
          <w:p w14:paraId="7F93A1FA"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声源类型</w:t>
            </w:r>
          </w:p>
        </w:tc>
        <w:tc>
          <w:tcPr>
            <w:tcW w:w="2212" w:type="dxa"/>
            <w:vAlign w:val="center"/>
          </w:tcPr>
          <w:p w14:paraId="5DB9E09D"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kern w:val="0"/>
              </w:rPr>
              <w:t>设备名称</w:t>
            </w:r>
          </w:p>
        </w:tc>
        <w:tc>
          <w:tcPr>
            <w:tcW w:w="2213" w:type="dxa"/>
            <w:vAlign w:val="center"/>
          </w:tcPr>
          <w:p w14:paraId="3EEADD59"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kern w:val="0"/>
              </w:rPr>
              <w:t>单机噪声级(dB)</w:t>
            </w:r>
          </w:p>
        </w:tc>
        <w:tc>
          <w:tcPr>
            <w:tcW w:w="2213" w:type="dxa"/>
            <w:vAlign w:val="center"/>
          </w:tcPr>
          <w:p w14:paraId="533A71E7"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kern w:val="0"/>
              </w:rPr>
              <w:t>影响区域</w:t>
            </w:r>
          </w:p>
        </w:tc>
      </w:tr>
      <w:tr w:rsidR="005A1A44" w14:paraId="2FFBCEA3" w14:textId="77777777">
        <w:trPr>
          <w:trHeight w:val="90"/>
        </w:trPr>
        <w:tc>
          <w:tcPr>
            <w:tcW w:w="2212" w:type="dxa"/>
            <w:vMerge w:val="restart"/>
            <w:vAlign w:val="center"/>
          </w:tcPr>
          <w:p w14:paraId="55590D07"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kern w:val="0"/>
              </w:rPr>
              <w:t>点源</w:t>
            </w:r>
          </w:p>
        </w:tc>
        <w:tc>
          <w:tcPr>
            <w:tcW w:w="2212" w:type="dxa"/>
            <w:vAlign w:val="center"/>
          </w:tcPr>
          <w:p w14:paraId="545595CA"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kern w:val="0"/>
              </w:rPr>
              <w:t>破碎机</w:t>
            </w:r>
          </w:p>
        </w:tc>
        <w:tc>
          <w:tcPr>
            <w:tcW w:w="2213" w:type="dxa"/>
            <w:vAlign w:val="center"/>
          </w:tcPr>
          <w:p w14:paraId="726054D3"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kern w:val="0"/>
              </w:rPr>
              <w:t>80</w:t>
            </w:r>
            <w:r>
              <w:rPr>
                <w:rFonts w:asciiTheme="majorHAnsi" w:eastAsia="宋体" w:hAnsi="宋体" w:cs="宋体"/>
                <w:kern w:val="0"/>
              </w:rPr>
              <w:t>~</w:t>
            </w:r>
            <w:r>
              <w:rPr>
                <w:rFonts w:ascii="宋体" w:eastAsia="宋体" w:hAnsi="宋体" w:cs="宋体"/>
                <w:kern w:val="0"/>
              </w:rPr>
              <w:t>100</w:t>
            </w:r>
          </w:p>
        </w:tc>
        <w:tc>
          <w:tcPr>
            <w:tcW w:w="2213" w:type="dxa"/>
            <w:vMerge w:val="restart"/>
            <w:vAlign w:val="center"/>
          </w:tcPr>
          <w:p w14:paraId="74A318D0"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kern w:val="0"/>
              </w:rPr>
              <w:t>主体工程施工区</w:t>
            </w:r>
          </w:p>
        </w:tc>
      </w:tr>
      <w:tr w:rsidR="005A1A44" w14:paraId="1E04E536" w14:textId="77777777">
        <w:tc>
          <w:tcPr>
            <w:tcW w:w="2212" w:type="dxa"/>
            <w:vMerge/>
            <w:vAlign w:val="center"/>
          </w:tcPr>
          <w:p w14:paraId="6A330C6B" w14:textId="77777777" w:rsidR="005A1A44" w:rsidRDefault="005A1A44">
            <w:pPr>
              <w:spacing w:line="240" w:lineRule="auto"/>
              <w:ind w:firstLineChars="0" w:firstLine="0"/>
              <w:jc w:val="center"/>
              <w:rPr>
                <w:rFonts w:ascii="宋体" w:eastAsia="宋体" w:hAnsi="宋体" w:cs="宋体" w:hint="eastAsia"/>
                <w:kern w:val="0"/>
              </w:rPr>
            </w:pPr>
          </w:p>
        </w:tc>
        <w:tc>
          <w:tcPr>
            <w:tcW w:w="2212" w:type="dxa"/>
            <w:vAlign w:val="center"/>
          </w:tcPr>
          <w:p w14:paraId="43705078"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挖掘机</w:t>
            </w:r>
          </w:p>
        </w:tc>
        <w:tc>
          <w:tcPr>
            <w:tcW w:w="2213" w:type="dxa"/>
            <w:vAlign w:val="center"/>
          </w:tcPr>
          <w:p w14:paraId="46CBDF24"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96</w:t>
            </w:r>
          </w:p>
        </w:tc>
        <w:tc>
          <w:tcPr>
            <w:tcW w:w="2213" w:type="dxa"/>
            <w:vMerge/>
            <w:vAlign w:val="center"/>
          </w:tcPr>
          <w:p w14:paraId="163C2FDD" w14:textId="77777777" w:rsidR="005A1A44" w:rsidRDefault="005A1A44">
            <w:pPr>
              <w:spacing w:line="240" w:lineRule="auto"/>
              <w:ind w:firstLineChars="0" w:firstLine="0"/>
              <w:jc w:val="center"/>
              <w:rPr>
                <w:rFonts w:ascii="宋体" w:eastAsia="宋体" w:hAnsi="宋体" w:cs="宋体" w:hint="eastAsia"/>
                <w:kern w:val="0"/>
              </w:rPr>
            </w:pPr>
          </w:p>
        </w:tc>
      </w:tr>
      <w:tr w:rsidR="005A1A44" w14:paraId="71D282F8" w14:textId="77777777">
        <w:tc>
          <w:tcPr>
            <w:tcW w:w="2212" w:type="dxa"/>
            <w:vMerge/>
            <w:vAlign w:val="center"/>
          </w:tcPr>
          <w:p w14:paraId="3CDA1DBC" w14:textId="77777777" w:rsidR="005A1A44" w:rsidRDefault="005A1A44">
            <w:pPr>
              <w:spacing w:line="240" w:lineRule="auto"/>
              <w:ind w:firstLineChars="0" w:firstLine="0"/>
              <w:jc w:val="center"/>
              <w:rPr>
                <w:rFonts w:ascii="宋体" w:eastAsia="宋体" w:hAnsi="宋体" w:cs="宋体" w:hint="eastAsia"/>
                <w:kern w:val="0"/>
              </w:rPr>
            </w:pPr>
          </w:p>
        </w:tc>
        <w:tc>
          <w:tcPr>
            <w:tcW w:w="2212" w:type="dxa"/>
            <w:vAlign w:val="center"/>
          </w:tcPr>
          <w:p w14:paraId="16B39C53"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风钻</w:t>
            </w:r>
          </w:p>
        </w:tc>
        <w:tc>
          <w:tcPr>
            <w:tcW w:w="2213" w:type="dxa"/>
            <w:vAlign w:val="center"/>
          </w:tcPr>
          <w:p w14:paraId="0380ECA1"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120</w:t>
            </w:r>
          </w:p>
        </w:tc>
        <w:tc>
          <w:tcPr>
            <w:tcW w:w="2213" w:type="dxa"/>
            <w:vMerge/>
            <w:vAlign w:val="center"/>
          </w:tcPr>
          <w:p w14:paraId="0402931D" w14:textId="77777777" w:rsidR="005A1A44" w:rsidRDefault="005A1A44">
            <w:pPr>
              <w:spacing w:line="240" w:lineRule="auto"/>
              <w:ind w:firstLineChars="0" w:firstLine="0"/>
              <w:jc w:val="center"/>
              <w:rPr>
                <w:rFonts w:ascii="宋体" w:eastAsia="宋体" w:hAnsi="宋体" w:cs="宋体" w:hint="eastAsia"/>
                <w:kern w:val="0"/>
              </w:rPr>
            </w:pPr>
          </w:p>
        </w:tc>
      </w:tr>
      <w:tr w:rsidR="005A1A44" w14:paraId="79129E0E" w14:textId="77777777">
        <w:trPr>
          <w:trHeight w:val="354"/>
        </w:trPr>
        <w:tc>
          <w:tcPr>
            <w:tcW w:w="2212" w:type="dxa"/>
            <w:vMerge/>
            <w:vAlign w:val="center"/>
          </w:tcPr>
          <w:p w14:paraId="33F75037" w14:textId="77777777" w:rsidR="005A1A44" w:rsidRDefault="005A1A44">
            <w:pPr>
              <w:spacing w:line="240" w:lineRule="auto"/>
              <w:ind w:firstLineChars="0" w:firstLine="0"/>
              <w:jc w:val="center"/>
              <w:rPr>
                <w:rFonts w:ascii="宋体" w:eastAsia="宋体" w:hAnsi="宋体" w:cs="宋体" w:hint="eastAsia"/>
                <w:kern w:val="0"/>
              </w:rPr>
            </w:pPr>
          </w:p>
        </w:tc>
        <w:tc>
          <w:tcPr>
            <w:tcW w:w="2212" w:type="dxa"/>
            <w:vAlign w:val="center"/>
          </w:tcPr>
          <w:p w14:paraId="31CD2C04"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装载机</w:t>
            </w:r>
          </w:p>
        </w:tc>
        <w:tc>
          <w:tcPr>
            <w:tcW w:w="2213" w:type="dxa"/>
            <w:vAlign w:val="center"/>
          </w:tcPr>
          <w:p w14:paraId="271E6DB8"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112</w:t>
            </w:r>
          </w:p>
        </w:tc>
        <w:tc>
          <w:tcPr>
            <w:tcW w:w="2213" w:type="dxa"/>
            <w:vMerge/>
            <w:vAlign w:val="center"/>
          </w:tcPr>
          <w:p w14:paraId="556404A2" w14:textId="77777777" w:rsidR="005A1A44" w:rsidRDefault="005A1A44">
            <w:pPr>
              <w:spacing w:line="240" w:lineRule="auto"/>
              <w:ind w:firstLineChars="0" w:firstLine="0"/>
              <w:jc w:val="center"/>
              <w:rPr>
                <w:rFonts w:ascii="宋体" w:eastAsia="宋体" w:hAnsi="宋体" w:cs="宋体" w:hint="eastAsia"/>
                <w:kern w:val="0"/>
              </w:rPr>
            </w:pPr>
          </w:p>
        </w:tc>
      </w:tr>
      <w:tr w:rsidR="005A1A44" w14:paraId="774A945F" w14:textId="77777777">
        <w:tc>
          <w:tcPr>
            <w:tcW w:w="2212" w:type="dxa"/>
            <w:vMerge/>
            <w:vAlign w:val="center"/>
          </w:tcPr>
          <w:p w14:paraId="5A466BCE" w14:textId="77777777" w:rsidR="005A1A44" w:rsidRDefault="005A1A44">
            <w:pPr>
              <w:spacing w:line="240" w:lineRule="auto"/>
              <w:ind w:firstLineChars="0" w:firstLine="0"/>
              <w:jc w:val="center"/>
              <w:rPr>
                <w:rFonts w:ascii="宋体" w:eastAsia="宋体" w:hAnsi="宋体" w:cs="宋体" w:hint="eastAsia"/>
                <w:kern w:val="0"/>
              </w:rPr>
            </w:pPr>
          </w:p>
        </w:tc>
        <w:tc>
          <w:tcPr>
            <w:tcW w:w="2212" w:type="dxa"/>
            <w:vAlign w:val="center"/>
          </w:tcPr>
          <w:p w14:paraId="5AA2AD41"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混凝土搅拌机</w:t>
            </w:r>
          </w:p>
        </w:tc>
        <w:tc>
          <w:tcPr>
            <w:tcW w:w="2213" w:type="dxa"/>
            <w:vAlign w:val="center"/>
          </w:tcPr>
          <w:p w14:paraId="2DDD7446"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90</w:t>
            </w:r>
            <w:r>
              <w:rPr>
                <w:rFonts w:asciiTheme="majorHAnsi" w:eastAsia="宋体" w:hAnsi="宋体" w:cs="宋体"/>
                <w:kern w:val="0"/>
              </w:rPr>
              <w:t>~</w:t>
            </w:r>
            <w:r>
              <w:rPr>
                <w:rFonts w:asciiTheme="majorHAnsi" w:eastAsia="宋体" w:hAnsi="宋体" w:cs="宋体" w:hint="eastAsia"/>
                <w:kern w:val="0"/>
              </w:rPr>
              <w:t>110</w:t>
            </w:r>
          </w:p>
        </w:tc>
        <w:tc>
          <w:tcPr>
            <w:tcW w:w="2213" w:type="dxa"/>
            <w:vMerge w:val="restart"/>
            <w:vAlign w:val="center"/>
          </w:tcPr>
          <w:p w14:paraId="23C27D38"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施工生产区</w:t>
            </w:r>
          </w:p>
        </w:tc>
      </w:tr>
      <w:tr w:rsidR="005A1A44" w14:paraId="3BAC6E80" w14:textId="77777777">
        <w:tc>
          <w:tcPr>
            <w:tcW w:w="2212" w:type="dxa"/>
            <w:vMerge/>
            <w:vAlign w:val="center"/>
          </w:tcPr>
          <w:p w14:paraId="032B0836" w14:textId="77777777" w:rsidR="005A1A44" w:rsidRDefault="005A1A44">
            <w:pPr>
              <w:spacing w:line="240" w:lineRule="auto"/>
              <w:ind w:firstLineChars="0" w:firstLine="0"/>
              <w:jc w:val="center"/>
              <w:rPr>
                <w:rFonts w:ascii="宋体" w:eastAsia="宋体" w:hAnsi="宋体" w:cs="宋体" w:hint="eastAsia"/>
                <w:kern w:val="0"/>
              </w:rPr>
            </w:pPr>
          </w:p>
        </w:tc>
        <w:tc>
          <w:tcPr>
            <w:tcW w:w="2212" w:type="dxa"/>
            <w:vAlign w:val="center"/>
          </w:tcPr>
          <w:p w14:paraId="24E6B14C"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综合加工噪声</w:t>
            </w:r>
          </w:p>
        </w:tc>
        <w:tc>
          <w:tcPr>
            <w:tcW w:w="2213" w:type="dxa"/>
            <w:vAlign w:val="center"/>
          </w:tcPr>
          <w:p w14:paraId="412C747F"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105</w:t>
            </w:r>
          </w:p>
        </w:tc>
        <w:tc>
          <w:tcPr>
            <w:tcW w:w="2213" w:type="dxa"/>
            <w:vMerge/>
            <w:vAlign w:val="center"/>
          </w:tcPr>
          <w:p w14:paraId="617E0C58" w14:textId="77777777" w:rsidR="005A1A44" w:rsidRDefault="005A1A44">
            <w:pPr>
              <w:spacing w:line="240" w:lineRule="auto"/>
              <w:ind w:firstLineChars="0" w:firstLine="0"/>
              <w:jc w:val="center"/>
              <w:rPr>
                <w:rFonts w:ascii="宋体" w:eastAsia="宋体" w:hAnsi="宋体" w:cs="宋体" w:hint="eastAsia"/>
                <w:kern w:val="0"/>
              </w:rPr>
            </w:pPr>
          </w:p>
        </w:tc>
      </w:tr>
      <w:tr w:rsidR="005A1A44" w14:paraId="46C28ACA" w14:textId="77777777">
        <w:tc>
          <w:tcPr>
            <w:tcW w:w="2212" w:type="dxa"/>
            <w:vMerge/>
            <w:vAlign w:val="center"/>
          </w:tcPr>
          <w:p w14:paraId="6117F8DE" w14:textId="77777777" w:rsidR="005A1A44" w:rsidRDefault="005A1A44">
            <w:pPr>
              <w:spacing w:line="240" w:lineRule="auto"/>
              <w:ind w:firstLineChars="0" w:firstLine="0"/>
              <w:jc w:val="center"/>
              <w:rPr>
                <w:rFonts w:ascii="宋体" w:eastAsia="宋体" w:hAnsi="宋体" w:cs="宋体" w:hint="eastAsia"/>
                <w:kern w:val="0"/>
              </w:rPr>
            </w:pPr>
          </w:p>
        </w:tc>
        <w:tc>
          <w:tcPr>
            <w:tcW w:w="2212" w:type="dxa"/>
            <w:vAlign w:val="center"/>
          </w:tcPr>
          <w:p w14:paraId="6FB34AB7"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打桩机</w:t>
            </w:r>
          </w:p>
        </w:tc>
        <w:tc>
          <w:tcPr>
            <w:tcW w:w="2213" w:type="dxa"/>
            <w:vAlign w:val="center"/>
          </w:tcPr>
          <w:p w14:paraId="4C46482A"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98</w:t>
            </w:r>
            <w:r>
              <w:rPr>
                <w:rFonts w:asciiTheme="majorHAnsi" w:eastAsia="宋体" w:hAnsi="宋体" w:cs="宋体"/>
                <w:kern w:val="0"/>
              </w:rPr>
              <w:t>~</w:t>
            </w:r>
            <w:r>
              <w:rPr>
                <w:rFonts w:asciiTheme="majorHAnsi" w:eastAsia="宋体" w:hAnsi="宋体" w:cs="宋体" w:hint="eastAsia"/>
                <w:kern w:val="0"/>
              </w:rPr>
              <w:t>112</w:t>
            </w:r>
          </w:p>
        </w:tc>
        <w:tc>
          <w:tcPr>
            <w:tcW w:w="2213" w:type="dxa"/>
            <w:vAlign w:val="center"/>
          </w:tcPr>
          <w:p w14:paraId="3F4B4C7F"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kern w:val="0"/>
              </w:rPr>
              <w:t>主体工程施工区</w:t>
            </w:r>
          </w:p>
        </w:tc>
      </w:tr>
      <w:tr w:rsidR="005A1A44" w14:paraId="2A28DE9A" w14:textId="77777777">
        <w:tc>
          <w:tcPr>
            <w:tcW w:w="2212" w:type="dxa"/>
            <w:vMerge w:val="restart"/>
            <w:vAlign w:val="center"/>
          </w:tcPr>
          <w:p w14:paraId="30533B61"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线源</w:t>
            </w:r>
          </w:p>
        </w:tc>
        <w:tc>
          <w:tcPr>
            <w:tcW w:w="2212" w:type="dxa"/>
            <w:vAlign w:val="center"/>
          </w:tcPr>
          <w:p w14:paraId="0419C378"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重型载重汽车</w:t>
            </w:r>
          </w:p>
        </w:tc>
        <w:tc>
          <w:tcPr>
            <w:tcW w:w="2213" w:type="dxa"/>
            <w:vAlign w:val="center"/>
          </w:tcPr>
          <w:p w14:paraId="6B6C9427"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84</w:t>
            </w:r>
            <w:r>
              <w:rPr>
                <w:rFonts w:asciiTheme="majorHAnsi" w:eastAsia="宋体" w:hAnsi="宋体" w:cs="宋体"/>
                <w:kern w:val="0"/>
              </w:rPr>
              <w:t>~</w:t>
            </w:r>
            <w:r>
              <w:rPr>
                <w:rFonts w:asciiTheme="majorHAnsi" w:eastAsia="宋体" w:hAnsi="宋体" w:cs="宋体" w:hint="eastAsia"/>
                <w:kern w:val="0"/>
              </w:rPr>
              <w:t>89</w:t>
            </w:r>
          </w:p>
        </w:tc>
        <w:tc>
          <w:tcPr>
            <w:tcW w:w="2213" w:type="dxa"/>
            <w:vMerge w:val="restart"/>
            <w:vAlign w:val="center"/>
          </w:tcPr>
          <w:p w14:paraId="3F7C99E6"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所有施工区</w:t>
            </w:r>
          </w:p>
        </w:tc>
      </w:tr>
      <w:tr w:rsidR="005A1A44" w14:paraId="30CCA821" w14:textId="77777777">
        <w:tc>
          <w:tcPr>
            <w:tcW w:w="2212" w:type="dxa"/>
            <w:vMerge/>
            <w:vAlign w:val="center"/>
          </w:tcPr>
          <w:p w14:paraId="7CF08FCF" w14:textId="77777777" w:rsidR="005A1A44" w:rsidRDefault="005A1A44">
            <w:pPr>
              <w:spacing w:line="240" w:lineRule="auto"/>
              <w:ind w:firstLineChars="0" w:firstLine="0"/>
              <w:jc w:val="center"/>
              <w:rPr>
                <w:rFonts w:ascii="宋体" w:eastAsia="宋体" w:hAnsi="宋体" w:cs="宋体" w:hint="eastAsia"/>
                <w:kern w:val="0"/>
              </w:rPr>
            </w:pPr>
          </w:p>
        </w:tc>
        <w:tc>
          <w:tcPr>
            <w:tcW w:w="2212" w:type="dxa"/>
            <w:vAlign w:val="center"/>
          </w:tcPr>
          <w:p w14:paraId="33C9FE8C"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中型载重汽车</w:t>
            </w:r>
          </w:p>
        </w:tc>
        <w:tc>
          <w:tcPr>
            <w:tcW w:w="2213" w:type="dxa"/>
            <w:vAlign w:val="center"/>
          </w:tcPr>
          <w:p w14:paraId="67370E8F"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79</w:t>
            </w:r>
            <w:r>
              <w:rPr>
                <w:rFonts w:asciiTheme="majorHAnsi" w:eastAsia="宋体" w:hAnsi="宋体" w:cs="宋体"/>
                <w:kern w:val="0"/>
              </w:rPr>
              <w:t>~</w:t>
            </w:r>
            <w:r>
              <w:rPr>
                <w:rFonts w:asciiTheme="majorHAnsi" w:eastAsia="宋体" w:hAnsi="宋体" w:cs="宋体" w:hint="eastAsia"/>
                <w:kern w:val="0"/>
              </w:rPr>
              <w:t>85</w:t>
            </w:r>
          </w:p>
        </w:tc>
        <w:tc>
          <w:tcPr>
            <w:tcW w:w="2213" w:type="dxa"/>
            <w:vMerge/>
            <w:vAlign w:val="center"/>
          </w:tcPr>
          <w:p w14:paraId="46366BA6" w14:textId="77777777" w:rsidR="005A1A44" w:rsidRDefault="005A1A44">
            <w:pPr>
              <w:spacing w:line="240" w:lineRule="auto"/>
              <w:ind w:firstLineChars="0" w:firstLine="0"/>
              <w:jc w:val="center"/>
              <w:rPr>
                <w:rFonts w:ascii="宋体" w:eastAsia="宋体" w:hAnsi="宋体" w:cs="宋体" w:hint="eastAsia"/>
                <w:kern w:val="0"/>
              </w:rPr>
            </w:pPr>
          </w:p>
        </w:tc>
      </w:tr>
      <w:tr w:rsidR="005A1A44" w14:paraId="57472D8C" w14:textId="77777777">
        <w:tc>
          <w:tcPr>
            <w:tcW w:w="2212" w:type="dxa"/>
            <w:vMerge/>
            <w:vAlign w:val="center"/>
          </w:tcPr>
          <w:p w14:paraId="365AD840" w14:textId="77777777" w:rsidR="005A1A44" w:rsidRDefault="005A1A44">
            <w:pPr>
              <w:spacing w:line="240" w:lineRule="auto"/>
              <w:ind w:firstLineChars="0" w:firstLine="0"/>
              <w:jc w:val="center"/>
              <w:rPr>
                <w:rFonts w:ascii="宋体" w:eastAsia="宋体" w:hAnsi="宋体" w:cs="宋体" w:hint="eastAsia"/>
                <w:kern w:val="0"/>
              </w:rPr>
            </w:pPr>
          </w:p>
        </w:tc>
        <w:tc>
          <w:tcPr>
            <w:tcW w:w="2212" w:type="dxa"/>
            <w:vAlign w:val="center"/>
          </w:tcPr>
          <w:p w14:paraId="5626D60E"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轻型载重汽车</w:t>
            </w:r>
          </w:p>
        </w:tc>
        <w:tc>
          <w:tcPr>
            <w:tcW w:w="2213" w:type="dxa"/>
            <w:vAlign w:val="center"/>
          </w:tcPr>
          <w:p w14:paraId="2AEEC9E1"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76</w:t>
            </w:r>
            <w:r>
              <w:rPr>
                <w:rFonts w:asciiTheme="majorHAnsi" w:eastAsia="宋体" w:hAnsi="宋体" w:cs="宋体"/>
                <w:kern w:val="0"/>
              </w:rPr>
              <w:t>~</w:t>
            </w:r>
            <w:r>
              <w:rPr>
                <w:rFonts w:asciiTheme="majorHAnsi" w:eastAsia="宋体" w:hAnsi="宋体" w:cs="宋体" w:hint="eastAsia"/>
                <w:kern w:val="0"/>
              </w:rPr>
              <w:t>84</w:t>
            </w:r>
          </w:p>
        </w:tc>
        <w:tc>
          <w:tcPr>
            <w:tcW w:w="2213" w:type="dxa"/>
            <w:vMerge/>
            <w:vAlign w:val="center"/>
          </w:tcPr>
          <w:p w14:paraId="25C37AB5" w14:textId="77777777" w:rsidR="005A1A44" w:rsidRDefault="005A1A44">
            <w:pPr>
              <w:spacing w:line="240" w:lineRule="auto"/>
              <w:ind w:firstLineChars="0" w:firstLine="0"/>
              <w:jc w:val="center"/>
              <w:rPr>
                <w:rFonts w:ascii="宋体" w:eastAsia="宋体" w:hAnsi="宋体" w:cs="宋体" w:hint="eastAsia"/>
                <w:kern w:val="0"/>
              </w:rPr>
            </w:pPr>
          </w:p>
        </w:tc>
      </w:tr>
      <w:tr w:rsidR="005A1A44" w14:paraId="1701C33F" w14:textId="77777777">
        <w:tc>
          <w:tcPr>
            <w:tcW w:w="2212" w:type="dxa"/>
            <w:vMerge/>
            <w:vAlign w:val="center"/>
          </w:tcPr>
          <w:p w14:paraId="60AB2BC0" w14:textId="77777777" w:rsidR="005A1A44" w:rsidRDefault="005A1A44">
            <w:pPr>
              <w:spacing w:line="240" w:lineRule="auto"/>
              <w:ind w:firstLineChars="0" w:firstLine="0"/>
              <w:jc w:val="center"/>
              <w:rPr>
                <w:rFonts w:ascii="宋体" w:eastAsia="宋体" w:hAnsi="宋体" w:cs="宋体" w:hint="eastAsia"/>
                <w:kern w:val="0"/>
              </w:rPr>
            </w:pPr>
          </w:p>
        </w:tc>
        <w:tc>
          <w:tcPr>
            <w:tcW w:w="2212" w:type="dxa"/>
            <w:vAlign w:val="center"/>
          </w:tcPr>
          <w:p w14:paraId="21BA4110"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铲土机</w:t>
            </w:r>
          </w:p>
        </w:tc>
        <w:tc>
          <w:tcPr>
            <w:tcW w:w="2213" w:type="dxa"/>
            <w:vAlign w:val="center"/>
          </w:tcPr>
          <w:p w14:paraId="015ED444"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96</w:t>
            </w:r>
          </w:p>
        </w:tc>
        <w:tc>
          <w:tcPr>
            <w:tcW w:w="2213" w:type="dxa"/>
            <w:vMerge/>
            <w:vAlign w:val="center"/>
          </w:tcPr>
          <w:p w14:paraId="2E01D2D3" w14:textId="77777777" w:rsidR="005A1A44" w:rsidRDefault="005A1A44">
            <w:pPr>
              <w:spacing w:line="240" w:lineRule="auto"/>
              <w:ind w:firstLineChars="0" w:firstLine="0"/>
              <w:jc w:val="center"/>
              <w:rPr>
                <w:rFonts w:ascii="宋体" w:eastAsia="宋体" w:hAnsi="宋体" w:cs="宋体" w:hint="eastAsia"/>
                <w:kern w:val="0"/>
              </w:rPr>
            </w:pPr>
          </w:p>
        </w:tc>
      </w:tr>
      <w:tr w:rsidR="005A1A44" w14:paraId="290880CE" w14:textId="77777777">
        <w:tc>
          <w:tcPr>
            <w:tcW w:w="2212" w:type="dxa"/>
            <w:vMerge/>
            <w:vAlign w:val="center"/>
          </w:tcPr>
          <w:p w14:paraId="39ABF7A7" w14:textId="77777777" w:rsidR="005A1A44" w:rsidRDefault="005A1A44">
            <w:pPr>
              <w:spacing w:line="240" w:lineRule="auto"/>
              <w:ind w:firstLineChars="0" w:firstLine="0"/>
              <w:jc w:val="center"/>
              <w:rPr>
                <w:rFonts w:ascii="宋体" w:eastAsia="宋体" w:hAnsi="宋体" w:cs="宋体" w:hint="eastAsia"/>
                <w:kern w:val="0"/>
              </w:rPr>
            </w:pPr>
          </w:p>
        </w:tc>
        <w:tc>
          <w:tcPr>
            <w:tcW w:w="2212" w:type="dxa"/>
            <w:vAlign w:val="center"/>
          </w:tcPr>
          <w:p w14:paraId="1548A6DD"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推土机</w:t>
            </w:r>
          </w:p>
        </w:tc>
        <w:tc>
          <w:tcPr>
            <w:tcW w:w="2213" w:type="dxa"/>
            <w:vAlign w:val="center"/>
          </w:tcPr>
          <w:p w14:paraId="1F361858" w14:textId="77777777" w:rsidR="005A1A44" w:rsidRDefault="0008059E">
            <w:pPr>
              <w:spacing w:line="240" w:lineRule="auto"/>
              <w:ind w:firstLineChars="0" w:firstLine="0"/>
              <w:jc w:val="center"/>
              <w:rPr>
                <w:rFonts w:ascii="宋体" w:eastAsia="宋体" w:hAnsi="宋体" w:cs="宋体" w:hint="eastAsia"/>
                <w:kern w:val="0"/>
              </w:rPr>
            </w:pPr>
            <w:r>
              <w:rPr>
                <w:rFonts w:ascii="宋体" w:eastAsia="宋体" w:hAnsi="宋体" w:cs="宋体" w:hint="eastAsia"/>
                <w:kern w:val="0"/>
              </w:rPr>
              <w:t>94</w:t>
            </w:r>
          </w:p>
        </w:tc>
        <w:tc>
          <w:tcPr>
            <w:tcW w:w="2213" w:type="dxa"/>
            <w:vMerge/>
            <w:vAlign w:val="center"/>
          </w:tcPr>
          <w:p w14:paraId="7950BA50" w14:textId="77777777" w:rsidR="005A1A44" w:rsidRDefault="005A1A44">
            <w:pPr>
              <w:spacing w:line="240" w:lineRule="auto"/>
              <w:ind w:firstLineChars="0" w:firstLine="0"/>
              <w:jc w:val="center"/>
              <w:rPr>
                <w:rFonts w:ascii="宋体" w:eastAsia="宋体" w:hAnsi="宋体" w:cs="宋体" w:hint="eastAsia"/>
                <w:kern w:val="0"/>
              </w:rPr>
            </w:pPr>
          </w:p>
        </w:tc>
      </w:tr>
    </w:tbl>
    <w:p w14:paraId="46422E7C" w14:textId="77777777" w:rsidR="005A1A44" w:rsidRDefault="005A1A44">
      <w:pPr>
        <w:ind w:firstLineChars="0" w:firstLine="0"/>
        <w:jc w:val="left"/>
        <w:rPr>
          <w:rFonts w:ascii="宋体" w:eastAsia="宋体" w:hAnsi="宋体" w:cs="宋体" w:hint="eastAsia"/>
          <w:kern w:val="0"/>
        </w:rPr>
      </w:pPr>
    </w:p>
    <w:p w14:paraId="73FE281B" w14:textId="77777777" w:rsidR="005A1A44" w:rsidRDefault="0008059E">
      <w:pPr>
        <w:ind w:firstLine="480"/>
      </w:pPr>
      <w:r>
        <w:rPr>
          <w:rFonts w:hint="eastAsia"/>
        </w:rPr>
        <w:t>①混凝土拌合系统噪声</w:t>
      </w:r>
    </w:p>
    <w:p w14:paraId="78558493" w14:textId="77777777" w:rsidR="005A1A44" w:rsidRDefault="0008059E">
      <w:pPr>
        <w:ind w:firstLine="480"/>
      </w:pPr>
      <w:r>
        <w:rPr>
          <w:rFonts w:hint="eastAsia"/>
        </w:rPr>
        <w:t>本工程混凝土拌合系统要求布设于河道施工场地内，混凝土拌合系统为固定、连续式噪声污染源，噪声源强为</w:t>
      </w:r>
      <w:r>
        <w:rPr>
          <w:rFonts w:hint="eastAsia"/>
        </w:rPr>
        <w:t>110dB(A)</w:t>
      </w:r>
      <w:r>
        <w:rPr>
          <w:rFonts w:hint="eastAsia"/>
        </w:rPr>
        <w:t>。工程施工区无居民，噪声影响对象为现场操作人员。根据混凝土拌合系统的生产班制，每天一班，每班</w:t>
      </w:r>
      <w:r>
        <w:rPr>
          <w:rFonts w:hint="eastAsia"/>
        </w:rPr>
        <w:t>8</w:t>
      </w:r>
      <w:r>
        <w:rPr>
          <w:rFonts w:hint="eastAsia"/>
        </w:rPr>
        <w:t>小时，则每班工人受混凝土拌合机械噪声影响长达</w:t>
      </w:r>
      <w:r>
        <w:rPr>
          <w:rFonts w:hint="eastAsia"/>
        </w:rPr>
        <w:t>8</w:t>
      </w:r>
      <w:r>
        <w:rPr>
          <w:rFonts w:hint="eastAsia"/>
        </w:rPr>
        <w:t>小时。</w:t>
      </w:r>
    </w:p>
    <w:p w14:paraId="03CBE37B" w14:textId="77777777" w:rsidR="005A1A44" w:rsidRDefault="0008059E">
      <w:pPr>
        <w:ind w:firstLine="480"/>
      </w:pPr>
      <w:r>
        <w:rPr>
          <w:rFonts w:hint="eastAsia"/>
        </w:rPr>
        <w:t>②施工机械噪声</w:t>
      </w:r>
    </w:p>
    <w:p w14:paraId="3FE2A4B3" w14:textId="77777777" w:rsidR="005A1A44" w:rsidRDefault="0008059E">
      <w:pPr>
        <w:ind w:firstLine="480"/>
      </w:pPr>
      <w:r>
        <w:rPr>
          <w:rFonts w:hint="eastAsia"/>
        </w:rPr>
        <w:t>机械噪声源主要来自于空压机、挖掘机、推土机、振捣及开挖与出渣等机械施工活动，主要位于主体工程施工区，作业面噪声值一般在</w:t>
      </w:r>
      <w:r>
        <w:rPr>
          <w:rFonts w:hint="eastAsia"/>
        </w:rPr>
        <w:t>94~112dB(A)</w:t>
      </w:r>
      <w:r>
        <w:rPr>
          <w:rFonts w:hint="eastAsia"/>
        </w:rPr>
        <w:t>之间。本工程主体工程施工区无环境敏感点，影响对象主要为现场施工人员。</w:t>
      </w:r>
    </w:p>
    <w:p w14:paraId="74D537A6" w14:textId="77777777" w:rsidR="005A1A44" w:rsidRDefault="0008059E">
      <w:pPr>
        <w:ind w:firstLine="480"/>
      </w:pPr>
      <w:r>
        <w:rPr>
          <w:rFonts w:hint="eastAsia"/>
        </w:rPr>
        <w:t>③交通噪声</w:t>
      </w:r>
    </w:p>
    <w:p w14:paraId="32C4C63A" w14:textId="77777777" w:rsidR="005A1A44" w:rsidRDefault="0008059E">
      <w:pPr>
        <w:ind w:firstLine="480"/>
        <w:rPr>
          <w:rFonts w:ascii="宋体" w:eastAsia="宋体" w:hAnsi="宋体" w:cs="宋体" w:hint="eastAsia"/>
          <w:kern w:val="0"/>
        </w:rPr>
      </w:pPr>
      <w:r>
        <w:rPr>
          <w:rFonts w:hint="eastAsia"/>
        </w:rPr>
        <w:lastRenderedPageBreak/>
        <w:t>交通噪声源强与运输车辆载重类型，汽车流量和行驶速度密切相关。工程</w:t>
      </w:r>
      <w:r>
        <w:rPr>
          <w:rFonts w:ascii="宋体" w:eastAsia="宋体" w:hAnsi="宋体" w:cs="宋体"/>
          <w:kern w:val="0"/>
        </w:rPr>
        <w:t>主要采用重型</w:t>
      </w:r>
      <w:r>
        <w:rPr>
          <w:rFonts w:ascii="宋体" w:eastAsia="宋体" w:hAnsi="宋体" w:cs="宋体" w:hint="eastAsia"/>
          <w:kern w:val="0"/>
        </w:rPr>
        <w:t>、重型</w:t>
      </w:r>
      <w:r>
        <w:rPr>
          <w:rFonts w:ascii="宋体" w:eastAsia="宋体" w:hAnsi="宋体" w:cs="宋体"/>
          <w:kern w:val="0"/>
        </w:rPr>
        <w:t>运输车辆</w:t>
      </w:r>
      <w:r>
        <w:rPr>
          <w:rFonts w:ascii="宋体" w:eastAsia="宋体" w:hAnsi="宋体" w:cs="宋体" w:hint="eastAsia"/>
          <w:kern w:val="0"/>
        </w:rPr>
        <w:t>，</w:t>
      </w:r>
      <w:r>
        <w:rPr>
          <w:rFonts w:ascii="宋体" w:eastAsia="宋体" w:hAnsi="宋体" w:cs="宋体"/>
          <w:kern w:val="0"/>
        </w:rPr>
        <w:t>其噪声高达84</w:t>
      </w:r>
      <w:r>
        <w:rPr>
          <w:rFonts w:asciiTheme="majorHAnsi" w:eastAsia="宋体" w:hAnsi="宋体" w:cs="宋体"/>
          <w:kern w:val="0"/>
        </w:rPr>
        <w:t>~</w:t>
      </w:r>
      <w:r>
        <w:rPr>
          <w:rFonts w:ascii="宋体" w:eastAsia="宋体" w:hAnsi="宋体" w:cs="宋体"/>
          <w:kern w:val="0"/>
        </w:rPr>
        <w:t>89dB(A)</w:t>
      </w:r>
      <w:r>
        <w:rPr>
          <w:rFonts w:ascii="宋体" w:eastAsia="宋体" w:hAnsi="宋体" w:cs="宋体" w:hint="eastAsia"/>
          <w:kern w:val="0"/>
        </w:rPr>
        <w:t>，</w:t>
      </w:r>
      <w:r>
        <w:rPr>
          <w:rFonts w:ascii="宋体" w:eastAsia="宋体" w:hAnsi="宋体" w:cs="宋体"/>
          <w:kern w:val="0"/>
        </w:rPr>
        <w:t>声源呈线性分布</w:t>
      </w:r>
      <w:r>
        <w:rPr>
          <w:rFonts w:ascii="宋体" w:eastAsia="宋体" w:hAnsi="宋体" w:cs="宋体" w:hint="eastAsia"/>
          <w:kern w:val="0"/>
        </w:rPr>
        <w:t>。</w:t>
      </w:r>
      <w:r>
        <w:rPr>
          <w:rFonts w:ascii="宋体" w:eastAsia="宋体" w:hAnsi="宋体" w:cs="宋体"/>
          <w:kern w:val="0"/>
        </w:rPr>
        <w:t>交通噪声源强与运输车辆载重类型、汽车流量和行驶速度密切相关</w:t>
      </w:r>
      <w:r>
        <w:rPr>
          <w:rFonts w:ascii="宋体" w:eastAsia="宋体" w:hAnsi="宋体" w:cs="宋体" w:hint="eastAsia"/>
          <w:kern w:val="0"/>
        </w:rPr>
        <w:t>。</w:t>
      </w:r>
      <w:r>
        <w:rPr>
          <w:rFonts w:ascii="宋体" w:eastAsia="宋体" w:hAnsi="宋体" w:cs="宋体"/>
          <w:kern w:val="0"/>
        </w:rPr>
        <w:t>昼间施工干道车流量15辆/h</w:t>
      </w:r>
      <w:r>
        <w:rPr>
          <w:rFonts w:ascii="宋体" w:eastAsia="宋体" w:hAnsi="宋体" w:cs="宋体" w:hint="eastAsia"/>
          <w:kern w:val="0"/>
        </w:rPr>
        <w:t>。</w:t>
      </w:r>
      <w:r>
        <w:rPr>
          <w:rFonts w:ascii="宋体" w:eastAsia="宋体" w:hAnsi="宋体" w:cs="宋体"/>
          <w:kern w:val="0"/>
        </w:rPr>
        <w:t>平均运行速度为40km/h</w:t>
      </w:r>
      <w:r>
        <w:rPr>
          <w:rFonts w:ascii="宋体" w:eastAsia="宋体" w:hAnsi="宋体" w:cs="宋体" w:hint="eastAsia"/>
          <w:kern w:val="0"/>
        </w:rPr>
        <w:t>；</w:t>
      </w:r>
      <w:r>
        <w:rPr>
          <w:rFonts w:ascii="宋体" w:eastAsia="宋体" w:hAnsi="宋体" w:cs="宋体"/>
          <w:kern w:val="0"/>
        </w:rPr>
        <w:t>夜间施工干道车流量10辆/h</w:t>
      </w:r>
      <w:r>
        <w:rPr>
          <w:rFonts w:ascii="宋体" w:eastAsia="宋体" w:hAnsi="宋体" w:cs="宋体" w:hint="eastAsia"/>
          <w:kern w:val="0"/>
        </w:rPr>
        <w:t>，</w:t>
      </w:r>
      <w:r>
        <w:rPr>
          <w:rFonts w:ascii="宋体" w:eastAsia="宋体" w:hAnsi="宋体" w:cs="宋体"/>
          <w:kern w:val="0"/>
        </w:rPr>
        <w:t>平均运行速度30km/h</w:t>
      </w:r>
      <w:r>
        <w:rPr>
          <w:rFonts w:ascii="宋体" w:eastAsia="宋体" w:hAnsi="宋体" w:cs="宋体" w:hint="eastAsia"/>
          <w:kern w:val="0"/>
        </w:rPr>
        <w:t>，</w:t>
      </w:r>
      <w:r>
        <w:rPr>
          <w:rFonts w:ascii="宋体" w:eastAsia="宋体" w:hAnsi="宋体" w:cs="宋体"/>
          <w:kern w:val="0"/>
        </w:rPr>
        <w:t>受影响对象为现场施工人员。</w:t>
      </w:r>
    </w:p>
    <w:p w14:paraId="41F580B4" w14:textId="77777777" w:rsidR="005A1A44" w:rsidRDefault="0008059E">
      <w:pPr>
        <w:ind w:firstLine="480"/>
      </w:pPr>
      <w:r>
        <w:rPr>
          <w:rFonts w:hint="eastAsia"/>
        </w:rPr>
        <w:t>（</w:t>
      </w:r>
      <w:r>
        <w:rPr>
          <w:rFonts w:hint="eastAsia"/>
        </w:rPr>
        <w:t>4</w:t>
      </w:r>
      <w:r>
        <w:rPr>
          <w:rFonts w:hint="eastAsia"/>
        </w:rPr>
        <w:t>）固体废物</w:t>
      </w:r>
    </w:p>
    <w:p w14:paraId="025746DF"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①</w:t>
      </w:r>
      <w:r>
        <w:rPr>
          <w:rFonts w:ascii="宋体" w:eastAsia="宋体" w:hAnsi="宋体" w:cs="宋体"/>
          <w:kern w:val="0"/>
        </w:rPr>
        <w:t>生产废渣</w:t>
      </w:r>
    </w:p>
    <w:p w14:paraId="69468571" w14:textId="77777777" w:rsidR="005A1A44" w:rsidRDefault="0008059E">
      <w:pPr>
        <w:ind w:firstLine="482"/>
        <w:rPr>
          <w:rFonts w:ascii="宋体" w:eastAsia="宋体" w:hAnsi="宋体" w:cs="宋体" w:hint="eastAsia"/>
          <w:b/>
          <w:bCs/>
          <w:kern w:val="0"/>
        </w:rPr>
      </w:pPr>
      <w:r>
        <w:rPr>
          <w:rFonts w:ascii="宋体" w:eastAsia="宋体" w:hAnsi="宋体" w:cs="宋体" w:hint="eastAsia"/>
          <w:b/>
          <w:bCs/>
          <w:kern w:val="0"/>
        </w:rPr>
        <w:t>a、土石方</w:t>
      </w:r>
    </w:p>
    <w:p w14:paraId="517A353D" w14:textId="77777777" w:rsidR="005A1A44" w:rsidRDefault="0008059E">
      <w:pPr>
        <w:ind w:firstLine="480"/>
      </w:pPr>
      <w:r>
        <w:rPr>
          <w:rFonts w:ascii="宋体" w:eastAsia="宋体" w:hAnsi="宋体" w:cs="宋体"/>
          <w:kern w:val="0"/>
        </w:rPr>
        <w:t>本工程共开挖土石方量</w:t>
      </w:r>
      <w:r>
        <w:rPr>
          <w:rFonts w:ascii="宋体" w:eastAsia="宋体" w:hAnsi="宋体" w:cs="宋体" w:hint="eastAsia"/>
          <w:kern w:val="0"/>
        </w:rPr>
        <w:t>1426.51</w:t>
      </w:r>
      <w:r>
        <w:rPr>
          <w:rFonts w:ascii="宋体" w:eastAsia="宋体" w:hAnsi="宋体" w:cs="宋体"/>
          <w:kern w:val="0"/>
        </w:rPr>
        <w:t>万</w:t>
      </w:r>
      <w:r>
        <w:rPr>
          <w:rFonts w:ascii="宋体" w:eastAsia="宋体" w:hAnsi="宋体" w:cs="宋体" w:hint="eastAsia"/>
          <w:kern w:val="0"/>
        </w:rPr>
        <w:t>m</w:t>
      </w:r>
      <w:r>
        <w:rPr>
          <w:rFonts w:ascii="宋体" w:eastAsia="宋体" w:hAnsi="宋体" w:cs="宋体" w:hint="eastAsia"/>
          <w:kern w:val="0"/>
          <w:vertAlign w:val="superscript"/>
        </w:rPr>
        <w:t>3</w:t>
      </w:r>
      <w:r>
        <w:rPr>
          <w:rFonts w:ascii="宋体" w:eastAsia="宋体" w:hAnsi="宋体" w:cs="宋体" w:hint="eastAsia"/>
          <w:kern w:val="0"/>
        </w:rPr>
        <w:t>，</w:t>
      </w:r>
      <w:r>
        <w:rPr>
          <w:rFonts w:ascii="宋体" w:eastAsia="宋体" w:hAnsi="宋体" w:cs="宋体"/>
          <w:kern w:val="0"/>
        </w:rPr>
        <w:t>土石方回用量</w:t>
      </w:r>
      <w:r>
        <w:rPr>
          <w:rFonts w:ascii="宋体" w:eastAsia="宋体" w:hAnsi="宋体" w:cs="宋体" w:hint="eastAsia"/>
          <w:kern w:val="0"/>
        </w:rPr>
        <w:t>330.78</w:t>
      </w:r>
      <w:r>
        <w:rPr>
          <w:rFonts w:ascii="宋体" w:eastAsia="宋体" w:hAnsi="宋体" w:cs="宋体"/>
          <w:kern w:val="0"/>
        </w:rPr>
        <w:t>万m</w:t>
      </w:r>
      <w:r>
        <w:rPr>
          <w:rFonts w:ascii="宋体" w:eastAsia="宋体" w:hAnsi="宋体" w:cs="宋体" w:hint="eastAsia"/>
          <w:kern w:val="0"/>
          <w:vertAlign w:val="superscript"/>
        </w:rPr>
        <w:t>3</w:t>
      </w:r>
      <w:r>
        <w:rPr>
          <w:rFonts w:ascii="宋体" w:eastAsia="宋体" w:hAnsi="宋体" w:cs="宋体" w:hint="eastAsia"/>
          <w:kern w:val="0"/>
        </w:rPr>
        <w:t>,余方1095.72</w:t>
      </w:r>
      <w:r>
        <w:rPr>
          <w:rFonts w:hint="eastAsia"/>
        </w:rPr>
        <w:t>万</w:t>
      </w:r>
      <w:r>
        <w:rPr>
          <w:rFonts w:ascii="宋体" w:hAnsi="宋体" w:hint="eastAsia"/>
        </w:rPr>
        <w:t>m</w:t>
      </w:r>
      <w:r>
        <w:rPr>
          <w:rFonts w:ascii="宋体" w:hAnsi="宋体" w:hint="eastAsia"/>
          <w:vertAlign w:val="superscript"/>
        </w:rPr>
        <w:t>3</w:t>
      </w:r>
      <w:r>
        <w:rPr>
          <w:rFonts w:ascii="宋体" w:hAnsi="宋体" w:hint="eastAsia"/>
        </w:rPr>
        <w:t>。工程</w:t>
      </w:r>
      <w:r>
        <w:rPr>
          <w:rFonts w:ascii="宋体" w:eastAsia="宋体" w:hAnsi="宋体" w:cs="宋体"/>
          <w:kern w:val="0"/>
        </w:rPr>
        <w:t>挖方</w:t>
      </w:r>
      <w:r>
        <w:rPr>
          <w:rFonts w:ascii="宋体" w:eastAsia="宋体" w:hAnsi="宋体" w:cs="宋体" w:hint="eastAsia"/>
          <w:kern w:val="0"/>
        </w:rPr>
        <w:t>基本是戈壁砾石，</w:t>
      </w:r>
      <w:r>
        <w:rPr>
          <w:rFonts w:ascii="宋体" w:eastAsia="宋体" w:hAnsi="宋体" w:cs="宋体"/>
          <w:kern w:val="0"/>
        </w:rPr>
        <w:t>挖方可就地全部回</w:t>
      </w:r>
      <w:r>
        <w:rPr>
          <w:rFonts w:ascii="宋体" w:eastAsia="宋体" w:hAnsi="宋体" w:cs="宋体" w:hint="eastAsia"/>
          <w:kern w:val="0"/>
        </w:rPr>
        <w:t>填于工程或河道平整，</w:t>
      </w:r>
      <w:r>
        <w:rPr>
          <w:rFonts w:ascii="宋体" w:eastAsia="宋体" w:hAnsi="宋体" w:cs="宋体"/>
          <w:kern w:val="0"/>
        </w:rPr>
        <w:t>无弃方。生产弃渣可暂时采用固定的点、圃结合方式堆放</w:t>
      </w:r>
      <w:r>
        <w:rPr>
          <w:rFonts w:ascii="宋体" w:eastAsia="宋体" w:hAnsi="宋体" w:cs="宋体" w:hint="eastAsia"/>
          <w:kern w:val="0"/>
        </w:rPr>
        <w:t>，</w:t>
      </w:r>
      <w:r>
        <w:rPr>
          <w:rFonts w:ascii="宋体" w:eastAsia="宋体" w:hAnsi="宋体" w:cs="宋体"/>
          <w:kern w:val="0"/>
        </w:rPr>
        <w:t>可回用的情况下及时回填</w:t>
      </w:r>
      <w:r>
        <w:rPr>
          <w:rFonts w:ascii="宋体" w:eastAsia="宋体" w:hAnsi="宋体" w:cs="宋体" w:hint="eastAsia"/>
          <w:kern w:val="0"/>
        </w:rPr>
        <w:t>，</w:t>
      </w:r>
      <w:r>
        <w:rPr>
          <w:rFonts w:ascii="宋体" w:eastAsia="宋体" w:hAnsi="宋体" w:cs="宋体"/>
          <w:kern w:val="0"/>
        </w:rPr>
        <w:t>工程用</w:t>
      </w:r>
      <w:r>
        <w:rPr>
          <w:rFonts w:ascii="宋体" w:eastAsia="宋体" w:hAnsi="宋体" w:cs="宋体" w:hint="eastAsia"/>
          <w:kern w:val="0"/>
        </w:rPr>
        <w:t>砼骨料</w:t>
      </w:r>
      <w:r>
        <w:rPr>
          <w:rFonts w:ascii="宋体" w:eastAsia="宋体" w:hAnsi="宋体" w:cs="宋体"/>
          <w:kern w:val="0"/>
        </w:rPr>
        <w:t>全部为商品料,采用汽牛运输至场内。</w:t>
      </w:r>
    </w:p>
    <w:p w14:paraId="5859594C" w14:textId="77777777" w:rsidR="005A1A44" w:rsidRDefault="0008059E">
      <w:pPr>
        <w:ind w:firstLine="482"/>
        <w:rPr>
          <w:rFonts w:ascii="宋体" w:eastAsia="宋体" w:hAnsi="宋体" w:cs="宋体" w:hint="eastAsia"/>
          <w:b/>
          <w:bCs/>
          <w:kern w:val="0"/>
        </w:rPr>
      </w:pPr>
      <w:r>
        <w:rPr>
          <w:rFonts w:ascii="宋体" w:eastAsia="宋体" w:hAnsi="宋体" w:cs="宋体" w:hint="eastAsia"/>
          <w:b/>
          <w:bCs/>
          <w:kern w:val="0"/>
        </w:rPr>
        <w:t>b、污水处理污泥</w:t>
      </w:r>
    </w:p>
    <w:p w14:paraId="76C3A747" w14:textId="77777777" w:rsidR="005A1A44" w:rsidRDefault="0008059E">
      <w:pPr>
        <w:ind w:firstLine="480"/>
      </w:pPr>
      <w:r>
        <w:t>混凝土拌合系统污泥产生量约</w:t>
      </w:r>
      <w:r>
        <w:rPr>
          <w:rFonts w:hint="eastAsia"/>
        </w:rPr>
        <w:t>40.0</w:t>
      </w:r>
      <w:r>
        <w:t>t</w:t>
      </w:r>
      <w:r>
        <w:rPr>
          <w:rFonts w:hint="eastAsia"/>
        </w:rPr>
        <w:t>/a</w:t>
      </w:r>
      <w:r>
        <w:rPr>
          <w:rFonts w:hint="eastAsia"/>
        </w:rPr>
        <w:t>，</w:t>
      </w:r>
      <w:r>
        <w:t>机械冲洗系统污泥产生量约</w:t>
      </w:r>
      <w:r>
        <w:rPr>
          <w:rFonts w:hint="eastAsia"/>
        </w:rPr>
        <w:t>5.37</w:t>
      </w:r>
      <w:r>
        <w:t>t</w:t>
      </w:r>
      <w:r>
        <w:rPr>
          <w:rFonts w:hint="eastAsia"/>
        </w:rPr>
        <w:t>，</w:t>
      </w:r>
      <w:r>
        <w:t>生活污水污泥产生量约</w:t>
      </w:r>
      <w:r>
        <w:rPr>
          <w:rFonts w:hint="eastAsia"/>
        </w:rPr>
        <w:t>1.54</w:t>
      </w:r>
      <w:r>
        <w:t>t</w:t>
      </w:r>
      <w:r>
        <w:rPr>
          <w:rFonts w:hint="eastAsia"/>
        </w:rPr>
        <w:t>/a</w:t>
      </w:r>
      <w:r>
        <w:rPr>
          <w:rFonts w:hint="eastAsia"/>
        </w:rPr>
        <w:t>。</w:t>
      </w:r>
    </w:p>
    <w:p w14:paraId="4AF5337F" w14:textId="77777777" w:rsidR="005A1A44" w:rsidRDefault="0008059E">
      <w:pPr>
        <w:ind w:firstLine="480"/>
      </w:pPr>
      <w:r>
        <w:rPr>
          <w:rFonts w:hint="eastAsia"/>
        </w:rPr>
        <w:t>②二</w:t>
      </w:r>
      <w:r>
        <w:t>生活垃圾</w:t>
      </w:r>
    </w:p>
    <w:p w14:paraId="3BC56DC6" w14:textId="77777777" w:rsidR="005A1A44" w:rsidRDefault="0008059E">
      <w:pPr>
        <w:ind w:firstLine="480"/>
      </w:pPr>
      <w:r>
        <w:rPr>
          <w:rFonts w:hint="eastAsia"/>
        </w:rPr>
        <w:t>施工人员进驻临时施工场地会产生生活垃圾，该项目高峰期施工人员按</w:t>
      </w:r>
      <w:r>
        <w:rPr>
          <w:rFonts w:hint="eastAsia"/>
        </w:rPr>
        <w:t>330</w:t>
      </w:r>
      <w:r>
        <w:rPr>
          <w:rFonts w:hint="eastAsia"/>
        </w:rPr>
        <w:t>人计，生活垃圾产生量按</w:t>
      </w:r>
      <w:r>
        <w:rPr>
          <w:rFonts w:hint="eastAsia"/>
        </w:rPr>
        <w:t>1kg/</w:t>
      </w:r>
      <w:r>
        <w:rPr>
          <w:rFonts w:hint="eastAsia"/>
        </w:rPr>
        <w:t>（人·</w:t>
      </w:r>
      <w:r>
        <w:rPr>
          <w:rFonts w:hint="eastAsia"/>
        </w:rPr>
        <w:t>d</w:t>
      </w:r>
      <w:r>
        <w:rPr>
          <w:rFonts w:hint="eastAsia"/>
        </w:rPr>
        <w:t>）计算，则本项目生活垃圾产生量总计</w:t>
      </w:r>
      <w:r>
        <w:rPr>
          <w:rFonts w:hint="eastAsia"/>
        </w:rPr>
        <w:t>120.45t/a</w:t>
      </w:r>
      <w:r>
        <w:rPr>
          <w:rFonts w:hint="eastAsia"/>
        </w:rPr>
        <w:t>，须定点收集，由环卫部门定期清运。</w:t>
      </w:r>
    </w:p>
    <w:p w14:paraId="20110838" w14:textId="77777777" w:rsidR="005A1A44" w:rsidRDefault="0008059E">
      <w:pPr>
        <w:ind w:firstLine="480"/>
      </w:pPr>
      <w:r>
        <w:rPr>
          <w:rFonts w:hint="eastAsia"/>
        </w:rPr>
        <w:t>③建筑垃圾</w:t>
      </w:r>
    </w:p>
    <w:p w14:paraId="4875042A" w14:textId="77777777" w:rsidR="005A1A44" w:rsidRDefault="0008059E">
      <w:pPr>
        <w:ind w:firstLine="480"/>
        <w:rPr>
          <w:rFonts w:ascii="宋体" w:eastAsia="宋体" w:hAnsi="宋体" w:cs="宋体" w:hint="eastAsia"/>
          <w:kern w:val="0"/>
        </w:rPr>
      </w:pPr>
      <w:r>
        <w:rPr>
          <w:rFonts w:ascii="宋体" w:eastAsia="宋体" w:hAnsi="宋体" w:cs="宋体"/>
          <w:kern w:val="0"/>
        </w:rPr>
        <w:t>本工程在建设过程中产生的建筑垃圾主要为废砂、碎石碎砖块、建材及麦修产生的垃圾等</w:t>
      </w:r>
      <w:r>
        <w:rPr>
          <w:rFonts w:ascii="宋体" w:eastAsia="宋体" w:hAnsi="宋体" w:cs="宋体" w:hint="eastAsia"/>
          <w:kern w:val="0"/>
        </w:rPr>
        <w:t>,</w:t>
      </w:r>
      <w:r>
        <w:rPr>
          <w:rFonts w:ascii="宋体" w:eastAsia="宋体" w:hAnsi="宋体" w:cs="宋体"/>
          <w:kern w:val="0"/>
        </w:rPr>
        <w:t>可外运作城市建设回填土方加以利用或送城市建设主管部旨定地点</w:t>
      </w:r>
      <w:r>
        <w:rPr>
          <w:rFonts w:ascii="宋体" w:eastAsia="宋体" w:hAnsi="宋体" w:cs="宋体" w:hint="eastAsia"/>
          <w:kern w:val="0"/>
        </w:rPr>
        <w:t>,</w:t>
      </w:r>
      <w:r>
        <w:rPr>
          <w:rFonts w:ascii="宋体" w:eastAsia="宋体" w:hAnsi="宋体" w:cs="宋体"/>
          <w:kern w:val="0"/>
        </w:rPr>
        <w:t>并且在外运过程中</w:t>
      </w:r>
      <w:r>
        <w:rPr>
          <w:rFonts w:ascii="宋体" w:eastAsia="宋体" w:hAnsi="宋体" w:cs="宋体" w:hint="eastAsia"/>
          <w:kern w:val="0"/>
        </w:rPr>
        <w:t>,</w:t>
      </w:r>
      <w:r>
        <w:rPr>
          <w:rFonts w:ascii="宋体" w:eastAsia="宋体" w:hAnsi="宋体" w:cs="宋体"/>
          <w:kern w:val="0"/>
        </w:rPr>
        <w:t>在车上加蓬盖,防止弃土的撒落,其对环境个云告成大的影响。</w:t>
      </w:r>
    </w:p>
    <w:p w14:paraId="4C2DA576"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④危险废物</w:t>
      </w:r>
    </w:p>
    <w:p w14:paraId="0E31706B" w14:textId="77777777" w:rsidR="005A1A44" w:rsidRDefault="0008059E">
      <w:pPr>
        <w:ind w:firstLine="480"/>
      </w:pPr>
      <w:r>
        <w:rPr>
          <w:rFonts w:ascii="宋体" w:eastAsia="宋体" w:hAnsi="宋体" w:cs="宋体" w:hint="eastAsia"/>
          <w:kern w:val="0"/>
        </w:rPr>
        <w:t>施工期</w:t>
      </w:r>
      <w:r>
        <w:rPr>
          <w:rFonts w:ascii="宋体" w:eastAsia="宋体" w:hAnsi="宋体" w:cs="宋体"/>
          <w:kern w:val="0"/>
        </w:rPr>
        <w:t>机械保养,维修等会产生一定量的机油</w:t>
      </w:r>
      <w:r>
        <w:rPr>
          <w:rFonts w:ascii="宋体" w:eastAsia="宋体" w:hAnsi="宋体" w:cs="宋体" w:hint="eastAsia"/>
          <w:kern w:val="0"/>
        </w:rPr>
        <w:t>，属于危险废物，应专门收集至有</w:t>
      </w:r>
      <w:r>
        <w:rPr>
          <w:rFonts w:hint="eastAsia"/>
        </w:rPr>
        <w:t>资质的单位进行处置</w:t>
      </w:r>
    </w:p>
    <w:p w14:paraId="19B27677" w14:textId="77777777" w:rsidR="005A1A44" w:rsidRDefault="0008059E">
      <w:pPr>
        <w:ind w:firstLine="480"/>
      </w:pPr>
      <w:r>
        <w:rPr>
          <w:rFonts w:hint="eastAsia"/>
        </w:rPr>
        <w:t>（</w:t>
      </w:r>
      <w:r>
        <w:rPr>
          <w:rFonts w:hint="eastAsia"/>
        </w:rPr>
        <w:t>5</w:t>
      </w:r>
      <w:r>
        <w:rPr>
          <w:rFonts w:hint="eastAsia"/>
        </w:rPr>
        <w:t>）</w:t>
      </w:r>
      <w:r>
        <w:t>生态环境影响分析</w:t>
      </w:r>
    </w:p>
    <w:p w14:paraId="6E77728B" w14:textId="77777777" w:rsidR="005A1A44" w:rsidRDefault="0008059E">
      <w:pPr>
        <w:ind w:firstLine="480"/>
        <w:rPr>
          <w:rFonts w:ascii="宋体" w:eastAsia="宋体" w:hAnsi="宋体" w:cs="宋体" w:hint="eastAsia"/>
          <w:kern w:val="0"/>
        </w:rPr>
      </w:pPr>
      <w:r>
        <w:t>工程施工对生态环境的影响表观在工程占用对土地资源的影响</w:t>
      </w:r>
      <w:r>
        <w:rPr>
          <w:rFonts w:hint="eastAsia"/>
        </w:rPr>
        <w:t>，</w:t>
      </w:r>
      <w:r>
        <w:t>施工活动对</w:t>
      </w:r>
      <w:r>
        <w:rPr>
          <w:rFonts w:hint="eastAsia"/>
        </w:rPr>
        <w:t>土</w:t>
      </w:r>
      <w:r>
        <w:lastRenderedPageBreak/>
        <w:t>壤和植</w:t>
      </w:r>
      <w:r>
        <w:rPr>
          <w:rFonts w:ascii="宋体" w:eastAsia="宋体" w:hAnsi="宋体" w:cs="宋体"/>
          <w:kern w:val="0"/>
        </w:rPr>
        <w:t>被的影响</w:t>
      </w:r>
      <w:r>
        <w:rPr>
          <w:rFonts w:ascii="宋体" w:eastAsia="宋体" w:hAnsi="宋体" w:cs="宋体" w:hint="eastAsia"/>
          <w:kern w:val="0"/>
        </w:rPr>
        <w:t>。</w:t>
      </w:r>
    </w:p>
    <w:p w14:paraId="77722AFD" w14:textId="77777777" w:rsidR="005A1A44" w:rsidRDefault="0008059E">
      <w:pPr>
        <w:ind w:firstLine="480"/>
        <w:rPr>
          <w:rFonts w:ascii="宋体" w:eastAsia="宋体" w:hAnsi="宋体" w:cs="宋体" w:hint="eastAsia"/>
          <w:kern w:val="0"/>
        </w:rPr>
      </w:pPr>
      <w:r>
        <w:rPr>
          <w:rFonts w:ascii="宋体" w:eastAsia="宋体" w:hAnsi="宋体" w:cs="宋体"/>
          <w:kern w:val="0"/>
        </w:rPr>
        <w:t>工程施工对</w:t>
      </w:r>
      <w:r>
        <w:rPr>
          <w:rFonts w:ascii="宋体" w:eastAsia="宋体" w:hAnsi="宋体" w:cs="宋体" w:hint="eastAsia"/>
          <w:kern w:val="0"/>
        </w:rPr>
        <w:t>土</w:t>
      </w:r>
      <w:r>
        <w:rPr>
          <w:rFonts w:ascii="宋体" w:eastAsia="宋体" w:hAnsi="宋体" w:cs="宋体"/>
          <w:kern w:val="0"/>
        </w:rPr>
        <w:t>壤和植被的影响由工程水久和临时占地产生。工程占地总面积为</w:t>
      </w:r>
      <w:r>
        <w:rPr>
          <w:rFonts w:ascii="宋体" w:eastAsia="宋体" w:hAnsi="宋体" w:cs="宋体" w:hint="eastAsia"/>
          <w:kern w:val="0"/>
        </w:rPr>
        <w:t>2540.75hm</w:t>
      </w:r>
      <w:r>
        <w:rPr>
          <w:rFonts w:ascii="宋体" w:eastAsia="宋体" w:hAnsi="宋体" w:cs="宋体" w:hint="eastAsia"/>
          <w:kern w:val="0"/>
          <w:vertAlign w:val="superscript"/>
        </w:rPr>
        <w:t>2</w:t>
      </w:r>
      <w:r>
        <w:rPr>
          <w:rFonts w:ascii="宋体" w:eastAsia="宋体" w:hAnsi="宋体" w:cs="宋体" w:hint="eastAsia"/>
          <w:kern w:val="0"/>
        </w:rPr>
        <w:t>，</w:t>
      </w:r>
      <w:r>
        <w:rPr>
          <w:rFonts w:ascii="宋体" w:eastAsia="宋体" w:hAnsi="宋体" w:cs="宋体"/>
          <w:kern w:val="0"/>
        </w:rPr>
        <w:t>占地</w:t>
      </w:r>
      <w:r>
        <w:rPr>
          <w:rFonts w:ascii="宋体" w:eastAsia="宋体" w:hAnsi="宋体" w:cs="宋体" w:hint="eastAsia"/>
          <w:kern w:val="0"/>
        </w:rPr>
        <w:t>主要为河漫滩内的戈壁石砾地、盐碱地、河流为主，生物量极少，还占有部分草地和耕地，属于具有一定</w:t>
      </w:r>
      <w:r>
        <w:rPr>
          <w:rFonts w:ascii="宋体" w:eastAsia="宋体" w:hAnsi="宋体" w:cs="宋体"/>
          <w:kern w:val="0"/>
        </w:rPr>
        <w:t>生物量的地类</w:t>
      </w:r>
      <w:r>
        <w:rPr>
          <w:rFonts w:ascii="宋体" w:eastAsia="宋体" w:hAnsi="宋体" w:cs="宋体" w:hint="eastAsia"/>
          <w:kern w:val="0"/>
        </w:rPr>
        <w:t>，</w:t>
      </w:r>
      <w:r>
        <w:rPr>
          <w:rFonts w:ascii="宋体" w:eastAsia="宋体" w:hAnsi="宋体" w:cs="宋体"/>
          <w:kern w:val="0"/>
        </w:rPr>
        <w:t>工程占地将造成一定的士地资源和生物量损失</w:t>
      </w:r>
      <w:r>
        <w:rPr>
          <w:rFonts w:ascii="宋体" w:eastAsia="宋体" w:hAnsi="宋体" w:cs="宋体" w:hint="eastAsia"/>
          <w:kern w:val="0"/>
        </w:rPr>
        <w:t>。可研未明确临时占地数量、位置和面积，环评要求临时占地面积尽量小，且尽量不占用草地、耕地等地类</w:t>
      </w:r>
      <w:r>
        <w:rPr>
          <w:rFonts w:ascii="宋体" w:eastAsia="宋体" w:hAnsi="宋体" w:cs="宋体"/>
          <w:kern w:val="0"/>
        </w:rPr>
        <w:t>。</w:t>
      </w:r>
    </w:p>
    <w:p w14:paraId="71E82CB6" w14:textId="77777777" w:rsidR="005A1A44" w:rsidRDefault="0008059E">
      <w:pPr>
        <w:ind w:firstLine="480"/>
        <w:rPr>
          <w:rFonts w:ascii="宋体" w:eastAsia="宋体" w:hAnsi="宋体" w:cs="宋体" w:hint="eastAsia"/>
          <w:kern w:val="0"/>
        </w:rPr>
      </w:pPr>
      <w:r>
        <w:rPr>
          <w:rFonts w:ascii="宋体" w:eastAsia="宋体" w:hAnsi="宋体" w:cs="宋体"/>
          <w:kern w:val="0"/>
        </w:rPr>
        <w:t>施工活动对土壤环境最直接的影响就是施工期各类施工机械的碾压和建筑物占压对土壤结构、肥力、物理性质破坏的影响。</w:t>
      </w:r>
      <w:r>
        <w:rPr>
          <w:rFonts w:ascii="宋体" w:eastAsia="宋体" w:hAnsi="宋体" w:cs="宋体" w:hint="eastAsia"/>
          <w:kern w:val="0"/>
        </w:rPr>
        <w:t>防洪堤、景观建筑物</w:t>
      </w:r>
      <w:r>
        <w:rPr>
          <w:rFonts w:ascii="宋体" w:eastAsia="宋体" w:hAnsi="宋体" w:cs="宋体"/>
          <w:kern w:val="0"/>
        </w:rPr>
        <w:t>等永久建筑物,以及永久道路修建区的地表土壤在施工过程中彻底被占压覆盖</w:t>
      </w:r>
      <w:r>
        <w:rPr>
          <w:rFonts w:ascii="宋体" w:eastAsia="宋体" w:hAnsi="宋体" w:cs="宋体" w:hint="eastAsia"/>
          <w:kern w:val="0"/>
        </w:rPr>
        <w:t>，</w:t>
      </w:r>
      <w:r>
        <w:rPr>
          <w:rFonts w:ascii="宋体" w:eastAsia="宋体" w:hAnsi="宋体" w:cs="宋体"/>
          <w:kern w:val="0"/>
        </w:rPr>
        <w:t>土壤性质永久改变不可恢复。施工临建设施占压及施工活动扰动区表层土壤结构、肥力、物理性质将被临时性破坏</w:t>
      </w:r>
      <w:r>
        <w:rPr>
          <w:rFonts w:ascii="宋体" w:eastAsia="宋体" w:hAnsi="宋体" w:cs="宋体" w:hint="eastAsia"/>
          <w:kern w:val="0"/>
        </w:rPr>
        <w:t>，</w:t>
      </w:r>
      <w:r>
        <w:rPr>
          <w:rFonts w:ascii="宋体" w:eastAsia="宋体" w:hAnsi="宋体" w:cs="宋体"/>
          <w:kern w:val="0"/>
        </w:rPr>
        <w:t>需要较长时间才可恢复</w:t>
      </w:r>
      <w:r>
        <w:rPr>
          <w:rFonts w:ascii="宋体" w:eastAsia="宋体" w:hAnsi="宋体" w:cs="宋体" w:hint="eastAsia"/>
          <w:kern w:val="0"/>
        </w:rPr>
        <w:t>，</w:t>
      </w:r>
      <w:r>
        <w:rPr>
          <w:rFonts w:ascii="宋体" w:eastAsia="宋体" w:hAnsi="宋体" w:cs="宋体"/>
          <w:kern w:val="0"/>
        </w:rPr>
        <w:t>若施工结束后配合恢复措施</w:t>
      </w:r>
      <w:r>
        <w:rPr>
          <w:rFonts w:ascii="宋体" w:eastAsia="宋体" w:hAnsi="宋体" w:cs="宋体" w:hint="eastAsia"/>
          <w:kern w:val="0"/>
        </w:rPr>
        <w:t>，</w:t>
      </w:r>
      <w:r>
        <w:rPr>
          <w:rFonts w:ascii="宋体" w:eastAsia="宋体" w:hAnsi="宋体" w:cs="宋体"/>
          <w:kern w:val="0"/>
        </w:rPr>
        <w:t>则这一过程将被缩短。</w:t>
      </w:r>
    </w:p>
    <w:p w14:paraId="7308253F" w14:textId="77777777" w:rsidR="005A1A44" w:rsidRDefault="0008059E">
      <w:pPr>
        <w:ind w:firstLine="480"/>
        <w:rPr>
          <w:rFonts w:ascii="宋体" w:eastAsia="宋体" w:hAnsi="宋体" w:cs="宋体" w:hint="eastAsia"/>
          <w:kern w:val="0"/>
        </w:rPr>
      </w:pPr>
      <w:r>
        <w:rPr>
          <w:rFonts w:ascii="宋体" w:eastAsia="宋体" w:hAnsi="宋体" w:cs="宋体"/>
          <w:kern w:val="0"/>
        </w:rPr>
        <w:t>对地表植被而言</w:t>
      </w:r>
      <w:r>
        <w:rPr>
          <w:rFonts w:ascii="宋体" w:eastAsia="宋体" w:hAnsi="宋体" w:cs="宋体" w:hint="eastAsia"/>
          <w:kern w:val="0"/>
        </w:rPr>
        <w:t>，</w:t>
      </w:r>
      <w:r>
        <w:rPr>
          <w:rFonts w:ascii="宋体" w:eastAsia="宋体" w:hAnsi="宋体" w:cs="宋体"/>
          <w:kern w:val="0"/>
        </w:rPr>
        <w:t>与土壤相同</w:t>
      </w:r>
      <w:r>
        <w:rPr>
          <w:rFonts w:ascii="宋体" w:eastAsia="宋体" w:hAnsi="宋体" w:cs="宋体" w:hint="eastAsia"/>
          <w:kern w:val="0"/>
        </w:rPr>
        <w:t>，</w:t>
      </w:r>
      <w:r>
        <w:rPr>
          <w:rFonts w:ascii="宋体" w:eastAsia="宋体" w:hAnsi="宋体" w:cs="宋体"/>
          <w:kern w:val="0"/>
        </w:rPr>
        <w:t>工程永久占地将对原地表植被造成一次性永久的破坏</w:t>
      </w:r>
      <w:r>
        <w:rPr>
          <w:rFonts w:ascii="宋体" w:eastAsia="宋体" w:hAnsi="宋体" w:cs="宋体" w:hint="eastAsia"/>
          <w:kern w:val="0"/>
        </w:rPr>
        <w:t>，</w:t>
      </w:r>
      <w:r>
        <w:rPr>
          <w:rFonts w:ascii="宋体" w:eastAsia="宋体" w:hAnsi="宋体" w:cs="宋体"/>
          <w:kern w:val="0"/>
        </w:rPr>
        <w:t>施工临建设施占压和施工活动扰动区域等临时占地在施工结束后</w:t>
      </w:r>
      <w:r>
        <w:rPr>
          <w:rFonts w:ascii="宋体" w:eastAsia="宋体" w:hAnsi="宋体" w:cs="宋体" w:hint="eastAsia"/>
          <w:kern w:val="0"/>
        </w:rPr>
        <w:t>，</w:t>
      </w:r>
      <w:r>
        <w:rPr>
          <w:rFonts w:ascii="宋体" w:eastAsia="宋体" w:hAnsi="宋体" w:cs="宋体"/>
          <w:kern w:val="0"/>
        </w:rPr>
        <w:t>通过采取一定的整治恢复措施</w:t>
      </w:r>
      <w:r>
        <w:rPr>
          <w:rFonts w:ascii="宋体" w:eastAsia="宋体" w:hAnsi="宋体" w:cs="宋体" w:hint="eastAsia"/>
          <w:kern w:val="0"/>
        </w:rPr>
        <w:t>，</w:t>
      </w:r>
      <w:r>
        <w:rPr>
          <w:rFonts w:ascii="宋体" w:eastAsia="宋体" w:hAnsi="宋体" w:cs="宋体"/>
          <w:kern w:val="0"/>
        </w:rPr>
        <w:t>地表植被可以逐步得到恢复。</w:t>
      </w:r>
    </w:p>
    <w:p w14:paraId="1A89C7B8"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工程包括有河道两岸景观绿化的内容，绿化面积达到667.241hm</w:t>
      </w:r>
      <w:r>
        <w:rPr>
          <w:rFonts w:ascii="宋体" w:eastAsia="宋体" w:hAnsi="宋体" w:cs="宋体" w:hint="eastAsia"/>
          <w:kern w:val="0"/>
          <w:vertAlign w:val="superscript"/>
        </w:rPr>
        <w:t>2</w:t>
      </w:r>
      <w:r>
        <w:rPr>
          <w:rFonts w:ascii="宋体" w:eastAsia="宋体" w:hAnsi="宋体" w:cs="宋体" w:hint="eastAsia"/>
          <w:kern w:val="0"/>
        </w:rPr>
        <w:t>，可实现净增加生物量499.95t/a。</w:t>
      </w:r>
    </w:p>
    <w:p w14:paraId="32BF8BA0" w14:textId="77777777" w:rsidR="005A1A44" w:rsidRDefault="0008059E">
      <w:pPr>
        <w:ind w:firstLine="480"/>
      </w:pPr>
      <w:r>
        <w:rPr>
          <w:rFonts w:ascii="宋体" w:eastAsia="宋体" w:hAnsi="宋体" w:cs="宋体"/>
          <w:kern w:val="0"/>
        </w:rPr>
        <w:t>工程施工对野生动物的影响表现为</w:t>
      </w:r>
      <w:r>
        <w:rPr>
          <w:rFonts w:ascii="宋体" w:eastAsia="宋体" w:hAnsi="宋体" w:cs="宋体" w:hint="eastAsia"/>
          <w:kern w:val="0"/>
        </w:rPr>
        <w:t>：</w:t>
      </w:r>
      <w:r>
        <w:rPr>
          <w:rFonts w:ascii="宋体" w:eastAsia="宋体" w:hAnsi="宋体" w:cs="宋体"/>
          <w:kern w:val="0"/>
        </w:rPr>
        <w:t>工程施工作业可能干扰工程区内野生动物的正常栖息活动</w:t>
      </w:r>
      <w:r>
        <w:rPr>
          <w:rFonts w:ascii="宋体" w:eastAsia="宋体" w:hAnsi="宋体" w:cs="宋体" w:hint="eastAsia"/>
          <w:kern w:val="0"/>
        </w:rPr>
        <w:t>，</w:t>
      </w:r>
      <w:r>
        <w:rPr>
          <w:rFonts w:ascii="宋体" w:eastAsia="宋体" w:hAnsi="宋体" w:cs="宋体"/>
          <w:kern w:val="0"/>
        </w:rPr>
        <w:t>施工噪声会对其产生惊扰。</w:t>
      </w:r>
      <w:r>
        <w:rPr>
          <w:rFonts w:ascii="宋体" w:eastAsia="宋体" w:hAnsi="宋体" w:cs="宋体" w:hint="eastAsia"/>
          <w:kern w:val="0"/>
        </w:rPr>
        <w:t>由于工程区位于和田市，属于人为干扰较为强烈的区域，因此基本没有野生动物分布，施工对野生动物基本无影响。</w:t>
      </w:r>
    </w:p>
    <w:p w14:paraId="795C5249" w14:textId="77777777" w:rsidR="005A1A44" w:rsidRDefault="0008059E">
      <w:pPr>
        <w:ind w:firstLine="480"/>
      </w:pPr>
      <w:r>
        <w:rPr>
          <w:rFonts w:hint="eastAsia"/>
        </w:rPr>
        <w:t>（</w:t>
      </w:r>
      <w:r>
        <w:rPr>
          <w:rFonts w:hint="eastAsia"/>
        </w:rPr>
        <w:t>6</w:t>
      </w:r>
      <w:r>
        <w:rPr>
          <w:rFonts w:hint="eastAsia"/>
        </w:rPr>
        <w:t>）社会环境影响分析</w:t>
      </w:r>
    </w:p>
    <w:p w14:paraId="65CDC090" w14:textId="77777777" w:rsidR="005A1A44" w:rsidRDefault="0008059E">
      <w:pPr>
        <w:ind w:firstLine="480"/>
      </w:pPr>
      <w:r>
        <w:rPr>
          <w:rFonts w:hint="eastAsia"/>
        </w:rPr>
        <w:t>施工营地的生活活动，施工机械入场作业和运输活动，将会增加项目周边的人员流动和车流量，会暂时性的对居民的生活产生一定不利影响。工程本身不会增加某些地方传染病的流行等人群健康问题，但施工期间，由于人员相对集中，增加了疾病交叉感染的机率，加之生活居住条件较差，有可能导致疾病的流行，对局部区域环境卫生和施工人群健康带来影响。</w:t>
      </w:r>
    </w:p>
    <w:p w14:paraId="216152DE" w14:textId="77777777" w:rsidR="005A1A44" w:rsidRDefault="0008059E">
      <w:pPr>
        <w:pStyle w:val="4"/>
        <w:numPr>
          <w:ilvl w:val="3"/>
          <w:numId w:val="2"/>
        </w:numPr>
      </w:pPr>
      <w:r>
        <w:rPr>
          <w:rFonts w:hint="eastAsia"/>
        </w:rPr>
        <w:lastRenderedPageBreak/>
        <w:t xml:space="preserve"> </w:t>
      </w:r>
      <w:r>
        <w:rPr>
          <w:rFonts w:hint="eastAsia"/>
        </w:rPr>
        <w:t>运营期污染分析</w:t>
      </w:r>
    </w:p>
    <w:p w14:paraId="2DB4E079" w14:textId="77777777" w:rsidR="005A1A44" w:rsidRDefault="0008059E">
      <w:pPr>
        <w:ind w:firstLine="480"/>
      </w:pPr>
      <w:r>
        <w:rPr>
          <w:rFonts w:hint="eastAsia"/>
        </w:rPr>
        <w:t>本项目为河道整治项目，运营期有益影响主要为生态环境、河道水环境、景观环境、防洪功能的改善。</w:t>
      </w:r>
    </w:p>
    <w:p w14:paraId="0F1442EC" w14:textId="77777777" w:rsidR="005A1A44" w:rsidRDefault="0008059E">
      <w:pPr>
        <w:ind w:firstLine="480"/>
      </w:pPr>
      <w:r>
        <w:rPr>
          <w:rFonts w:hint="eastAsia"/>
        </w:rPr>
        <w:t>（</w:t>
      </w:r>
      <w:r>
        <w:rPr>
          <w:rFonts w:hint="eastAsia"/>
        </w:rPr>
        <w:t>1</w:t>
      </w:r>
      <w:r>
        <w:rPr>
          <w:rFonts w:hint="eastAsia"/>
        </w:rPr>
        <w:t>）废气</w:t>
      </w:r>
    </w:p>
    <w:p w14:paraId="17581DB8" w14:textId="77777777" w:rsidR="005A1A44" w:rsidRDefault="0008059E">
      <w:pPr>
        <w:ind w:firstLine="480"/>
      </w:pPr>
      <w:r>
        <w:rPr>
          <w:rFonts w:hint="eastAsia"/>
        </w:rPr>
        <w:t>本项目作为河道综合治理工程，建成后基本没有废气产排。景观绿化区割草机割草产生的扬尘和喷洒化学农药产生的异味，工作人员应在行人较少的时候对草坪进行养护，最好选在清晨或傍晚，这样人群受到的影响较小。</w:t>
      </w:r>
    </w:p>
    <w:p w14:paraId="2A78E859" w14:textId="77777777" w:rsidR="005A1A44" w:rsidRDefault="0008059E">
      <w:pPr>
        <w:ind w:firstLine="480"/>
      </w:pPr>
      <w:r>
        <w:rPr>
          <w:rFonts w:hint="eastAsia"/>
        </w:rPr>
        <w:t>（</w:t>
      </w:r>
      <w:r>
        <w:rPr>
          <w:rFonts w:hint="eastAsia"/>
        </w:rPr>
        <w:t>2</w:t>
      </w:r>
      <w:r>
        <w:rPr>
          <w:rFonts w:hint="eastAsia"/>
        </w:rPr>
        <w:t>）噪声</w:t>
      </w:r>
    </w:p>
    <w:p w14:paraId="7B766343" w14:textId="77777777" w:rsidR="005A1A44" w:rsidRDefault="0008059E">
      <w:pPr>
        <w:ind w:firstLine="480"/>
      </w:pPr>
      <w:r>
        <w:rPr>
          <w:rFonts w:hint="eastAsia"/>
        </w:rPr>
        <w:t>本项目作为河道综合治理工程，没有较大的噪声源。割草机割草时产生的噪声，这类噪声是短暂、偶发性噪声，选用高效率低噪声的设备，应在行人较少的时候对沿路绿化进行修剪。</w:t>
      </w:r>
    </w:p>
    <w:p w14:paraId="07CB05BE" w14:textId="77777777" w:rsidR="005A1A44" w:rsidRDefault="0008059E">
      <w:pPr>
        <w:ind w:firstLine="480"/>
      </w:pPr>
      <w:r>
        <w:rPr>
          <w:rFonts w:hint="eastAsia"/>
        </w:rPr>
        <w:t>另外在河道两岸建成的景观休闲区，相比之前会有人的增加，随之而来的是人为活动噪声的产生。根据和田城区河道沿线土地利用规划，这些区域多为城市绿地，没有居住、医疗及教育用地，对声环境相对不敏感。因此由于游人增加而带来的人为活动噪声对所在区域的声环境影响较小。</w:t>
      </w:r>
    </w:p>
    <w:p w14:paraId="12A7FC01" w14:textId="77777777" w:rsidR="005A1A44" w:rsidRDefault="0008059E">
      <w:pPr>
        <w:ind w:firstLine="480"/>
      </w:pPr>
      <w:r>
        <w:rPr>
          <w:rFonts w:hint="eastAsia"/>
        </w:rPr>
        <w:t>（</w:t>
      </w:r>
      <w:r>
        <w:rPr>
          <w:rFonts w:hint="eastAsia"/>
        </w:rPr>
        <w:t>3</w:t>
      </w:r>
      <w:r>
        <w:rPr>
          <w:rFonts w:hint="eastAsia"/>
        </w:rPr>
        <w:t>）废水</w:t>
      </w:r>
    </w:p>
    <w:p w14:paraId="517B6BC2" w14:textId="77777777" w:rsidR="005A1A44" w:rsidRDefault="0008059E">
      <w:pPr>
        <w:ind w:firstLine="480"/>
      </w:pPr>
      <w:r>
        <w:rPr>
          <w:rFonts w:hint="eastAsia"/>
        </w:rPr>
        <w:t>运营期河道内无废水产生，只在河道两岸的景观休闲区内设有水冲式厕所，其排水全部接入市政排水管网，不会对周边环境产生影响。</w:t>
      </w:r>
    </w:p>
    <w:p w14:paraId="06E1D090" w14:textId="77777777" w:rsidR="005A1A44" w:rsidRDefault="0008059E">
      <w:pPr>
        <w:ind w:firstLine="480"/>
      </w:pPr>
      <w:r>
        <w:rPr>
          <w:rFonts w:hint="eastAsia"/>
        </w:rPr>
        <w:t>（</w:t>
      </w:r>
      <w:r>
        <w:rPr>
          <w:rFonts w:hint="eastAsia"/>
        </w:rPr>
        <w:t>4</w:t>
      </w:r>
      <w:r>
        <w:rPr>
          <w:rFonts w:hint="eastAsia"/>
        </w:rPr>
        <w:t>）固体废物</w:t>
      </w:r>
    </w:p>
    <w:p w14:paraId="200AEB0C" w14:textId="77777777" w:rsidR="005A1A44" w:rsidRDefault="0008059E">
      <w:pPr>
        <w:ind w:firstLine="480"/>
      </w:pPr>
      <w:r>
        <w:rPr>
          <w:rFonts w:hint="eastAsia"/>
        </w:rPr>
        <w:t>本项目作为河道综合治理工程，根据其功能定位，产生的固体废物主要为过往行人丢弃的垃圾。河道管护方通过在河段沿岸设置数量合适的垃圾桶，由专人管理，每日由环卫部门清运。</w:t>
      </w:r>
    </w:p>
    <w:p w14:paraId="5DE7F0D1" w14:textId="77777777" w:rsidR="005A1A44" w:rsidRDefault="0008059E">
      <w:pPr>
        <w:ind w:firstLine="480"/>
      </w:pPr>
      <w:r>
        <w:rPr>
          <w:rFonts w:hint="eastAsia"/>
        </w:rPr>
        <w:t>项目运营后没有危废产生。</w:t>
      </w:r>
    </w:p>
    <w:p w14:paraId="260E6A61" w14:textId="77777777" w:rsidR="005A1A44" w:rsidRDefault="0008059E">
      <w:pPr>
        <w:ind w:leftChars="200" w:left="480" w:firstLineChars="0" w:firstLine="0"/>
      </w:pPr>
      <w:r>
        <w:rPr>
          <w:rFonts w:hint="eastAsia"/>
        </w:rPr>
        <w:t>（</w:t>
      </w:r>
      <w:r>
        <w:rPr>
          <w:rFonts w:hint="eastAsia"/>
        </w:rPr>
        <w:t>5</w:t>
      </w:r>
      <w:r>
        <w:rPr>
          <w:rFonts w:hint="eastAsia"/>
        </w:rPr>
        <w:t>）生态环境</w:t>
      </w:r>
    </w:p>
    <w:p w14:paraId="1213C6A9" w14:textId="77777777" w:rsidR="005A1A44" w:rsidRDefault="0008059E">
      <w:pPr>
        <w:ind w:firstLine="480"/>
      </w:pPr>
      <w:r>
        <w:rPr>
          <w:rFonts w:hint="eastAsia"/>
        </w:rPr>
        <w:t>项目建成后河道稳定性增加、防洪能力增强，水土流失有所减弱，水生态系统住建逐渐稳定。</w:t>
      </w:r>
    </w:p>
    <w:p w14:paraId="1BB8F672" w14:textId="77777777" w:rsidR="005A1A44" w:rsidRDefault="0008059E">
      <w:pPr>
        <w:ind w:firstLine="480"/>
      </w:pPr>
      <w:r>
        <w:rPr>
          <w:rFonts w:hint="eastAsia"/>
        </w:rPr>
        <w:t>河道两岸绿化面积增加，可极大改善附近区域的环境。</w:t>
      </w:r>
    </w:p>
    <w:p w14:paraId="21D33DF8" w14:textId="77777777" w:rsidR="005A1A44" w:rsidRDefault="005A1A44">
      <w:pPr>
        <w:pStyle w:val="1"/>
        <w:adjustRightInd w:val="0"/>
        <w:snapToGrid w:val="0"/>
        <w:spacing w:before="0" w:after="0" w:line="360" w:lineRule="auto"/>
        <w:ind w:left="431" w:hanging="431"/>
        <w:sectPr w:rsidR="005A1A44">
          <w:pgSz w:w="12240" w:h="15840"/>
          <w:pgMar w:top="1440" w:right="1803" w:bottom="1440" w:left="1803" w:header="720" w:footer="720" w:gutter="0"/>
          <w:cols w:space="0"/>
          <w:docGrid w:linePitch="312"/>
        </w:sectPr>
      </w:pPr>
      <w:bookmarkStart w:id="150" w:name="_Toc13866_WPSOffice_Level1"/>
    </w:p>
    <w:p w14:paraId="3FFD22AB" w14:textId="77777777" w:rsidR="005A1A44" w:rsidRDefault="0008059E">
      <w:pPr>
        <w:pStyle w:val="1"/>
        <w:numPr>
          <w:ilvl w:val="0"/>
          <w:numId w:val="2"/>
        </w:numPr>
      </w:pPr>
      <w:r>
        <w:rPr>
          <w:rFonts w:hint="eastAsia"/>
        </w:rPr>
        <w:lastRenderedPageBreak/>
        <w:t xml:space="preserve"> </w:t>
      </w:r>
      <w:bookmarkStart w:id="151" w:name="_Toc20333_WPSOffice_Level1"/>
      <w:bookmarkStart w:id="152" w:name="_Toc20377_WPSOffice_Level1"/>
      <w:bookmarkStart w:id="153" w:name="_Toc3729_WPSOffice_Level1"/>
      <w:r>
        <w:rPr>
          <w:rFonts w:hint="eastAsia"/>
        </w:rPr>
        <w:t>环境质量现状调查与评价</w:t>
      </w:r>
      <w:bookmarkEnd w:id="150"/>
      <w:bookmarkEnd w:id="151"/>
      <w:bookmarkEnd w:id="152"/>
      <w:bookmarkEnd w:id="153"/>
    </w:p>
    <w:p w14:paraId="6D27D036" w14:textId="77777777" w:rsidR="005A1A44" w:rsidRDefault="0008059E">
      <w:pPr>
        <w:pStyle w:val="2"/>
        <w:numPr>
          <w:ilvl w:val="1"/>
          <w:numId w:val="2"/>
        </w:numPr>
      </w:pPr>
      <w:bookmarkStart w:id="154" w:name="_Toc11883_WPSOffice_Level2"/>
      <w:r>
        <w:rPr>
          <w:rFonts w:hint="eastAsia"/>
        </w:rPr>
        <w:t xml:space="preserve"> </w:t>
      </w:r>
      <w:bookmarkStart w:id="155" w:name="_Toc23005_WPSOffice_Level2"/>
      <w:bookmarkStart w:id="156" w:name="_Toc23013_WPSOffice_Level2"/>
      <w:r>
        <w:rPr>
          <w:rFonts w:hint="eastAsia"/>
        </w:rPr>
        <w:t>自然、社会环境概况</w:t>
      </w:r>
      <w:bookmarkEnd w:id="154"/>
      <w:bookmarkEnd w:id="155"/>
      <w:bookmarkEnd w:id="156"/>
    </w:p>
    <w:p w14:paraId="2B6B9C82" w14:textId="77777777" w:rsidR="005A1A44" w:rsidRDefault="0008059E">
      <w:pPr>
        <w:pStyle w:val="3"/>
        <w:numPr>
          <w:ilvl w:val="2"/>
          <w:numId w:val="2"/>
        </w:numPr>
      </w:pPr>
      <w:r>
        <w:rPr>
          <w:rFonts w:hint="eastAsia"/>
        </w:rPr>
        <w:t xml:space="preserve"> </w:t>
      </w:r>
      <w:r>
        <w:rPr>
          <w:rFonts w:hint="eastAsia"/>
        </w:rPr>
        <w:t>自然环境概况</w:t>
      </w:r>
    </w:p>
    <w:p w14:paraId="5A5FE87D" w14:textId="77777777" w:rsidR="005A1A44" w:rsidRDefault="0008059E">
      <w:pPr>
        <w:pStyle w:val="4"/>
        <w:numPr>
          <w:ilvl w:val="3"/>
          <w:numId w:val="2"/>
        </w:numPr>
      </w:pPr>
      <w:r>
        <w:rPr>
          <w:rFonts w:hint="eastAsia"/>
        </w:rPr>
        <w:t xml:space="preserve"> </w:t>
      </w:r>
      <w:r>
        <w:rPr>
          <w:rFonts w:hint="eastAsia"/>
        </w:rPr>
        <w:t>地理位置</w:t>
      </w:r>
    </w:p>
    <w:p w14:paraId="2C66E545" w14:textId="77777777" w:rsidR="005A1A44" w:rsidRDefault="0008059E">
      <w:pPr>
        <w:ind w:firstLine="480"/>
        <w:rPr>
          <w:rFonts w:ascii="黑体" w:eastAsia="黑体" w:hAnsi="黑体" w:cs="黑体" w:hint="eastAsia"/>
          <w:bCs/>
        </w:rPr>
      </w:pPr>
      <w:r>
        <w:rPr>
          <w:rFonts w:ascii="宋体" w:hAnsi="宋体" w:hint="eastAsia"/>
        </w:rPr>
        <w:t>项目选址所在地位于和田市。和田市地处喀喇昆仑山北麓，塔克拉玛干沙漠南缘、玉龙喀什河与喀拉喀什河之间，本项目位于新疆维吾尔自治区和田地区和田市，地处东经79°至80°30′，北纬34°20′至38°07′之间，处于玉龙喀什河与喀拉喀什河之间。地形南高北低，南宽北窄，南北长约500km，东西宽20</w:t>
      </w:r>
      <w:r>
        <w:rPr>
          <w:rFonts w:asciiTheme="majorHAnsi" w:hAnsi="宋体" w:hint="eastAsia"/>
        </w:rPr>
        <w:t>~</w:t>
      </w:r>
      <w:r>
        <w:rPr>
          <w:rFonts w:ascii="宋体" w:hAnsi="宋体" w:hint="eastAsia"/>
        </w:rPr>
        <w:t>150km，总面积42754.5km</w:t>
      </w:r>
      <w:r>
        <w:rPr>
          <w:rFonts w:ascii="宋体" w:hAnsi="宋体" w:hint="eastAsia"/>
          <w:vertAlign w:val="superscript"/>
        </w:rPr>
        <w:t>2</w:t>
      </w:r>
      <w:r>
        <w:rPr>
          <w:rFonts w:ascii="宋体" w:hAnsi="宋体" w:hint="eastAsia"/>
        </w:rPr>
        <w:t>，项目区地理位置见图3.1-1。</w:t>
      </w:r>
    </w:p>
    <w:p w14:paraId="02764417" w14:textId="77777777" w:rsidR="005A1A44" w:rsidRDefault="0008059E">
      <w:pPr>
        <w:pStyle w:val="4"/>
        <w:numPr>
          <w:ilvl w:val="3"/>
          <w:numId w:val="2"/>
        </w:numPr>
      </w:pPr>
      <w:r>
        <w:rPr>
          <w:rFonts w:hint="eastAsia"/>
        </w:rPr>
        <w:t xml:space="preserve"> </w:t>
      </w:r>
      <w:r>
        <w:rPr>
          <w:rFonts w:hint="eastAsia"/>
        </w:rPr>
        <w:t>气候气象</w:t>
      </w:r>
    </w:p>
    <w:p w14:paraId="0E1EC66E" w14:textId="77777777" w:rsidR="005A1A44" w:rsidRDefault="0008059E">
      <w:pPr>
        <w:ind w:firstLine="480"/>
      </w:pPr>
      <w:r>
        <w:rPr>
          <w:rFonts w:hint="eastAsia"/>
        </w:rPr>
        <w:t>和田地处亚欧大陆腹地，为温暖带干旱，属典型的温带荒漠型气候，主要特点是降水稀少，气候干燥，四季分明，光照充足，无霜期较长，气温日、年差较大，春季升温快天气多变，夏季炎热、蒸发量大，秋季气气爽，降温迅速，冬季寒冷、多晴天。由于地域辽阔，地理条件复杂，各个区域均有不同特征，有着明显差异。项目区临近气象站是洛浦县气象站和和田市气象站。和田市多年平均气温</w:t>
      </w:r>
      <w:r>
        <w:rPr>
          <w:rFonts w:hint="eastAsia"/>
        </w:rPr>
        <w:t>12.2</w:t>
      </w:r>
      <w:r>
        <w:rPr>
          <w:rFonts w:hint="eastAsia"/>
        </w:rPr>
        <w:t>℃，</w:t>
      </w:r>
      <w:r>
        <w:rPr>
          <w:rFonts w:hint="eastAsia"/>
        </w:rPr>
        <w:t>7</w:t>
      </w:r>
      <w:r>
        <w:rPr>
          <w:rFonts w:hint="eastAsia"/>
        </w:rPr>
        <w:t>月份最高平均</w:t>
      </w:r>
      <w:r>
        <w:rPr>
          <w:rFonts w:hint="eastAsia"/>
        </w:rPr>
        <w:t>25.5</w:t>
      </w:r>
      <w:r>
        <w:rPr>
          <w:rFonts w:hint="eastAsia"/>
        </w:rPr>
        <w:t>℃，</w:t>
      </w:r>
      <w:r>
        <w:rPr>
          <w:rFonts w:hint="eastAsia"/>
        </w:rPr>
        <w:t>1</w:t>
      </w:r>
      <w:r>
        <w:rPr>
          <w:rFonts w:hint="eastAsia"/>
        </w:rPr>
        <w:t>月份最低平均</w:t>
      </w:r>
      <w:r>
        <w:rPr>
          <w:rFonts w:hint="eastAsia"/>
        </w:rPr>
        <w:t>-5.6</w:t>
      </w:r>
      <w:r>
        <w:rPr>
          <w:rFonts w:hint="eastAsia"/>
        </w:rPr>
        <w:t>℃，极端最高气温</w:t>
      </w:r>
      <w:r>
        <w:rPr>
          <w:rFonts w:hint="eastAsia"/>
        </w:rPr>
        <w:t>40.6</w:t>
      </w:r>
      <w:r>
        <w:rPr>
          <w:rFonts w:hint="eastAsia"/>
        </w:rPr>
        <w:t>℃，最低气温</w:t>
      </w:r>
      <w:r>
        <w:rPr>
          <w:rFonts w:hint="eastAsia"/>
        </w:rPr>
        <w:t>-21.6</w:t>
      </w:r>
      <w:r>
        <w:rPr>
          <w:rFonts w:hint="eastAsia"/>
        </w:rPr>
        <w:t>℃。灌区气温≥</w:t>
      </w:r>
      <w:r>
        <w:rPr>
          <w:rFonts w:hint="eastAsia"/>
        </w:rPr>
        <w:t>0</w:t>
      </w:r>
      <w:r>
        <w:rPr>
          <w:rFonts w:hint="eastAsia"/>
        </w:rPr>
        <w:t>℃的积温为</w:t>
      </w:r>
      <w:r>
        <w:rPr>
          <w:rFonts w:hint="eastAsia"/>
        </w:rPr>
        <w:t>4578</w:t>
      </w:r>
      <w:r>
        <w:rPr>
          <w:rFonts w:hint="eastAsia"/>
        </w:rPr>
        <w:t>℃，气温≥</w:t>
      </w:r>
      <w:r>
        <w:rPr>
          <w:rFonts w:hint="eastAsia"/>
        </w:rPr>
        <w:t>10</w:t>
      </w:r>
      <w:r>
        <w:rPr>
          <w:rFonts w:hint="eastAsia"/>
        </w:rPr>
        <w:t>℃的积温为</w:t>
      </w:r>
      <w:r>
        <w:rPr>
          <w:rFonts w:hint="eastAsia"/>
        </w:rPr>
        <w:t>4127</w:t>
      </w:r>
      <w:r>
        <w:rPr>
          <w:rFonts w:hint="eastAsia"/>
        </w:rPr>
        <w:t>℃。多年平均风速</w:t>
      </w:r>
      <w:r>
        <w:rPr>
          <w:rFonts w:hint="eastAsia"/>
        </w:rPr>
        <w:t>2.1m/s</w:t>
      </w:r>
      <w:r>
        <w:rPr>
          <w:rFonts w:hint="eastAsia"/>
        </w:rPr>
        <w:t>；多年最大风速</w:t>
      </w:r>
      <w:r>
        <w:rPr>
          <w:rFonts w:hint="eastAsia"/>
        </w:rPr>
        <w:t>17.3m/s</w:t>
      </w:r>
      <w:r>
        <w:rPr>
          <w:rFonts w:hint="eastAsia"/>
        </w:rPr>
        <w:t>，主要风向西北风，出现在</w:t>
      </w:r>
      <w:r>
        <w:rPr>
          <w:rFonts w:hint="eastAsia"/>
        </w:rPr>
        <w:t>5</w:t>
      </w:r>
      <w:r>
        <w:rPr>
          <w:rFonts w:hint="eastAsia"/>
        </w:rPr>
        <w:t>～</w:t>
      </w:r>
      <w:r>
        <w:rPr>
          <w:rFonts w:hint="eastAsia"/>
        </w:rPr>
        <w:t>8</w:t>
      </w:r>
      <w:r>
        <w:rPr>
          <w:rFonts w:hint="eastAsia"/>
        </w:rPr>
        <w:t>月份；东风风速相对小些，出现在</w:t>
      </w:r>
      <w:r>
        <w:rPr>
          <w:rFonts w:hint="eastAsia"/>
        </w:rPr>
        <w:t>3</w:t>
      </w:r>
      <w:r>
        <w:rPr>
          <w:rFonts w:hint="eastAsia"/>
        </w:rPr>
        <w:t>～</w:t>
      </w:r>
      <w:r>
        <w:rPr>
          <w:rFonts w:hint="eastAsia"/>
        </w:rPr>
        <w:t>11</w:t>
      </w:r>
      <w:r>
        <w:rPr>
          <w:rFonts w:hint="eastAsia"/>
        </w:rPr>
        <w:t>月，多年最大风速</w:t>
      </w:r>
      <w:r>
        <w:rPr>
          <w:rFonts w:hint="eastAsia"/>
        </w:rPr>
        <w:t>11m/s</w:t>
      </w:r>
      <w:r>
        <w:rPr>
          <w:rFonts w:hint="eastAsia"/>
        </w:rPr>
        <w:t>。无霜期多平均</w:t>
      </w:r>
      <w:r>
        <w:rPr>
          <w:rFonts w:hint="eastAsia"/>
        </w:rPr>
        <w:t>244d</w:t>
      </w:r>
      <w:r>
        <w:rPr>
          <w:rFonts w:hint="eastAsia"/>
        </w:rPr>
        <w:t>，平原区最大冻土深度</w:t>
      </w:r>
      <w:r>
        <w:rPr>
          <w:rFonts w:hint="eastAsia"/>
        </w:rPr>
        <w:t>67cm</w:t>
      </w:r>
      <w:r>
        <w:rPr>
          <w:rFonts w:hint="eastAsia"/>
        </w:rPr>
        <w:t>，封冻期一般为十二月初，翌年二月解冻。</w:t>
      </w:r>
    </w:p>
    <w:p w14:paraId="4DAF138C" w14:textId="77777777" w:rsidR="005A1A44" w:rsidRDefault="005A1A44">
      <w:pPr>
        <w:ind w:firstLineChars="0" w:firstLine="0"/>
        <w:jc w:val="center"/>
        <w:rPr>
          <w:rFonts w:ascii="黑体" w:eastAsia="黑体" w:hAnsi="黑体" w:cs="黑体" w:hint="eastAsia"/>
        </w:rPr>
      </w:pPr>
    </w:p>
    <w:p w14:paraId="508DCB6F" w14:textId="77777777" w:rsidR="005A1A44" w:rsidRDefault="0008059E">
      <w:pPr>
        <w:ind w:firstLineChars="0" w:firstLine="0"/>
        <w:jc w:val="center"/>
      </w:pPr>
      <w:r>
        <w:rPr>
          <w:rFonts w:ascii="黑体" w:eastAsia="黑体" w:hAnsi="黑体" w:cs="黑体" w:hint="eastAsia"/>
        </w:rPr>
        <w:t>表4.1-1   和田市多年平均气象要素一览表</w:t>
      </w:r>
    </w:p>
    <w:p w14:paraId="6AC2388A" w14:textId="77777777" w:rsidR="005A1A44" w:rsidRDefault="0008059E">
      <w:pPr>
        <w:ind w:firstLineChars="0" w:firstLine="0"/>
      </w:pPr>
      <w:r>
        <w:rPr>
          <w:noProof/>
        </w:rPr>
        <w:drawing>
          <wp:inline distT="0" distB="0" distL="114300" distR="114300" wp14:anchorId="421FB771" wp14:editId="55CD385A">
            <wp:extent cx="5497830" cy="2189480"/>
            <wp:effectExtent l="0" t="0" r="7620" b="1270"/>
            <wp:docPr id="1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0"/>
                    <pic:cNvPicPr>
                      <a:picLocks noChangeAspect="1"/>
                    </pic:cNvPicPr>
                  </pic:nvPicPr>
                  <pic:blipFill>
                    <a:blip r:embed="rId33" cstate="print"/>
                    <a:srcRect l="35218" t="29791" r="17434" b="38781"/>
                    <a:stretch>
                      <a:fillRect/>
                    </a:stretch>
                  </pic:blipFill>
                  <pic:spPr>
                    <a:xfrm>
                      <a:off x="0" y="0"/>
                      <a:ext cx="5497830" cy="2189480"/>
                    </a:xfrm>
                    <a:prstGeom prst="rect">
                      <a:avLst/>
                    </a:prstGeom>
                    <a:noFill/>
                    <a:ln>
                      <a:noFill/>
                    </a:ln>
                  </pic:spPr>
                </pic:pic>
              </a:graphicData>
            </a:graphic>
          </wp:inline>
        </w:drawing>
      </w:r>
    </w:p>
    <w:p w14:paraId="37FFF075" w14:textId="77777777" w:rsidR="005A1A44" w:rsidRDefault="0008059E">
      <w:pPr>
        <w:pStyle w:val="4"/>
        <w:numPr>
          <w:ilvl w:val="3"/>
          <w:numId w:val="2"/>
        </w:numPr>
      </w:pPr>
      <w:r>
        <w:rPr>
          <w:rFonts w:hint="eastAsia"/>
        </w:rPr>
        <w:t xml:space="preserve"> </w:t>
      </w:r>
      <w:r>
        <w:rPr>
          <w:rFonts w:hint="eastAsia"/>
        </w:rPr>
        <w:t>地形地貌</w:t>
      </w:r>
    </w:p>
    <w:p w14:paraId="70B888AD" w14:textId="77777777" w:rsidR="005A1A44" w:rsidRDefault="0008059E">
      <w:pPr>
        <w:ind w:firstLine="480"/>
      </w:pPr>
      <w:r>
        <w:rPr>
          <w:rFonts w:hint="eastAsia"/>
        </w:rPr>
        <w:t>和田境内地质分三个部分：一、昆仑山区。黄土厚度在</w:t>
      </w:r>
      <w:r>
        <w:rPr>
          <w:rFonts w:hint="eastAsia"/>
        </w:rPr>
        <w:t>0.9</w:t>
      </w:r>
      <w:r>
        <w:rPr>
          <w:rFonts w:hint="eastAsia"/>
        </w:rPr>
        <w:t>～</w:t>
      </w:r>
      <w:r>
        <w:rPr>
          <w:rFonts w:hint="eastAsia"/>
        </w:rPr>
        <w:t>1.8m</w:t>
      </w:r>
      <w:r>
        <w:rPr>
          <w:rFonts w:hint="eastAsia"/>
        </w:rPr>
        <w:t>左右，以下是戈壁土、片石、岩石，土层地下水位在</w:t>
      </w:r>
      <w:r>
        <w:rPr>
          <w:rFonts w:hint="eastAsia"/>
        </w:rPr>
        <w:t>8</w:t>
      </w:r>
      <w:r>
        <w:rPr>
          <w:rFonts w:hint="eastAsia"/>
        </w:rPr>
        <w:t>～</w:t>
      </w:r>
      <w:r>
        <w:rPr>
          <w:rFonts w:hint="eastAsia"/>
        </w:rPr>
        <w:t>30m</w:t>
      </w:r>
      <w:r>
        <w:rPr>
          <w:rFonts w:hint="eastAsia"/>
        </w:rPr>
        <w:t>之间，地质承载力为</w:t>
      </w:r>
      <w:r>
        <w:rPr>
          <w:rFonts w:hint="eastAsia"/>
        </w:rPr>
        <w:t>14</w:t>
      </w:r>
      <w:r>
        <w:rPr>
          <w:rFonts w:hint="eastAsia"/>
        </w:rPr>
        <w:t>～</w:t>
      </w:r>
      <w:r>
        <w:rPr>
          <w:rFonts w:hint="eastAsia"/>
        </w:rPr>
        <w:t>27t/m</w:t>
      </w:r>
      <w:r>
        <w:rPr>
          <w:rFonts w:hint="eastAsia"/>
          <w:vertAlign w:val="superscript"/>
        </w:rPr>
        <w:t>2</w:t>
      </w:r>
      <w:r>
        <w:rPr>
          <w:rFonts w:hint="eastAsia"/>
        </w:rPr>
        <w:t>左右。二、昆仑山麓山前倾斜平原。地貌南高北低，土层在</w:t>
      </w:r>
      <w:r>
        <w:rPr>
          <w:rFonts w:hint="eastAsia"/>
        </w:rPr>
        <w:t>7m</w:t>
      </w:r>
      <w:r>
        <w:rPr>
          <w:rFonts w:hint="eastAsia"/>
        </w:rPr>
        <w:t>左右，粉砂层</w:t>
      </w:r>
      <w:r>
        <w:rPr>
          <w:rFonts w:hint="eastAsia"/>
        </w:rPr>
        <w:t>0.8m</w:t>
      </w:r>
      <w:r>
        <w:rPr>
          <w:rFonts w:hint="eastAsia"/>
        </w:rPr>
        <w:t>，最高地下水位</w:t>
      </w:r>
      <w:r>
        <w:rPr>
          <w:rFonts w:hint="eastAsia"/>
        </w:rPr>
        <w:t>7.5m</w:t>
      </w:r>
      <w:r>
        <w:rPr>
          <w:rFonts w:hint="eastAsia"/>
        </w:rPr>
        <w:t>，地质承载力在</w:t>
      </w:r>
      <w:r>
        <w:rPr>
          <w:rFonts w:hint="eastAsia"/>
        </w:rPr>
        <w:t>8</w:t>
      </w:r>
      <w:r>
        <w:rPr>
          <w:rFonts w:hint="eastAsia"/>
        </w:rPr>
        <w:t>～</w:t>
      </w:r>
      <w:r>
        <w:rPr>
          <w:rFonts w:hint="eastAsia"/>
        </w:rPr>
        <w:t>14t/m</w:t>
      </w:r>
      <w:r>
        <w:rPr>
          <w:rFonts w:hint="eastAsia"/>
          <w:vertAlign w:val="superscript"/>
        </w:rPr>
        <w:t>2</w:t>
      </w:r>
      <w:r>
        <w:rPr>
          <w:rFonts w:hint="eastAsia"/>
        </w:rPr>
        <w:t>左右。三、昆仑山麓山前倾斜平原下部与塔克拉玛干沙漠交接处，地形平坦。耕植土厚度</w:t>
      </w:r>
      <w:r>
        <w:rPr>
          <w:rFonts w:hint="eastAsia"/>
        </w:rPr>
        <w:t>1</w:t>
      </w:r>
      <w:r>
        <w:rPr>
          <w:rFonts w:hint="eastAsia"/>
        </w:rPr>
        <w:t>～</w:t>
      </w:r>
      <w:r>
        <w:rPr>
          <w:rFonts w:hint="eastAsia"/>
        </w:rPr>
        <w:t>1.2m</w:t>
      </w:r>
      <w:r>
        <w:rPr>
          <w:rFonts w:hint="eastAsia"/>
        </w:rPr>
        <w:t>，黄褐色，主要是粉砂，稍湿、松散，地下水位在</w:t>
      </w:r>
      <w:r>
        <w:rPr>
          <w:rFonts w:hint="eastAsia"/>
        </w:rPr>
        <w:t>1.9</w:t>
      </w:r>
      <w:r>
        <w:rPr>
          <w:rFonts w:hint="eastAsia"/>
        </w:rPr>
        <w:t>～</w:t>
      </w:r>
      <w:r>
        <w:rPr>
          <w:rFonts w:hint="eastAsia"/>
        </w:rPr>
        <w:t>2m</w:t>
      </w:r>
      <w:r>
        <w:rPr>
          <w:rFonts w:hint="eastAsia"/>
        </w:rPr>
        <w:t>左右，地质承载力在</w:t>
      </w:r>
      <w:r>
        <w:rPr>
          <w:rFonts w:hint="eastAsia"/>
        </w:rPr>
        <w:t>4</w:t>
      </w:r>
      <w:r>
        <w:rPr>
          <w:rFonts w:hint="eastAsia"/>
        </w:rPr>
        <w:t>～</w:t>
      </w:r>
      <w:r>
        <w:rPr>
          <w:rFonts w:hint="eastAsia"/>
        </w:rPr>
        <w:t>8t/m</w:t>
      </w:r>
      <w:r>
        <w:rPr>
          <w:rFonts w:hint="eastAsia"/>
          <w:vertAlign w:val="superscript"/>
        </w:rPr>
        <w:t>2</w:t>
      </w:r>
      <w:r>
        <w:rPr>
          <w:rFonts w:hint="eastAsia"/>
        </w:rPr>
        <w:t>。县境内海拔最高占</w:t>
      </w:r>
      <w:r>
        <w:rPr>
          <w:rFonts w:hint="eastAsia"/>
        </w:rPr>
        <w:t>7000m</w:t>
      </w:r>
      <w:r>
        <w:rPr>
          <w:rFonts w:hint="eastAsia"/>
        </w:rPr>
        <w:t>，最低</w:t>
      </w:r>
      <w:r>
        <w:rPr>
          <w:rFonts w:hint="eastAsia"/>
        </w:rPr>
        <w:t>1233m</w:t>
      </w:r>
      <w:r>
        <w:rPr>
          <w:rFonts w:hint="eastAsia"/>
        </w:rPr>
        <w:t>。地势南高北低，西高东低。喀喇昆仑山位于和田市西南边界上，山脉走向～东南，是印度河流域与塔里木河流域的分界线。和田市的地貌类型划分为</w:t>
      </w:r>
      <w:r>
        <w:rPr>
          <w:rFonts w:hint="eastAsia"/>
        </w:rPr>
        <w:t>5</w:t>
      </w:r>
      <w:r>
        <w:rPr>
          <w:rFonts w:hint="eastAsia"/>
        </w:rPr>
        <w:t>种：风积沙漠区（海拔</w:t>
      </w:r>
      <w:r>
        <w:rPr>
          <w:rFonts w:hint="eastAsia"/>
        </w:rPr>
        <w:t>1200</w:t>
      </w:r>
      <w:r>
        <w:rPr>
          <w:rFonts w:hint="eastAsia"/>
        </w:rPr>
        <w:t>～</w:t>
      </w:r>
      <w:r>
        <w:rPr>
          <w:rFonts w:hint="eastAsia"/>
        </w:rPr>
        <w:t>1400m</w:t>
      </w:r>
      <w:r>
        <w:rPr>
          <w:rFonts w:hint="eastAsia"/>
        </w:rPr>
        <w:t>），山前平原堆积区（海拔</w:t>
      </w:r>
      <w:r>
        <w:rPr>
          <w:rFonts w:hint="eastAsia"/>
        </w:rPr>
        <w:t>1400</w:t>
      </w:r>
      <w:r>
        <w:rPr>
          <w:rFonts w:hint="eastAsia"/>
        </w:rPr>
        <w:t>～</w:t>
      </w:r>
      <w:r>
        <w:rPr>
          <w:rFonts w:hint="eastAsia"/>
        </w:rPr>
        <w:t>2000m</w:t>
      </w:r>
      <w:r>
        <w:rPr>
          <w:rFonts w:hint="eastAsia"/>
        </w:rPr>
        <w:t>），高山、极高山强烈侵蚀区（海拔</w:t>
      </w:r>
      <w:r>
        <w:rPr>
          <w:rFonts w:hint="eastAsia"/>
        </w:rPr>
        <w:t>3500</w:t>
      </w:r>
      <w:r>
        <w:rPr>
          <w:rFonts w:hint="eastAsia"/>
        </w:rPr>
        <w:t>～</w:t>
      </w:r>
      <w:r>
        <w:rPr>
          <w:rFonts w:hint="eastAsia"/>
        </w:rPr>
        <w:t>5000m</w:t>
      </w:r>
      <w:r>
        <w:rPr>
          <w:rFonts w:hint="eastAsia"/>
        </w:rPr>
        <w:t>和</w:t>
      </w:r>
      <w:r>
        <w:rPr>
          <w:rFonts w:hint="eastAsia"/>
        </w:rPr>
        <w:t>5000m</w:t>
      </w:r>
      <w:r>
        <w:rPr>
          <w:rFonts w:hint="eastAsia"/>
        </w:rPr>
        <w:t>以上），高山、极高山剥蚀堆积（海拔</w:t>
      </w:r>
      <w:r>
        <w:rPr>
          <w:rFonts w:hint="eastAsia"/>
        </w:rPr>
        <w:t>3500</w:t>
      </w:r>
      <w:r>
        <w:rPr>
          <w:rFonts w:hint="eastAsia"/>
        </w:rPr>
        <w:t>～</w:t>
      </w:r>
      <w:r>
        <w:rPr>
          <w:rFonts w:hint="eastAsia"/>
        </w:rPr>
        <w:t>5000m</w:t>
      </w:r>
      <w:r>
        <w:rPr>
          <w:rFonts w:hint="eastAsia"/>
        </w:rPr>
        <w:t>和</w:t>
      </w:r>
      <w:r>
        <w:rPr>
          <w:rFonts w:hint="eastAsia"/>
        </w:rPr>
        <w:t>5000m</w:t>
      </w:r>
      <w:r>
        <w:rPr>
          <w:rFonts w:hint="eastAsia"/>
        </w:rPr>
        <w:t>以上），雪被、冰川分布区（海拔</w:t>
      </w:r>
      <w:r>
        <w:rPr>
          <w:rFonts w:hint="eastAsia"/>
        </w:rPr>
        <w:t>5000m</w:t>
      </w:r>
      <w:r>
        <w:rPr>
          <w:rFonts w:hint="eastAsia"/>
        </w:rPr>
        <w:t>以上）。县境内主要山峰有</w:t>
      </w:r>
      <w:r>
        <w:rPr>
          <w:rFonts w:hint="eastAsia"/>
        </w:rPr>
        <w:t>4</w:t>
      </w:r>
      <w:r>
        <w:rPr>
          <w:rFonts w:hint="eastAsia"/>
        </w:rPr>
        <w:t>座：昌其利满岭，（最高海拔</w:t>
      </w:r>
      <w:r>
        <w:rPr>
          <w:rFonts w:hint="eastAsia"/>
        </w:rPr>
        <w:t>6500m</w:t>
      </w:r>
      <w:r>
        <w:rPr>
          <w:rFonts w:hint="eastAsia"/>
        </w:rPr>
        <w:t>）；西罗克宗山（最高海拔</w:t>
      </w:r>
      <w:r>
        <w:rPr>
          <w:rFonts w:hint="eastAsia"/>
        </w:rPr>
        <w:t>6827m</w:t>
      </w:r>
      <w:r>
        <w:rPr>
          <w:rFonts w:hint="eastAsia"/>
        </w:rPr>
        <w:t>）；察汗玛克楚山（海拔</w:t>
      </w:r>
      <w:r>
        <w:rPr>
          <w:rFonts w:hint="eastAsia"/>
        </w:rPr>
        <w:t>6827m</w:t>
      </w:r>
      <w:r>
        <w:rPr>
          <w:rFonts w:hint="eastAsia"/>
        </w:rPr>
        <w:t>）；慕士山（海拔</w:t>
      </w:r>
      <w:r>
        <w:rPr>
          <w:rFonts w:hint="eastAsia"/>
        </w:rPr>
        <w:t>6638m</w:t>
      </w:r>
      <w:r>
        <w:rPr>
          <w:rFonts w:hint="eastAsia"/>
        </w:rPr>
        <w:t>）。</w:t>
      </w:r>
    </w:p>
    <w:p w14:paraId="72603C52" w14:textId="77777777" w:rsidR="005A1A44" w:rsidRDefault="0008059E">
      <w:pPr>
        <w:pStyle w:val="4"/>
        <w:numPr>
          <w:ilvl w:val="3"/>
          <w:numId w:val="2"/>
        </w:numPr>
      </w:pPr>
      <w:r>
        <w:rPr>
          <w:rFonts w:hint="eastAsia"/>
        </w:rPr>
        <w:lastRenderedPageBreak/>
        <w:t xml:space="preserve"> </w:t>
      </w:r>
      <w:r>
        <w:rPr>
          <w:rFonts w:hint="eastAsia"/>
        </w:rPr>
        <w:t>地质条件</w:t>
      </w:r>
    </w:p>
    <w:p w14:paraId="70F71025" w14:textId="77777777" w:rsidR="005A1A44" w:rsidRDefault="0008059E">
      <w:pPr>
        <w:numPr>
          <w:ilvl w:val="0"/>
          <w:numId w:val="11"/>
        </w:numPr>
        <w:ind w:firstLine="480"/>
      </w:pPr>
      <w:r>
        <w:rPr>
          <w:rFonts w:hint="eastAsia"/>
        </w:rPr>
        <w:t>地层岩性</w:t>
      </w:r>
    </w:p>
    <w:p w14:paraId="51334D1B" w14:textId="77777777" w:rsidR="005A1A44" w:rsidRDefault="0008059E">
      <w:pPr>
        <w:ind w:firstLine="480"/>
      </w:pPr>
      <w:r>
        <w:rPr>
          <w:rFonts w:hint="eastAsia"/>
        </w:rPr>
        <w:t>区域内发育的地层有早元古界、中元古界、下古生界、上古生界、中生界、新生界第三系和第四系地层，现由老至新分述如下：</w:t>
      </w:r>
    </w:p>
    <w:p w14:paraId="3821F3C7" w14:textId="77777777" w:rsidR="005A1A44" w:rsidRDefault="0008059E">
      <w:pPr>
        <w:ind w:firstLine="480"/>
      </w:pPr>
      <w:r>
        <w:rPr>
          <w:rFonts w:hint="eastAsia"/>
        </w:rPr>
        <w:t>早元古界滹沱系：早元古界滹沱系地层大面积分布，为一套中深变质岩系，主要为埃连卡特岩群，厚度大于</w:t>
      </w:r>
      <w:r>
        <w:rPr>
          <w:rFonts w:hint="eastAsia"/>
        </w:rPr>
        <w:t>5km</w:t>
      </w:r>
      <w:r>
        <w:rPr>
          <w:rFonts w:hint="eastAsia"/>
        </w:rPr>
        <w:t>。</w:t>
      </w:r>
    </w:p>
    <w:p w14:paraId="0991F383" w14:textId="77777777" w:rsidR="005A1A44" w:rsidRDefault="0008059E">
      <w:pPr>
        <w:ind w:firstLine="480"/>
      </w:pPr>
      <w:r>
        <w:rPr>
          <w:rFonts w:hint="eastAsia"/>
        </w:rPr>
        <w:t>中元古界长城系：中元古界主要发育有长城系赛拉加兹塔格岩群，为一套中深变质岩系，厚度</w:t>
      </w:r>
      <w:r>
        <w:rPr>
          <w:rFonts w:hint="eastAsia"/>
        </w:rPr>
        <w:t>3</w:t>
      </w:r>
      <w:r>
        <w:rPr>
          <w:rFonts w:hint="eastAsia"/>
        </w:rPr>
        <w:t>～</w:t>
      </w:r>
      <w:r>
        <w:rPr>
          <w:rFonts w:hint="eastAsia"/>
        </w:rPr>
        <w:t>6km</w:t>
      </w:r>
      <w:r>
        <w:rPr>
          <w:rFonts w:hint="eastAsia"/>
        </w:rPr>
        <w:t>。</w:t>
      </w:r>
    </w:p>
    <w:p w14:paraId="3F379061" w14:textId="77777777" w:rsidR="005A1A44" w:rsidRDefault="0008059E">
      <w:pPr>
        <w:ind w:firstLine="480"/>
      </w:pPr>
      <w:r>
        <w:rPr>
          <w:rFonts w:hint="eastAsia"/>
        </w:rPr>
        <w:t>下古生界奥陶—寒武系：该套地层为阿奇克片岩组，分布于同古孜洛克以东</w:t>
      </w:r>
      <w:r>
        <w:rPr>
          <w:rFonts w:hint="eastAsia"/>
        </w:rPr>
        <w:t>25km</w:t>
      </w:r>
      <w:r>
        <w:rPr>
          <w:rFonts w:hint="eastAsia"/>
        </w:rPr>
        <w:t>，出露面积小，多被第四系地层覆盖。</w:t>
      </w:r>
    </w:p>
    <w:p w14:paraId="51AA9E06" w14:textId="77777777" w:rsidR="005A1A44" w:rsidRDefault="0008059E">
      <w:pPr>
        <w:ind w:firstLine="480"/>
      </w:pPr>
      <w:r>
        <w:rPr>
          <w:rFonts w:hint="eastAsia"/>
        </w:rPr>
        <w:t>上古生界：上古生界在该区发育有石炭系及二叠系地层。石炭系地层多分布于布雅路口至博萨提河汇合口，呈条带状产出。二叠系地层发育有晋司格岩组，分布于布雅路口以东地区，分布面积较广。</w:t>
      </w:r>
    </w:p>
    <w:p w14:paraId="197D1C48" w14:textId="77777777" w:rsidR="005A1A44" w:rsidRDefault="0008059E">
      <w:pPr>
        <w:ind w:firstLine="480"/>
      </w:pPr>
      <w:r>
        <w:rPr>
          <w:rFonts w:hint="eastAsia"/>
        </w:rPr>
        <w:t>中生界侏罗系：中生界地层在该区发育有叶尔羌岩组，分布于布雅路口以东</w:t>
      </w:r>
      <w:r>
        <w:rPr>
          <w:rFonts w:hint="eastAsia"/>
        </w:rPr>
        <w:t>20km</w:t>
      </w:r>
      <w:r>
        <w:rPr>
          <w:rFonts w:hint="eastAsia"/>
        </w:rPr>
        <w:t>地区，呈条带状产出，可见厚度</w:t>
      </w:r>
      <w:r>
        <w:rPr>
          <w:rFonts w:hint="eastAsia"/>
        </w:rPr>
        <w:t>1km</w:t>
      </w:r>
      <w:r>
        <w:rPr>
          <w:rFonts w:hint="eastAsia"/>
        </w:rPr>
        <w:t>。</w:t>
      </w:r>
    </w:p>
    <w:p w14:paraId="6FB2B04C" w14:textId="77777777" w:rsidR="005A1A44" w:rsidRDefault="0008059E">
      <w:pPr>
        <w:ind w:firstLine="480"/>
      </w:pPr>
      <w:r>
        <w:rPr>
          <w:rFonts w:hint="eastAsia"/>
        </w:rPr>
        <w:t>新生界地层：新生界地层在该区广泛发育，主要发育有古新统及第四系地层。</w:t>
      </w:r>
    </w:p>
    <w:p w14:paraId="35225204" w14:textId="77777777" w:rsidR="005A1A44" w:rsidRDefault="0008059E">
      <w:pPr>
        <w:ind w:firstLine="480"/>
      </w:pPr>
      <w:r>
        <w:rPr>
          <w:rFonts w:hint="eastAsia"/>
        </w:rPr>
        <w:t>古新统地层：主要分布于布雅路口至博萨提汇合口以东</w:t>
      </w:r>
      <w:r>
        <w:rPr>
          <w:rFonts w:hint="eastAsia"/>
        </w:rPr>
        <w:t>25km</w:t>
      </w:r>
      <w:r>
        <w:rPr>
          <w:rFonts w:hint="eastAsia"/>
        </w:rPr>
        <w:t>盆地内，分布面积较广，厚度大于</w:t>
      </w:r>
      <w:r>
        <w:rPr>
          <w:rFonts w:hint="eastAsia"/>
        </w:rPr>
        <w:t>10km</w:t>
      </w:r>
      <w:r>
        <w:rPr>
          <w:rFonts w:hint="eastAsia"/>
        </w:rPr>
        <w:t>。</w:t>
      </w:r>
    </w:p>
    <w:p w14:paraId="00B1276B" w14:textId="77777777" w:rsidR="005A1A44" w:rsidRDefault="0008059E">
      <w:pPr>
        <w:ind w:firstLine="480"/>
      </w:pPr>
      <w:r>
        <w:rPr>
          <w:rFonts w:hint="eastAsia"/>
        </w:rPr>
        <w:t>新生界第四系地层发育，分布面积广，沉积物以冲积、洪积砂卵砾石、砂、粉土碎石及风积砂为主。其次为零星分布的坡积、残积、崩积的碎块石土地，碎石及漂石。第四纪堆积物属典型的陆相沉积类型，强烈的机械物理风化作用及水流和风的吹扬作用，形成不同时期、不同类型、不同厚度、规模大小不等的松散堆积层。</w:t>
      </w:r>
    </w:p>
    <w:p w14:paraId="2741DDAF" w14:textId="77777777" w:rsidR="005A1A44" w:rsidRDefault="0008059E">
      <w:pPr>
        <w:ind w:firstLine="480"/>
      </w:pPr>
      <w:r>
        <w:rPr>
          <w:rFonts w:hint="eastAsia"/>
        </w:rPr>
        <w:t>（</w:t>
      </w:r>
      <w:r>
        <w:rPr>
          <w:rFonts w:hint="eastAsia"/>
        </w:rPr>
        <w:t>2</w:t>
      </w:r>
      <w:r>
        <w:rPr>
          <w:rFonts w:hint="eastAsia"/>
        </w:rPr>
        <w:t>）地质构造</w:t>
      </w:r>
    </w:p>
    <w:p w14:paraId="24E243B1" w14:textId="77777777" w:rsidR="005A1A44" w:rsidRDefault="0008059E">
      <w:pPr>
        <w:ind w:firstLine="480"/>
      </w:pPr>
      <w:r>
        <w:rPr>
          <w:rFonts w:hint="eastAsia"/>
        </w:rPr>
        <w:t>和田河流域在大地构造单元上，位于塔里木地台与西昆仑褶皱带之间，流域所涉及的大型断裂自北向南依次为铁克力克断裂、柯岗断裂及康西瓦断裂。</w:t>
      </w:r>
    </w:p>
    <w:p w14:paraId="174B965D" w14:textId="77777777" w:rsidR="005A1A44" w:rsidRDefault="0008059E">
      <w:pPr>
        <w:ind w:firstLine="480"/>
      </w:pPr>
      <w:r>
        <w:rPr>
          <w:rFonts w:hint="eastAsia"/>
        </w:rPr>
        <w:t>铁克力克断裂：位于出山口以上，引水渠首和乌鲁瓦提水利枢纽工程之间，为区域活动断裂，断裂总体走向</w:t>
      </w:r>
      <w:r>
        <w:rPr>
          <w:rFonts w:hint="eastAsia"/>
        </w:rPr>
        <w:t>280</w:t>
      </w:r>
      <w:r>
        <w:rPr>
          <w:rFonts w:hint="eastAsia"/>
        </w:rPr>
        <w:t>°～</w:t>
      </w:r>
      <w:r>
        <w:rPr>
          <w:rFonts w:hint="eastAsia"/>
        </w:rPr>
        <w:t>290</w:t>
      </w:r>
      <w:r>
        <w:rPr>
          <w:rFonts w:hint="eastAsia"/>
        </w:rPr>
        <w:t>°，倾向</w:t>
      </w:r>
      <w:r>
        <w:rPr>
          <w:rFonts w:hint="eastAsia"/>
        </w:rPr>
        <w:t>SW</w:t>
      </w:r>
      <w:r>
        <w:rPr>
          <w:rFonts w:hint="eastAsia"/>
        </w:rPr>
        <w:t>，倾角</w:t>
      </w:r>
      <w:r>
        <w:rPr>
          <w:rFonts w:hint="eastAsia"/>
        </w:rPr>
        <w:t>70</w:t>
      </w:r>
      <w:r>
        <w:rPr>
          <w:rFonts w:hint="eastAsia"/>
        </w:rPr>
        <w:t>°～</w:t>
      </w:r>
      <w:r>
        <w:rPr>
          <w:rFonts w:hint="eastAsia"/>
        </w:rPr>
        <w:t>85</w:t>
      </w:r>
      <w:r>
        <w:rPr>
          <w:rFonts w:hint="eastAsia"/>
        </w:rPr>
        <w:t>°，破碎带</w:t>
      </w:r>
      <w:r>
        <w:rPr>
          <w:rFonts w:hint="eastAsia"/>
        </w:rPr>
        <w:lastRenderedPageBreak/>
        <w:t>宽</w:t>
      </w:r>
      <w:r>
        <w:rPr>
          <w:rFonts w:hint="eastAsia"/>
        </w:rPr>
        <w:t>180</w:t>
      </w:r>
      <w:r>
        <w:rPr>
          <w:rFonts w:hint="eastAsia"/>
        </w:rPr>
        <w:t>～</w:t>
      </w:r>
      <w:r>
        <w:rPr>
          <w:rFonts w:hint="eastAsia"/>
        </w:rPr>
        <w:t>300m</w:t>
      </w:r>
      <w:r>
        <w:rPr>
          <w:rFonts w:hint="eastAsia"/>
        </w:rPr>
        <w:t>。断裂南盘为单一的早元古界变质岩系，北盘中新生界碎屑岩类。根据新疆地震局在杜瓦南对铁克力克断裂带</w:t>
      </w:r>
      <w:r>
        <w:rPr>
          <w:rFonts w:hint="eastAsia"/>
        </w:rPr>
        <w:t>C14</w:t>
      </w:r>
      <w:r>
        <w:rPr>
          <w:rFonts w:hint="eastAsia"/>
        </w:rPr>
        <w:t>取样检测结果，</w:t>
      </w:r>
      <w:r>
        <w:rPr>
          <w:rFonts w:hint="eastAsia"/>
        </w:rPr>
        <w:t>2.8</w:t>
      </w:r>
      <w:r>
        <w:rPr>
          <w:rFonts w:hint="eastAsia"/>
        </w:rPr>
        <w:t>万年以前曾活动过，并确定断裂最新一次活动在晚更新世晚期，全新世以来，断裂活动明显减弱。铁克力克断裂错断Ⅵ级河流阶地，但对Ⅰ～Ⅲ级阶地没有明显影响；在和田市至乌鲁瓦提水利枢纽公路南冲沟内，该断裂出露</w:t>
      </w:r>
      <w:r>
        <w:rPr>
          <w:rFonts w:hint="eastAsia"/>
        </w:rPr>
        <w:t>5</w:t>
      </w:r>
      <w:r>
        <w:rPr>
          <w:rFonts w:hint="eastAsia"/>
        </w:rPr>
        <w:t>个宽</w:t>
      </w:r>
      <w:r>
        <w:rPr>
          <w:rFonts w:hint="eastAsia"/>
        </w:rPr>
        <w:t>3</w:t>
      </w:r>
      <w:r>
        <w:rPr>
          <w:rFonts w:hint="eastAsia"/>
        </w:rPr>
        <w:t>～</w:t>
      </w:r>
      <w:r>
        <w:rPr>
          <w:rFonts w:hint="eastAsia"/>
        </w:rPr>
        <w:t>15m</w:t>
      </w:r>
      <w:r>
        <w:rPr>
          <w:rFonts w:hint="eastAsia"/>
        </w:rPr>
        <w:t>，走向平行的断裂带，破碎带以碎裂岩、构造透镜体夹糜棱岩为主，晚更新世洪积物底部有明显错动迹象。</w:t>
      </w:r>
    </w:p>
    <w:p w14:paraId="49D41A54" w14:textId="77777777" w:rsidR="005A1A44" w:rsidRDefault="0008059E">
      <w:pPr>
        <w:ind w:firstLine="480"/>
      </w:pPr>
      <w:r>
        <w:rPr>
          <w:rFonts w:hint="eastAsia"/>
        </w:rPr>
        <w:t>柯岗断裂：该断裂沿喀拉喀什河的支流托满河至玉龙喀什河的嘉士山，穿过整个流域。该断裂在卫片上具有清晰的线性构造，断裂总体产状</w:t>
      </w:r>
      <w:r>
        <w:rPr>
          <w:rFonts w:hint="eastAsia"/>
        </w:rPr>
        <w:t>310</w:t>
      </w:r>
      <w:r>
        <w:rPr>
          <w:rFonts w:hint="eastAsia"/>
        </w:rPr>
        <w:t>°～</w:t>
      </w:r>
      <w:r>
        <w:rPr>
          <w:rFonts w:hint="eastAsia"/>
        </w:rPr>
        <w:t>320</w:t>
      </w:r>
      <w:r>
        <w:rPr>
          <w:rFonts w:hint="eastAsia"/>
        </w:rPr>
        <w:t>°</w:t>
      </w:r>
      <w:r>
        <w:rPr>
          <w:rFonts w:hint="eastAsia"/>
        </w:rPr>
        <w:t>SW</w:t>
      </w:r>
      <w:r>
        <w:rPr>
          <w:rFonts w:hint="eastAsia"/>
        </w:rPr>
        <w:t>∠</w:t>
      </w:r>
      <w:r>
        <w:rPr>
          <w:rFonts w:hint="eastAsia"/>
        </w:rPr>
        <w:t>65</w:t>
      </w:r>
      <w:r>
        <w:rPr>
          <w:rFonts w:hint="eastAsia"/>
        </w:rPr>
        <w:t>°～</w:t>
      </w:r>
      <w:r>
        <w:rPr>
          <w:rFonts w:hint="eastAsia"/>
        </w:rPr>
        <w:t>75</w:t>
      </w:r>
      <w:r>
        <w:rPr>
          <w:rFonts w:hint="eastAsia"/>
        </w:rPr>
        <w:t>°，破碎带宽</w:t>
      </w:r>
      <w:r>
        <w:rPr>
          <w:rFonts w:hint="eastAsia"/>
        </w:rPr>
        <w:t>600</w:t>
      </w:r>
      <w:r>
        <w:rPr>
          <w:rFonts w:hint="eastAsia"/>
        </w:rPr>
        <w:t>～</w:t>
      </w:r>
      <w:r>
        <w:rPr>
          <w:rFonts w:hint="eastAsia"/>
        </w:rPr>
        <w:t>700m</w:t>
      </w:r>
      <w:r>
        <w:rPr>
          <w:rFonts w:hint="eastAsia"/>
        </w:rPr>
        <w:t>。托满河段为柯岗断裂的中线地带，该地段柯岗断裂带内构造岩十分发育，带内大部分为黑色、灰黑色的糜棱岩，与两岸岩体颜色相差较大，部分地段岩体皱褶强烈。托满河中游河段左岸Ⅱ级阶地底面有挠曲变形，阶地底面下游侧较上游侧高，在下部柯岗断裂带上可见断层面。在托满河与喀拉喀什河汇合口左岸Ⅲ级阶地中砂层透镜体明显被挠曲变形，该砂层下游侧较上游侧高并倾向岸内，其上可见断层面。在整个托满河段中，发现两岸沟口绝大部分朝向上游侧，并在沟口山梁常可见断层垭口，这说明柯岗断裂错断冲沟。据资料，沿该断裂带有</w:t>
      </w:r>
      <w:r>
        <w:rPr>
          <w:rFonts w:hint="eastAsia"/>
        </w:rPr>
        <w:t>4</w:t>
      </w:r>
      <w:r>
        <w:rPr>
          <w:rFonts w:hint="eastAsia"/>
        </w:rPr>
        <w:t>～</w:t>
      </w:r>
      <w:r>
        <w:rPr>
          <w:rFonts w:hint="eastAsia"/>
        </w:rPr>
        <w:t>6.25</w:t>
      </w:r>
      <w:r>
        <w:rPr>
          <w:rFonts w:hint="eastAsia"/>
        </w:rPr>
        <w:t>级地震分布，属活动性较强的区域性断裂。</w:t>
      </w:r>
    </w:p>
    <w:p w14:paraId="6902F4F9" w14:textId="77777777" w:rsidR="005A1A44" w:rsidRDefault="0008059E">
      <w:pPr>
        <w:ind w:firstLine="480"/>
      </w:pPr>
      <w:r>
        <w:rPr>
          <w:rFonts w:hint="eastAsia"/>
        </w:rPr>
        <w:t>康西瓦断裂：该断裂是位于塔里木板块和喀喇昆仑板块的分界断层，西起塔什库尔干盆地东缘，经辛迪向南东延伸至麻扎、三十里营房，而后向东经康西瓦、慕士山至琼木孜塔格西南被阿尔金断裂斜向截断，全长约</w:t>
      </w:r>
      <w:r>
        <w:rPr>
          <w:rFonts w:hint="eastAsia"/>
        </w:rPr>
        <w:t>725km</w:t>
      </w:r>
      <w:r>
        <w:rPr>
          <w:rFonts w:hint="eastAsia"/>
        </w:rPr>
        <w:t>，宽约</w:t>
      </w:r>
      <w:r>
        <w:rPr>
          <w:rFonts w:hint="eastAsia"/>
        </w:rPr>
        <w:t>3</w:t>
      </w:r>
      <w:r>
        <w:rPr>
          <w:rFonts w:hint="eastAsia"/>
        </w:rPr>
        <w:t>～</w:t>
      </w:r>
      <w:r>
        <w:rPr>
          <w:rFonts w:hint="eastAsia"/>
        </w:rPr>
        <w:t>5km</w:t>
      </w:r>
      <w:r>
        <w:rPr>
          <w:rFonts w:hint="eastAsia"/>
        </w:rPr>
        <w:t>，由平行的</w:t>
      </w:r>
      <w:r>
        <w:rPr>
          <w:rFonts w:hint="eastAsia"/>
        </w:rPr>
        <w:t>3</w:t>
      </w:r>
      <w:r>
        <w:rPr>
          <w:rFonts w:hint="eastAsia"/>
        </w:rPr>
        <w:t>～</w:t>
      </w:r>
      <w:r>
        <w:rPr>
          <w:rFonts w:hint="eastAsia"/>
        </w:rPr>
        <w:t>4</w:t>
      </w:r>
      <w:r>
        <w:rPr>
          <w:rFonts w:hint="eastAsia"/>
        </w:rPr>
        <w:t>条断层构成走向</w:t>
      </w:r>
      <w:r>
        <w:rPr>
          <w:rFonts w:hint="eastAsia"/>
        </w:rPr>
        <w:t>NW</w:t>
      </w:r>
      <w:r>
        <w:rPr>
          <w:rFonts w:hint="eastAsia"/>
        </w:rPr>
        <w:t>～</w:t>
      </w:r>
      <w:r>
        <w:rPr>
          <w:rFonts w:hint="eastAsia"/>
        </w:rPr>
        <w:t>SE</w:t>
      </w:r>
      <w:r>
        <w:rPr>
          <w:rFonts w:hint="eastAsia"/>
        </w:rPr>
        <w:t>的叠瓦状逆冲带组成，断层面主体向南倾斜，倾角在</w:t>
      </w:r>
      <w:r>
        <w:rPr>
          <w:rFonts w:hint="eastAsia"/>
        </w:rPr>
        <w:t>60</w:t>
      </w:r>
      <w:r>
        <w:rPr>
          <w:rFonts w:hint="eastAsia"/>
        </w:rPr>
        <w:t>°～</w:t>
      </w:r>
      <w:r>
        <w:rPr>
          <w:rFonts w:hint="eastAsia"/>
        </w:rPr>
        <w:t>75</w:t>
      </w:r>
      <w:r>
        <w:rPr>
          <w:rFonts w:hint="eastAsia"/>
        </w:rPr>
        <w:t>°，整体呈反“</w:t>
      </w:r>
      <w:r>
        <w:rPr>
          <w:rFonts w:hint="eastAsia"/>
        </w:rPr>
        <w:t>S</w:t>
      </w:r>
      <w:r>
        <w:rPr>
          <w:rFonts w:hint="eastAsia"/>
        </w:rPr>
        <w:t>”形，主弧形向南西突出。在航卫片中均有较为清晰的线性影像特征。沿断裂带由很宽的糜棱岩化带，角砾岩化带及片理化带。破碎带宽度一般为几百米，其中有</w:t>
      </w:r>
      <w:r>
        <w:rPr>
          <w:rFonts w:hint="eastAsia"/>
        </w:rPr>
        <w:t>300m</w:t>
      </w:r>
      <w:r>
        <w:rPr>
          <w:rFonts w:hint="eastAsia"/>
        </w:rPr>
        <w:t>～</w:t>
      </w:r>
      <w:r>
        <w:rPr>
          <w:rFonts w:hint="eastAsia"/>
        </w:rPr>
        <w:t>500m</w:t>
      </w:r>
      <w:r>
        <w:rPr>
          <w:rFonts w:hint="eastAsia"/>
        </w:rPr>
        <w:t>糜棱岩化带。受断裂长期活动的影响，断裂两侧的花岗岩因动力作用而变为碎裂花岗岩或糜棱岩化的花岗碎裂岩，并有大量的石英脉合闪长岩脉分布。</w:t>
      </w:r>
    </w:p>
    <w:p w14:paraId="317CDE8F" w14:textId="77777777" w:rsidR="005A1A44" w:rsidRDefault="0008059E">
      <w:pPr>
        <w:ind w:firstLine="480"/>
        <w:jc w:val="left"/>
        <w:rPr>
          <w:rFonts w:ascii="宋体" w:hAnsi="宋体" w:hint="eastAsia"/>
          <w:sz w:val="20"/>
        </w:rPr>
      </w:pPr>
      <w:r>
        <w:rPr>
          <w:rFonts w:ascii="宋体" w:hAnsi="宋体" w:hint="eastAsia"/>
        </w:rPr>
        <w:t>（3）区域地质概况</w:t>
      </w:r>
    </w:p>
    <w:p w14:paraId="1E72CF38" w14:textId="77777777" w:rsidR="005A1A44" w:rsidRDefault="0008059E">
      <w:pPr>
        <w:ind w:firstLine="480"/>
      </w:pPr>
      <w:r>
        <w:rPr>
          <w:rFonts w:hint="eastAsia"/>
        </w:rPr>
        <w:t>玉龙喀什河河谷冲积平原中上游，主要由玉河现代河床及漫滩，阶地等构成，形成宽窄不一，弯曲的条状冲积平原，平缓北倾，由全新统冲积漂石、卵砾石等组</w:t>
      </w:r>
      <w:r>
        <w:rPr>
          <w:rFonts w:hint="eastAsia"/>
        </w:rPr>
        <w:lastRenderedPageBreak/>
        <w:t>成，地表水系发育，项目所在地水流侧向侵蚀作用明显，常形成河床中部高，两侧为沟谷的微地貌形态，项目段河道为砂卵石河床，河床开阔，河道宽度达到</w:t>
      </w:r>
      <w:r>
        <w:rPr>
          <w:rFonts w:hint="eastAsia"/>
        </w:rPr>
        <w:t>300</w:t>
      </w:r>
      <w:r>
        <w:rPr>
          <w:rFonts w:hint="eastAsia"/>
        </w:rPr>
        <w:t>～</w:t>
      </w:r>
      <w:r>
        <w:rPr>
          <w:rFonts w:hint="eastAsia"/>
        </w:rPr>
        <w:t>700m</w:t>
      </w:r>
      <w:r>
        <w:rPr>
          <w:rFonts w:hint="eastAsia"/>
        </w:rPr>
        <w:t>，主流摆动大，洪水在河床内游荡，没有明显河岸，基本依靠防洪堤防护河岸。根据《中国地震动参数区划图》（</w:t>
      </w:r>
      <w:r>
        <w:rPr>
          <w:rFonts w:hint="eastAsia"/>
        </w:rPr>
        <w:t>GB18306-2015</w:t>
      </w:r>
      <w:r>
        <w:rPr>
          <w:rFonts w:hint="eastAsia"/>
        </w:rPr>
        <w:t>），工程区范围内的地震动峰值加速度为</w:t>
      </w:r>
      <w:r>
        <w:rPr>
          <w:rFonts w:hint="eastAsia"/>
        </w:rPr>
        <w:t>0.15g</w:t>
      </w:r>
      <w:r>
        <w:rPr>
          <w:rFonts w:hint="eastAsia"/>
        </w:rPr>
        <w:t>，相应的地震烈度在Ⅶ度范围内，因此堤防工程及其建筑物均按Ⅶ度设防。工程区地层岩性为冲积砂卵砾石层</w:t>
      </w:r>
      <w:r>
        <w:rPr>
          <w:rFonts w:hint="eastAsia"/>
        </w:rPr>
        <w:t>(Q4al)</w:t>
      </w:r>
      <w:r>
        <w:rPr>
          <w:rFonts w:hint="eastAsia"/>
        </w:rPr>
        <w:t>，主要分布于玉龙喀什河现代河床及一级阶地，呈条带状分布，其岩性为单一青灰色为主的卵砾石层，卵石一般粒径在</w:t>
      </w:r>
      <w:r>
        <w:rPr>
          <w:rFonts w:hint="eastAsia"/>
        </w:rPr>
        <w:t>5</w:t>
      </w:r>
      <w:r>
        <w:rPr>
          <w:rFonts w:hint="eastAsia"/>
        </w:rPr>
        <w:t>～</w:t>
      </w:r>
      <w:r>
        <w:rPr>
          <w:rFonts w:hint="eastAsia"/>
        </w:rPr>
        <w:t>10cm</w:t>
      </w:r>
      <w:r>
        <w:rPr>
          <w:rFonts w:hint="eastAsia"/>
        </w:rPr>
        <w:t>，最大可达</w:t>
      </w:r>
      <w:r>
        <w:rPr>
          <w:rFonts w:hint="eastAsia"/>
        </w:rPr>
        <w:t>25cm</w:t>
      </w:r>
      <w:r>
        <w:rPr>
          <w:rFonts w:hint="eastAsia"/>
        </w:rPr>
        <w:t>，磨圆良好，结构松散。</w:t>
      </w:r>
    </w:p>
    <w:p w14:paraId="358464D2" w14:textId="77777777" w:rsidR="005A1A44" w:rsidRDefault="0008059E">
      <w:pPr>
        <w:pStyle w:val="4"/>
        <w:numPr>
          <w:ilvl w:val="3"/>
          <w:numId w:val="2"/>
        </w:numPr>
      </w:pPr>
      <w:r>
        <w:rPr>
          <w:rFonts w:hint="eastAsia"/>
        </w:rPr>
        <w:t xml:space="preserve"> </w:t>
      </w:r>
      <w:r>
        <w:rPr>
          <w:rFonts w:hint="eastAsia"/>
        </w:rPr>
        <w:t>水文地质条件</w:t>
      </w:r>
    </w:p>
    <w:p w14:paraId="331C9F16" w14:textId="77777777" w:rsidR="005A1A44" w:rsidRDefault="0008059E">
      <w:pPr>
        <w:ind w:firstLine="480"/>
        <w:rPr>
          <w:highlight w:val="yellow"/>
        </w:rPr>
      </w:pPr>
      <w:r>
        <w:rPr>
          <w:rFonts w:hint="eastAsia"/>
        </w:rPr>
        <w:t>项目区位于玉河河谷冲积平原中上游，河谷内堆积有巨厚的卵砾石层，据区域地质资料可达数百米，孔隙性较好，透水性强，基底为弱透水的第三系砂质泥岩、砂岩和砾岩，此间赋存有河谷冲积层孔隙潜水。主要受河谷补给，水量丰富，主河槽以下的地下水埋深</w:t>
      </w:r>
      <w:r>
        <w:rPr>
          <w:rFonts w:hint="eastAsia"/>
        </w:rPr>
        <w:t>0</w:t>
      </w:r>
      <w:r>
        <w:rPr>
          <w:rFonts w:hint="eastAsia"/>
        </w:rPr>
        <w:t>～</w:t>
      </w:r>
      <w:r>
        <w:rPr>
          <w:rFonts w:hint="eastAsia"/>
        </w:rPr>
        <w:t>10m</w:t>
      </w:r>
      <w:r>
        <w:rPr>
          <w:rFonts w:hint="eastAsia"/>
        </w:rPr>
        <w:t>随季节变化，其径流条件比较简单，直接与地表水相互转换，径流方向受河床控制，水力坡度与河床底部基本一致。径流宽度限于河谷之内，出山口后脱离河谷约束，迅速排泄于冲洪积平原孔隙之中。</w:t>
      </w:r>
    </w:p>
    <w:p w14:paraId="6C0FDDD0" w14:textId="77777777" w:rsidR="005A1A44" w:rsidRDefault="0008059E">
      <w:pPr>
        <w:ind w:firstLine="480"/>
      </w:pPr>
      <w:r>
        <w:rPr>
          <w:rFonts w:hint="eastAsia"/>
        </w:rPr>
        <w:t>（</w:t>
      </w:r>
      <w:r>
        <w:rPr>
          <w:rFonts w:hint="eastAsia"/>
        </w:rPr>
        <w:t>1</w:t>
      </w:r>
      <w:r>
        <w:rPr>
          <w:rFonts w:hint="eastAsia"/>
        </w:rPr>
        <w:t>）地下水类型及富水性</w:t>
      </w:r>
    </w:p>
    <w:p w14:paraId="37BD7810" w14:textId="77777777" w:rsidR="005A1A44" w:rsidRDefault="0008059E">
      <w:pPr>
        <w:ind w:firstLine="480"/>
      </w:pPr>
      <w:r>
        <w:rPr>
          <w:rFonts w:hint="eastAsia"/>
        </w:rPr>
        <w:t>山区地下水主要赋存于基岩节理裂隙中，融雪水、降水直接沿裂隙转化为地下水。没有形成统一的地下水位，地下水储量不大。据区域地质资料，山前倾斜砾质平原区埋深</w:t>
      </w:r>
      <w:r>
        <w:rPr>
          <w:rFonts w:hint="eastAsia"/>
        </w:rPr>
        <w:t>250m</w:t>
      </w:r>
      <w:r>
        <w:rPr>
          <w:rFonts w:hint="eastAsia"/>
        </w:rPr>
        <w:t>以上地层为单一结构的卵砾石层（含薄层粗中砂）。该含水层中砾石平均含量大于</w:t>
      </w:r>
      <w:r>
        <w:rPr>
          <w:rFonts w:hint="eastAsia"/>
        </w:rPr>
        <w:t>50%</w:t>
      </w:r>
      <w:r>
        <w:rPr>
          <w:rFonts w:hint="eastAsia"/>
        </w:rPr>
        <w:t>，砾石磨圆度差，地层结构松散，孔隙率大，地层中隔水层极不发育，含水层具有良好的渗透性和径流条件，地下水具有良好的赋存和运移空间，地下水水力坡度较大。该区地下水皆为潜水，水位埋深大于</w:t>
      </w:r>
      <w:r>
        <w:rPr>
          <w:rFonts w:hint="eastAsia"/>
        </w:rPr>
        <w:t>20m</w:t>
      </w:r>
      <w:r>
        <w:rPr>
          <w:rFonts w:hint="eastAsia"/>
        </w:rPr>
        <w:t>，呈现出越靠近山前水位埋深越大的规律。冲洪积细土平原区，南部和田市城区一带表层覆盖有</w:t>
      </w:r>
      <w:r>
        <w:rPr>
          <w:rFonts w:hint="eastAsia"/>
        </w:rPr>
        <w:t>10</w:t>
      </w:r>
      <w:r>
        <w:rPr>
          <w:rFonts w:hint="eastAsia"/>
        </w:rPr>
        <w:t>～</w:t>
      </w:r>
      <w:r>
        <w:rPr>
          <w:rFonts w:hint="eastAsia"/>
        </w:rPr>
        <w:t>30m</w:t>
      </w:r>
      <w:r>
        <w:rPr>
          <w:rFonts w:hint="eastAsia"/>
        </w:rPr>
        <w:t>的粉砂或粉土层，下部含水层为卵砾石、砂砾石层，局部含有夹砂层或粉土透镜体，卵石粒径一般在</w:t>
      </w:r>
      <w:r>
        <w:rPr>
          <w:rFonts w:hint="eastAsia"/>
        </w:rPr>
        <w:t>4</w:t>
      </w:r>
      <w:r>
        <w:rPr>
          <w:rFonts w:hint="eastAsia"/>
        </w:rPr>
        <w:t>～</w:t>
      </w:r>
      <w:r>
        <w:rPr>
          <w:rFonts w:hint="eastAsia"/>
        </w:rPr>
        <w:t>10cm</w:t>
      </w:r>
      <w:r>
        <w:rPr>
          <w:rFonts w:hint="eastAsia"/>
        </w:rPr>
        <w:t>，中粗、中细砂充填，分选性较好、磨圆度好。至细土平原的前缘，含水层岩性逐渐过渡为以砂为主，夹有小砾石，个别地段夹有</w:t>
      </w:r>
      <w:r>
        <w:rPr>
          <w:rFonts w:hint="eastAsia"/>
        </w:rPr>
        <w:lastRenderedPageBreak/>
        <w:t>粉土、粉质粘土薄层或透镜体，含水层呈流沙状；再往北至沙漠区含水层岩性进一步过渡为细砂、粉细砂，并夹有粉质粘土薄层或透镜体。该区地层结构松散，含水层孔隙率大，隔水层不发育，含水层具有良好的渗透性和径流条件，地下水具有良好的赋存和运移空间，地下水水力坡度较大，向下游逐渐变缓。该区地下水类型为潜水和微承压水，水位埋深为</w:t>
      </w:r>
      <w:r>
        <w:rPr>
          <w:rFonts w:hint="eastAsia"/>
        </w:rPr>
        <w:t>0~20m</w:t>
      </w:r>
      <w:r>
        <w:rPr>
          <w:rFonts w:hint="eastAsia"/>
        </w:rPr>
        <w:t>，由南向北埋深逐渐变浅。</w:t>
      </w:r>
    </w:p>
    <w:p w14:paraId="7AB3CF42" w14:textId="77777777" w:rsidR="005A1A44" w:rsidRDefault="0008059E">
      <w:pPr>
        <w:ind w:firstLine="480"/>
      </w:pPr>
      <w:r>
        <w:rPr>
          <w:rFonts w:hint="eastAsia"/>
        </w:rPr>
        <w:t>在沙漠区，地层岩性以粉细砂为主，其次含有少量的粉土、细砂和中砂，由于含水层的孔隙率变小，含水层的渗透性和径流条件变差，部分地段发育有隔水层，地下水的赋存和运移空间差。该区地下水水力坡度极小，地下水运移速度缓慢，基本呈现停滞状态，潜水水位埋深一般为</w:t>
      </w:r>
      <w:r>
        <w:rPr>
          <w:rFonts w:hint="eastAsia"/>
        </w:rPr>
        <w:t>1~5m</w:t>
      </w:r>
      <w:r>
        <w:rPr>
          <w:rFonts w:hint="eastAsia"/>
        </w:rPr>
        <w:t>，其埋深变化在沙丘中无规律。</w:t>
      </w:r>
    </w:p>
    <w:p w14:paraId="5F2301D3" w14:textId="77777777" w:rsidR="005A1A44" w:rsidRDefault="0008059E">
      <w:pPr>
        <w:ind w:firstLine="480"/>
      </w:pPr>
      <w:r>
        <w:rPr>
          <w:rFonts w:hint="eastAsia"/>
        </w:rPr>
        <w:t>（</w:t>
      </w:r>
      <w:r>
        <w:rPr>
          <w:rFonts w:hint="eastAsia"/>
        </w:rPr>
        <w:t>2</w:t>
      </w:r>
      <w:r>
        <w:rPr>
          <w:rFonts w:hint="eastAsia"/>
        </w:rPr>
        <w:t>）地下水补、径、排条件</w:t>
      </w:r>
    </w:p>
    <w:p w14:paraId="5D09D664" w14:textId="77777777" w:rsidR="005A1A44" w:rsidRDefault="0008059E">
      <w:pPr>
        <w:ind w:firstLine="480"/>
      </w:pPr>
      <w:r>
        <w:rPr>
          <w:rFonts w:hint="eastAsia"/>
        </w:rPr>
        <w:t>山区基岩节</w:t>
      </w:r>
      <w:r>
        <w:rPr>
          <w:rFonts w:ascii="宋体" w:hAnsi="宋体" w:hint="eastAsia"/>
        </w:rPr>
        <w:t>理、裂隙发育，接受山区融雪水、降雨补给。地下水沿节理面、裂隙面向下游运移，主要以泉水形式向沟谷排泄，少量进入山前倾斜砾质平原区。在山前倾斜砾质平原区，第四纪砂卵砾石层裸露，厚度大，颗粒粗、透水性强，层间无隔水层，是积聚地下水的有利场所，流出山口的河水和山前洪流在该区大量入渗，成为下游地区地下水的主要补给水源。含水层结构松散，孔隙发育，为地下水径流创造了有利条件。渗透系数由上游的约70m/d向下游逐渐转化为约20m/d，地下水水力坡度为1‰～5‰，流速较大。地下水由南向北推移，向下游冲洪积细土平原区排泄；侧向排泄为地下水的主要排泄方式。冲洪积细土平原区的地下水除接受上游侧向径流补给以及河道渗漏补给外，还接受灌区渠系水和田间灌溉水的入渗补给。在冲洪积细土平原区，含水层岩性逐渐变细，含水层孔隙率减小，其渗透系数由上游约20m/d向下游逐渐减小，至沙漠区边缘处渗透系数极小，水力坡度降到1‰以下，地下水径流缓慢。该区</w:t>
      </w:r>
      <w:r>
        <w:rPr>
          <w:rFonts w:ascii="瀹嬩綋" w:eastAsia="瀹嬩綋" w:hAnsi="瀹嬩綋" w:hint="eastAsia"/>
        </w:rPr>
        <w:t>河道宽浅，两侧地下水埋深浅，潜水蒸发成为地下水的主要排泄方式；其它排泄方式有：侧向径流排泄、人工开采、排渠排泄。在沙漠区，河道宽浅，河流水力坡降很小，河水流速缓慢，河水大量渗漏散失；地下水补给项包括河水的入渗补给和上游地下水的侧向补给。含水层为粉细砂层，地下水的空间运移条件不够通畅，且该区水力坡度平缓，因此地下水运移速度极为缓慢，基本呈停滞状态。河两侧分布有大面积埋深小于</w:t>
      </w:r>
      <w:r>
        <w:rPr>
          <w:rFonts w:ascii="Times New Roman" w:eastAsia="Times New Roman" w:hAnsi="Times New Roman"/>
        </w:rPr>
        <w:t>5m</w:t>
      </w:r>
      <w:r>
        <w:rPr>
          <w:rFonts w:ascii="瀹嬩綋" w:eastAsia="瀹嬩綋" w:hAnsi="瀹嬩綋" w:hint="eastAsia"/>
        </w:rPr>
        <w:t>区域，潜水蒸发成为地</w:t>
      </w:r>
      <w:r>
        <w:rPr>
          <w:rFonts w:hint="eastAsia"/>
        </w:rPr>
        <w:t>下水排泄的主要方式。</w:t>
      </w:r>
    </w:p>
    <w:p w14:paraId="5D7292E4" w14:textId="77777777" w:rsidR="005A1A44" w:rsidRDefault="0008059E">
      <w:pPr>
        <w:ind w:firstLine="480"/>
      </w:pPr>
      <w:r>
        <w:rPr>
          <w:rFonts w:hint="eastAsia"/>
        </w:rPr>
        <w:lastRenderedPageBreak/>
        <w:t>（</w:t>
      </w:r>
      <w:r>
        <w:rPr>
          <w:rFonts w:hint="eastAsia"/>
        </w:rPr>
        <w:t>3</w:t>
      </w:r>
      <w:r>
        <w:rPr>
          <w:rFonts w:hint="eastAsia"/>
        </w:rPr>
        <w:t>）地下水动态</w:t>
      </w:r>
    </w:p>
    <w:p w14:paraId="0F7A297F" w14:textId="77777777" w:rsidR="005A1A44" w:rsidRDefault="0008059E">
      <w:pPr>
        <w:ind w:firstLine="480"/>
        <w:rPr>
          <w:rFonts w:ascii="宋体" w:hAnsi="宋体" w:hint="eastAsia"/>
          <w:bCs/>
        </w:rPr>
      </w:pPr>
      <w:r>
        <w:rPr>
          <w:rFonts w:hint="eastAsia"/>
        </w:rPr>
        <w:t>山区储水条件差，受降水及积雪消融补给作用影响年内变幅大。</w:t>
      </w:r>
      <w:r>
        <w:rPr>
          <w:rFonts w:hint="eastAsia"/>
        </w:rPr>
        <w:t>5~6</w:t>
      </w:r>
      <w:r>
        <w:rPr>
          <w:rFonts w:hint="eastAsia"/>
        </w:rPr>
        <w:t>月地下水位最高，</w:t>
      </w:r>
      <w:r>
        <w:rPr>
          <w:rFonts w:hint="eastAsia"/>
        </w:rPr>
        <w:t>2~3</w:t>
      </w:r>
      <w:r>
        <w:rPr>
          <w:rFonts w:hint="eastAsia"/>
        </w:rPr>
        <w:t>月最</w:t>
      </w:r>
      <w:r>
        <w:rPr>
          <w:rFonts w:ascii="宋体" w:hAnsi="宋体" w:hint="eastAsia"/>
          <w:bCs/>
        </w:rPr>
        <w:t>低。山前倾斜平原的砂卵砾石层形成巨大的储水空间，具有很强的调节性能。该区地下水主要受河道渗漏补给影响。地下水埋深在30</w:t>
      </w:r>
      <w:r>
        <w:rPr>
          <w:rFonts w:hAnsi="宋体" w:hint="eastAsia"/>
          <w:bCs/>
        </w:rPr>
        <w:t>~</w:t>
      </w:r>
      <w:r>
        <w:rPr>
          <w:rFonts w:ascii="宋体" w:hAnsi="宋体" w:hint="eastAsia"/>
          <w:bCs/>
        </w:rPr>
        <w:t>50m之间，地下水年内变幅1</w:t>
      </w:r>
      <w:r>
        <w:rPr>
          <w:rFonts w:hAnsi="宋体" w:hint="eastAsia"/>
          <w:bCs/>
        </w:rPr>
        <w:t>~</w:t>
      </w:r>
      <w:r>
        <w:rPr>
          <w:rFonts w:ascii="宋体" w:hAnsi="宋体" w:hint="eastAsia"/>
          <w:bCs/>
        </w:rPr>
        <w:t>3m。近河区年内水位动态变化稍大，远河区则水位稳定。细土平原区地下水水位动态受河流补给和区内地表引灌水入渗补给影响，属水文型动态。春季3月后受灌溉作用，灌区地下水获得补给而抬高，秋季后水位下降；受河道及耕地范围、种植作物种类和潜水埋深的影响，不同地段的潜水动态变化有一定的差异，但具有相似动态变化特征，只是变化幅度不同，灌区地下水年内变幅为0.5～2m；多年地下水埋深变化不大，水位年际变化较为稳定。沙漠区地下水受潜水蒸发和地表水补给作用影响。河道两侧地下水受河道水深波动影响，6月水位开始上升，7月达到最高，然后逐渐回落，次年4月达到最低值。近河区地下水位对河道水深波动的响应较为迅速；远河区地下水位受河水影响较小，年内波动很小，且存在一定的滞后性。</w:t>
      </w:r>
    </w:p>
    <w:p w14:paraId="5C96997E" w14:textId="77777777" w:rsidR="005A1A44" w:rsidRDefault="0008059E">
      <w:pPr>
        <w:pStyle w:val="4"/>
        <w:numPr>
          <w:ilvl w:val="3"/>
          <w:numId w:val="2"/>
        </w:numPr>
      </w:pPr>
      <w:r>
        <w:rPr>
          <w:rFonts w:hint="eastAsia"/>
        </w:rPr>
        <w:t xml:space="preserve"> </w:t>
      </w:r>
      <w:r>
        <w:rPr>
          <w:rFonts w:hint="eastAsia"/>
        </w:rPr>
        <w:t>工程地质条件</w:t>
      </w:r>
    </w:p>
    <w:p w14:paraId="188B64FF" w14:textId="77777777" w:rsidR="005A1A44" w:rsidRDefault="0008059E">
      <w:pPr>
        <w:ind w:firstLine="480"/>
      </w:pPr>
      <w:r>
        <w:rPr>
          <w:rFonts w:hint="eastAsia"/>
        </w:rPr>
        <w:t>该段项目区拟建工程，其基础的持力层，都处在砂卵砾石层上，总地势南高北低，河床地面高程</w:t>
      </w:r>
      <w:r>
        <w:rPr>
          <w:rFonts w:hint="eastAsia"/>
        </w:rPr>
        <w:t>1427</w:t>
      </w:r>
      <w:r>
        <w:rPr>
          <w:rFonts w:hint="eastAsia"/>
        </w:rPr>
        <w:t>～</w:t>
      </w:r>
      <w:r>
        <w:rPr>
          <w:rFonts w:hint="eastAsia"/>
        </w:rPr>
        <w:t>1408m</w:t>
      </w:r>
      <w:r>
        <w:rPr>
          <w:rFonts w:hint="eastAsia"/>
        </w:rPr>
        <w:t>，地下水埋深</w:t>
      </w:r>
      <w:r>
        <w:rPr>
          <w:rFonts w:hint="eastAsia"/>
        </w:rPr>
        <w:t>0</w:t>
      </w:r>
      <w:r>
        <w:rPr>
          <w:rFonts w:hint="eastAsia"/>
        </w:rPr>
        <w:t>～</w:t>
      </w:r>
      <w:r>
        <w:rPr>
          <w:rFonts w:hint="eastAsia"/>
        </w:rPr>
        <w:t>10m</w:t>
      </w:r>
      <w:r>
        <w:rPr>
          <w:rFonts w:hint="eastAsia"/>
        </w:rPr>
        <w:t>随季节变化，主要地层岩性为卵石混合土层，该层厚度大于</w:t>
      </w:r>
      <w:r>
        <w:rPr>
          <w:rFonts w:hint="eastAsia"/>
        </w:rPr>
        <w:t>50m</w:t>
      </w:r>
      <w:r>
        <w:rPr>
          <w:rFonts w:hint="eastAsia"/>
        </w:rPr>
        <w:t>，地层平均粒径</w:t>
      </w:r>
      <w:r>
        <w:rPr>
          <w:rFonts w:hint="eastAsia"/>
        </w:rPr>
        <w:t>25mm</w:t>
      </w:r>
      <w:r>
        <w:rPr>
          <w:rFonts w:hint="eastAsia"/>
        </w:rPr>
        <w:t>，最大粒径</w:t>
      </w:r>
      <w:r>
        <w:rPr>
          <w:rFonts w:hint="eastAsia"/>
        </w:rPr>
        <w:t>250mm</w:t>
      </w:r>
      <w:r>
        <w:rPr>
          <w:rFonts w:hint="eastAsia"/>
        </w:rPr>
        <w:t>，含沙量</w:t>
      </w:r>
      <w:r>
        <w:rPr>
          <w:rFonts w:hint="eastAsia"/>
        </w:rPr>
        <w:t>30%-35%</w:t>
      </w:r>
      <w:r>
        <w:rPr>
          <w:rFonts w:hint="eastAsia"/>
        </w:rPr>
        <w:t>，含泥量</w:t>
      </w:r>
      <w:r>
        <w:rPr>
          <w:rFonts w:hint="eastAsia"/>
        </w:rPr>
        <w:t>&lt;5%</w:t>
      </w:r>
      <w:r>
        <w:rPr>
          <w:rFonts w:hint="eastAsia"/>
        </w:rPr>
        <w:t>。影响防洪工程安全的主要工程地质问题，为渗流稳定问题。由颗分曲线可见，砾石以上含量（粒径大于</w:t>
      </w:r>
      <w:r>
        <w:rPr>
          <w:rFonts w:hint="eastAsia"/>
        </w:rPr>
        <w:t>5mm</w:t>
      </w:r>
      <w:r>
        <w:rPr>
          <w:rFonts w:hint="eastAsia"/>
        </w:rPr>
        <w:t>的颗粒）</w:t>
      </w:r>
      <w:r>
        <w:rPr>
          <w:rFonts w:hint="eastAsia"/>
        </w:rPr>
        <w:t>70%</w:t>
      </w:r>
      <w:r>
        <w:rPr>
          <w:rFonts w:hint="eastAsia"/>
        </w:rPr>
        <w:t>～</w:t>
      </w:r>
      <w:r>
        <w:rPr>
          <w:rFonts w:hint="eastAsia"/>
        </w:rPr>
        <w:t>80%</w:t>
      </w:r>
      <w:r>
        <w:rPr>
          <w:rFonts w:hint="eastAsia"/>
        </w:rPr>
        <w:t>。缺少中间粒径颗粒，尤其缺少</w:t>
      </w:r>
      <w:r>
        <w:rPr>
          <w:rFonts w:hint="eastAsia"/>
        </w:rPr>
        <w:t>1</w:t>
      </w:r>
      <w:r>
        <w:rPr>
          <w:rFonts w:hint="eastAsia"/>
        </w:rPr>
        <w:t>～</w:t>
      </w:r>
      <w:r>
        <w:rPr>
          <w:rFonts w:hint="eastAsia"/>
        </w:rPr>
        <w:t>10mm</w:t>
      </w:r>
      <w:r>
        <w:rPr>
          <w:rFonts w:hint="eastAsia"/>
        </w:rPr>
        <w:t>的砂粒填充，不均匀系数</w:t>
      </w:r>
      <w:r>
        <w:rPr>
          <w:rFonts w:hint="eastAsia"/>
        </w:rPr>
        <w:t>175</w:t>
      </w:r>
      <w:r>
        <w:rPr>
          <w:rFonts w:hint="eastAsia"/>
        </w:rPr>
        <w:t>～</w:t>
      </w:r>
      <w:r>
        <w:rPr>
          <w:rFonts w:hint="eastAsia"/>
        </w:rPr>
        <w:t>270</w:t>
      </w:r>
      <w:r>
        <w:rPr>
          <w:rFonts w:hint="eastAsia"/>
        </w:rPr>
        <w:t>，河床表层渗透系数</w:t>
      </w:r>
      <w:r>
        <w:rPr>
          <w:rFonts w:hint="eastAsia"/>
        </w:rPr>
        <w:t>30</w:t>
      </w:r>
      <w:r>
        <w:rPr>
          <w:rFonts w:hint="eastAsia"/>
        </w:rPr>
        <w:t>～</w:t>
      </w:r>
      <w:r>
        <w:rPr>
          <w:rFonts w:hint="eastAsia"/>
        </w:rPr>
        <w:t>35m/d</w:t>
      </w:r>
      <w:r>
        <w:rPr>
          <w:rFonts w:hint="eastAsia"/>
        </w:rPr>
        <w:t>属强透水层，这种地层易出现管涌或集中渗流。项目区持力层的密实程度，按干容重为</w:t>
      </w:r>
      <w:r>
        <w:rPr>
          <w:rFonts w:hint="eastAsia"/>
        </w:rPr>
        <w:t>1.95-2.05t/m</w:t>
      </w:r>
      <w:r>
        <w:rPr>
          <w:rFonts w:hint="eastAsia"/>
        </w:rPr>
        <w:t>³考虑，为中等密实度，摩擦角</w:t>
      </w:r>
      <w:r>
        <w:rPr>
          <w:rFonts w:hint="eastAsia"/>
        </w:rPr>
        <w:t>40</w:t>
      </w:r>
      <w:r>
        <w:rPr>
          <w:rFonts w:hint="eastAsia"/>
        </w:rPr>
        <w:t>°～</w:t>
      </w:r>
      <w:r>
        <w:rPr>
          <w:rFonts w:hint="eastAsia"/>
        </w:rPr>
        <w:t>45</w:t>
      </w:r>
      <w:r>
        <w:rPr>
          <w:rFonts w:hint="eastAsia"/>
        </w:rPr>
        <w:t>°，允许承载力可取</w:t>
      </w:r>
      <w:r>
        <w:rPr>
          <w:rFonts w:hint="eastAsia"/>
        </w:rPr>
        <w:t>300Kpa</w:t>
      </w:r>
      <w:r>
        <w:rPr>
          <w:rFonts w:hint="eastAsia"/>
        </w:rPr>
        <w:t>左右。</w:t>
      </w:r>
    </w:p>
    <w:p w14:paraId="36AE4588" w14:textId="77777777" w:rsidR="005A1A44" w:rsidRDefault="0008059E">
      <w:pPr>
        <w:ind w:firstLineChars="0" w:firstLine="0"/>
        <w:jc w:val="center"/>
      </w:pPr>
      <w:r>
        <w:rPr>
          <w:noProof/>
        </w:rPr>
        <w:lastRenderedPageBreak/>
        <w:drawing>
          <wp:inline distT="0" distB="0" distL="114300" distR="114300" wp14:anchorId="3CF7A76B" wp14:editId="03DE7BBB">
            <wp:extent cx="4987925" cy="2931795"/>
            <wp:effectExtent l="0" t="0" r="3175" b="1905"/>
            <wp:docPr id="1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8"/>
                    <pic:cNvPicPr>
                      <a:picLocks noChangeAspect="1"/>
                    </pic:cNvPicPr>
                  </pic:nvPicPr>
                  <pic:blipFill>
                    <a:blip r:embed="rId34" cstate="print"/>
                    <a:srcRect l="33534" t="31535" r="15451" b="18484"/>
                    <a:stretch>
                      <a:fillRect/>
                    </a:stretch>
                  </pic:blipFill>
                  <pic:spPr>
                    <a:xfrm>
                      <a:off x="0" y="0"/>
                      <a:ext cx="4987925" cy="2931795"/>
                    </a:xfrm>
                    <a:prstGeom prst="rect">
                      <a:avLst/>
                    </a:prstGeom>
                    <a:noFill/>
                    <a:ln>
                      <a:noFill/>
                    </a:ln>
                  </pic:spPr>
                </pic:pic>
              </a:graphicData>
            </a:graphic>
          </wp:inline>
        </w:drawing>
      </w:r>
    </w:p>
    <w:p w14:paraId="56AE4367"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t>图4.1-1   项目段河床粒径颗分曲线图</w:t>
      </w:r>
    </w:p>
    <w:p w14:paraId="765CADD1" w14:textId="77777777" w:rsidR="005A1A44" w:rsidRDefault="005A1A44">
      <w:pPr>
        <w:ind w:firstLineChars="0" w:firstLine="0"/>
        <w:jc w:val="center"/>
      </w:pPr>
    </w:p>
    <w:p w14:paraId="5C851E3D"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t>表4.1-2  河床典型颗粒分析成果表</w:t>
      </w:r>
    </w:p>
    <w:p w14:paraId="79E5F8FA" w14:textId="77777777" w:rsidR="005A1A44" w:rsidRDefault="0008059E">
      <w:pPr>
        <w:ind w:firstLineChars="0" w:firstLine="0"/>
        <w:jc w:val="center"/>
      </w:pPr>
      <w:r>
        <w:rPr>
          <w:noProof/>
        </w:rPr>
        <w:drawing>
          <wp:inline distT="0" distB="0" distL="114300" distR="114300" wp14:anchorId="093D6FD5" wp14:editId="14F7E904">
            <wp:extent cx="5554980" cy="1278890"/>
            <wp:effectExtent l="0" t="0" r="7620" b="16510"/>
            <wp:docPr id="1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9"/>
                    <pic:cNvPicPr>
                      <a:picLocks noChangeAspect="1"/>
                    </pic:cNvPicPr>
                  </pic:nvPicPr>
                  <pic:blipFill>
                    <a:blip r:embed="rId35" cstate="print"/>
                    <a:srcRect l="34799" t="44024" r="16924" b="37452"/>
                    <a:stretch>
                      <a:fillRect/>
                    </a:stretch>
                  </pic:blipFill>
                  <pic:spPr>
                    <a:xfrm>
                      <a:off x="0" y="0"/>
                      <a:ext cx="5554980" cy="1278890"/>
                    </a:xfrm>
                    <a:prstGeom prst="rect">
                      <a:avLst/>
                    </a:prstGeom>
                    <a:noFill/>
                    <a:ln>
                      <a:noFill/>
                    </a:ln>
                  </pic:spPr>
                </pic:pic>
              </a:graphicData>
            </a:graphic>
          </wp:inline>
        </w:drawing>
      </w:r>
    </w:p>
    <w:p w14:paraId="068D8177" w14:textId="77777777" w:rsidR="005A1A44" w:rsidRDefault="0008059E">
      <w:pPr>
        <w:pStyle w:val="4"/>
        <w:numPr>
          <w:ilvl w:val="3"/>
          <w:numId w:val="2"/>
        </w:numPr>
      </w:pPr>
      <w:r>
        <w:rPr>
          <w:rFonts w:hint="eastAsia"/>
        </w:rPr>
        <w:t xml:space="preserve"> </w:t>
      </w:r>
      <w:r>
        <w:rPr>
          <w:rFonts w:hint="eastAsia"/>
        </w:rPr>
        <w:t>水文水系</w:t>
      </w:r>
    </w:p>
    <w:p w14:paraId="7DAC6268" w14:textId="77777777" w:rsidR="005A1A44" w:rsidRDefault="0008059E">
      <w:pPr>
        <w:adjustRightInd w:val="0"/>
        <w:snapToGrid w:val="0"/>
        <w:ind w:firstLine="480"/>
        <w:rPr>
          <w:bCs/>
          <w:snapToGrid w:val="0"/>
          <w:kern w:val="0"/>
        </w:rPr>
      </w:pPr>
      <w:r>
        <w:rPr>
          <w:rFonts w:hint="eastAsia"/>
          <w:bCs/>
          <w:snapToGrid w:val="0"/>
          <w:kern w:val="0"/>
        </w:rPr>
        <w:t>和田市内陆干旱区，有</w:t>
      </w:r>
      <w:r>
        <w:rPr>
          <w:rFonts w:hint="eastAsia"/>
          <w:bCs/>
          <w:snapToGrid w:val="0"/>
          <w:kern w:val="0"/>
        </w:rPr>
        <w:t>2</w:t>
      </w:r>
      <w:r>
        <w:rPr>
          <w:rFonts w:hint="eastAsia"/>
          <w:bCs/>
          <w:snapToGrid w:val="0"/>
          <w:kern w:val="0"/>
        </w:rPr>
        <w:t>条内陆河，为玉龙喀什河、喀拉喀什河。玉龙喀什河发源于昆仑山脉，流域集水面积</w:t>
      </w:r>
      <w:r>
        <w:rPr>
          <w:rFonts w:hint="eastAsia"/>
          <w:bCs/>
          <w:snapToGrid w:val="0"/>
          <w:kern w:val="0"/>
        </w:rPr>
        <w:t xml:space="preserve"> 14575 </w:t>
      </w:r>
      <w:r>
        <w:rPr>
          <w:rFonts w:hint="eastAsia"/>
          <w:bCs/>
          <w:snapToGrid w:val="0"/>
          <w:kern w:val="0"/>
        </w:rPr>
        <w:t>平方千米，多年平均径流量为</w:t>
      </w:r>
      <w:r>
        <w:rPr>
          <w:rFonts w:hint="eastAsia"/>
          <w:bCs/>
          <w:snapToGrid w:val="0"/>
          <w:kern w:val="0"/>
        </w:rPr>
        <w:t>22.19</w:t>
      </w:r>
      <w:r>
        <w:rPr>
          <w:rFonts w:hint="eastAsia"/>
          <w:bCs/>
          <w:snapToGrid w:val="0"/>
          <w:kern w:val="0"/>
        </w:rPr>
        <w:t>亿立方米，平均流量</w:t>
      </w:r>
      <w:r>
        <w:rPr>
          <w:rFonts w:hint="eastAsia"/>
          <w:bCs/>
          <w:snapToGrid w:val="0"/>
          <w:kern w:val="0"/>
        </w:rPr>
        <w:t>67</w:t>
      </w:r>
      <w:r>
        <w:rPr>
          <w:rFonts w:hint="eastAsia"/>
          <w:bCs/>
          <w:snapToGrid w:val="0"/>
          <w:kern w:val="0"/>
        </w:rPr>
        <w:t>立方米</w:t>
      </w:r>
      <w:r>
        <w:rPr>
          <w:rFonts w:hint="eastAsia"/>
          <w:bCs/>
          <w:snapToGrid w:val="0"/>
          <w:kern w:val="0"/>
        </w:rPr>
        <w:t>/</w:t>
      </w:r>
      <w:r>
        <w:rPr>
          <w:rFonts w:hint="eastAsia"/>
          <w:bCs/>
          <w:snapToGrid w:val="0"/>
          <w:kern w:val="0"/>
        </w:rPr>
        <w:t>秒，天然落差</w:t>
      </w:r>
      <w:r>
        <w:rPr>
          <w:rFonts w:hint="eastAsia"/>
          <w:bCs/>
          <w:snapToGrid w:val="0"/>
          <w:kern w:val="0"/>
        </w:rPr>
        <w:t>3 380</w:t>
      </w:r>
      <w:r>
        <w:rPr>
          <w:rFonts w:hint="eastAsia"/>
          <w:bCs/>
          <w:snapToGrid w:val="0"/>
          <w:kern w:val="0"/>
        </w:rPr>
        <w:t>米；喀拉喀什河发源于喀喇昆仑山，集水面积</w:t>
      </w:r>
      <w:r>
        <w:rPr>
          <w:rFonts w:hint="eastAsia"/>
          <w:bCs/>
          <w:snapToGrid w:val="0"/>
          <w:kern w:val="0"/>
        </w:rPr>
        <w:t>19983</w:t>
      </w:r>
      <w:r>
        <w:rPr>
          <w:rFonts w:hint="eastAsia"/>
          <w:bCs/>
          <w:snapToGrid w:val="0"/>
          <w:kern w:val="0"/>
        </w:rPr>
        <w:t>平方千米，多年平均年径流量</w:t>
      </w:r>
      <w:r>
        <w:rPr>
          <w:rFonts w:hint="eastAsia"/>
          <w:bCs/>
          <w:snapToGrid w:val="0"/>
          <w:kern w:val="0"/>
        </w:rPr>
        <w:t>21.48</w:t>
      </w:r>
      <w:r>
        <w:rPr>
          <w:rFonts w:hint="eastAsia"/>
          <w:bCs/>
          <w:snapToGrid w:val="0"/>
          <w:kern w:val="0"/>
        </w:rPr>
        <w:t>亿立方米，平均流量</w:t>
      </w:r>
      <w:r>
        <w:rPr>
          <w:rFonts w:hint="eastAsia"/>
          <w:bCs/>
          <w:snapToGrid w:val="0"/>
          <w:kern w:val="0"/>
        </w:rPr>
        <w:t xml:space="preserve"> 60.5</w:t>
      </w:r>
      <w:r>
        <w:rPr>
          <w:rFonts w:hint="eastAsia"/>
          <w:bCs/>
          <w:snapToGrid w:val="0"/>
          <w:kern w:val="0"/>
        </w:rPr>
        <w:t>立方米，天然落差</w:t>
      </w:r>
      <w:r>
        <w:rPr>
          <w:rFonts w:hint="eastAsia"/>
          <w:bCs/>
          <w:snapToGrid w:val="0"/>
          <w:kern w:val="0"/>
        </w:rPr>
        <w:t>4001</w:t>
      </w:r>
      <w:r>
        <w:rPr>
          <w:rFonts w:hint="eastAsia"/>
          <w:bCs/>
          <w:snapToGrid w:val="0"/>
          <w:kern w:val="0"/>
        </w:rPr>
        <w:t>米。玉龙喀什河与喀拉喀什河流出山口后，为广阔的平原农业区，两河从河源至汇合口（扩什拉什）各长</w:t>
      </w:r>
      <w:r>
        <w:rPr>
          <w:rFonts w:hint="eastAsia"/>
          <w:bCs/>
          <w:snapToGrid w:val="0"/>
          <w:kern w:val="0"/>
        </w:rPr>
        <w:t>630</w:t>
      </w:r>
      <w:r>
        <w:rPr>
          <w:rFonts w:hint="eastAsia"/>
          <w:bCs/>
          <w:snapToGrid w:val="0"/>
          <w:kern w:val="0"/>
        </w:rPr>
        <w:t>千米、</w:t>
      </w:r>
      <w:r>
        <w:rPr>
          <w:rFonts w:hint="eastAsia"/>
          <w:bCs/>
          <w:snapToGrid w:val="0"/>
          <w:kern w:val="0"/>
        </w:rPr>
        <w:t>808</w:t>
      </w:r>
      <w:r>
        <w:rPr>
          <w:rFonts w:hint="eastAsia"/>
          <w:bCs/>
          <w:snapToGrid w:val="0"/>
          <w:kern w:val="0"/>
        </w:rPr>
        <w:t>千米，汇合后称和田河，流径塔克拉玛干西部沙漠，最后注入塔里木河</w:t>
      </w:r>
    </w:p>
    <w:p w14:paraId="5948281D" w14:textId="77777777" w:rsidR="005A1A44" w:rsidRDefault="0008059E">
      <w:pPr>
        <w:adjustRightInd w:val="0"/>
        <w:snapToGrid w:val="0"/>
        <w:ind w:firstLine="480"/>
        <w:rPr>
          <w:bCs/>
          <w:snapToGrid w:val="0"/>
          <w:kern w:val="0"/>
        </w:rPr>
      </w:pPr>
      <w:r>
        <w:rPr>
          <w:rFonts w:hint="eastAsia"/>
          <w:bCs/>
          <w:snapToGrid w:val="0"/>
          <w:kern w:val="0"/>
        </w:rPr>
        <w:lastRenderedPageBreak/>
        <w:t>玉龙喀什河水属冰川融雪补给型河流，径流量与气温有着十分密切的关系，多年径流量为</w:t>
      </w:r>
      <w:r>
        <w:rPr>
          <w:rFonts w:hint="eastAsia"/>
          <w:bCs/>
          <w:snapToGrid w:val="0"/>
          <w:kern w:val="0"/>
        </w:rPr>
        <w:t>22.52</w:t>
      </w:r>
      <w:r>
        <w:rPr>
          <w:rFonts w:hint="eastAsia"/>
          <w:bCs/>
          <w:snapToGrid w:val="0"/>
          <w:kern w:val="0"/>
        </w:rPr>
        <w:t>亿</w:t>
      </w:r>
      <w:r>
        <w:rPr>
          <w:rFonts w:hint="eastAsia"/>
          <w:bCs/>
          <w:snapToGrid w:val="0"/>
          <w:kern w:val="0"/>
        </w:rPr>
        <w:t>m</w:t>
      </w:r>
      <w:r>
        <w:rPr>
          <w:rFonts w:hint="eastAsia"/>
          <w:bCs/>
          <w:snapToGrid w:val="0"/>
          <w:kern w:val="0"/>
        </w:rPr>
        <w:t>³，多年平均流量为</w:t>
      </w:r>
      <w:r>
        <w:rPr>
          <w:rFonts w:hint="eastAsia"/>
          <w:bCs/>
          <w:snapToGrid w:val="0"/>
          <w:kern w:val="0"/>
        </w:rPr>
        <w:t>72.77m</w:t>
      </w:r>
      <w:r>
        <w:rPr>
          <w:rFonts w:hint="eastAsia"/>
          <w:bCs/>
          <w:snapToGrid w:val="0"/>
          <w:kern w:val="0"/>
        </w:rPr>
        <w:t>³</w:t>
      </w:r>
      <w:r>
        <w:rPr>
          <w:rFonts w:hint="eastAsia"/>
          <w:bCs/>
          <w:snapToGrid w:val="0"/>
          <w:kern w:val="0"/>
        </w:rPr>
        <w:t>/s</w:t>
      </w:r>
      <w:r>
        <w:rPr>
          <w:rFonts w:hint="eastAsia"/>
          <w:bCs/>
          <w:snapToGrid w:val="0"/>
          <w:kern w:val="0"/>
        </w:rPr>
        <w:t>，玉河径流年际变化不大，但年内变化很大，年内洪枯水量变化悬殊，季节分配不均。玉河径流年内变化基本呈单峰型，水量常集中在夏季，</w:t>
      </w:r>
      <w:r>
        <w:rPr>
          <w:rFonts w:hint="eastAsia"/>
          <w:bCs/>
          <w:snapToGrid w:val="0"/>
          <w:kern w:val="0"/>
        </w:rPr>
        <w:t>6</w:t>
      </w:r>
      <w:r>
        <w:rPr>
          <w:rFonts w:hint="eastAsia"/>
          <w:bCs/>
          <w:snapToGrid w:val="0"/>
          <w:kern w:val="0"/>
        </w:rPr>
        <w:t>～</w:t>
      </w:r>
      <w:r>
        <w:rPr>
          <w:rFonts w:hint="eastAsia"/>
          <w:bCs/>
          <w:snapToGrid w:val="0"/>
          <w:kern w:val="0"/>
        </w:rPr>
        <w:t>8</w:t>
      </w:r>
      <w:r>
        <w:rPr>
          <w:rFonts w:hint="eastAsia"/>
          <w:bCs/>
          <w:snapToGrid w:val="0"/>
          <w:kern w:val="0"/>
        </w:rPr>
        <w:t>月三个月径流量占全年径流量的</w:t>
      </w:r>
      <w:r>
        <w:rPr>
          <w:rFonts w:hint="eastAsia"/>
          <w:bCs/>
          <w:snapToGrid w:val="0"/>
          <w:kern w:val="0"/>
        </w:rPr>
        <w:t>80.6%,</w:t>
      </w:r>
      <w:r>
        <w:rPr>
          <w:rFonts w:hint="eastAsia"/>
          <w:bCs/>
          <w:snapToGrid w:val="0"/>
          <w:kern w:val="0"/>
        </w:rPr>
        <w:t>玉河径流年内（水文年）分配比例分别是</w:t>
      </w:r>
      <w:r>
        <w:rPr>
          <w:rFonts w:hint="eastAsia"/>
          <w:bCs/>
          <w:snapToGrid w:val="0"/>
          <w:kern w:val="0"/>
        </w:rPr>
        <w:t>:</w:t>
      </w:r>
      <w:r>
        <w:rPr>
          <w:rFonts w:hint="eastAsia"/>
          <w:bCs/>
          <w:snapToGrid w:val="0"/>
          <w:kern w:val="0"/>
        </w:rPr>
        <w:t>春季</w:t>
      </w:r>
      <w:r>
        <w:rPr>
          <w:rFonts w:hint="eastAsia"/>
          <w:bCs/>
          <w:snapToGrid w:val="0"/>
          <w:kern w:val="0"/>
        </w:rPr>
        <w:t>5.7%;</w:t>
      </w:r>
      <w:r>
        <w:rPr>
          <w:rFonts w:hint="eastAsia"/>
          <w:bCs/>
          <w:snapToGrid w:val="0"/>
          <w:kern w:val="0"/>
        </w:rPr>
        <w:t>夏季</w:t>
      </w:r>
      <w:r>
        <w:rPr>
          <w:rFonts w:hint="eastAsia"/>
          <w:bCs/>
          <w:snapToGrid w:val="0"/>
          <w:kern w:val="0"/>
        </w:rPr>
        <w:t>80.6%;</w:t>
      </w:r>
      <w:r>
        <w:rPr>
          <w:rFonts w:hint="eastAsia"/>
          <w:bCs/>
          <w:snapToGrid w:val="0"/>
          <w:kern w:val="0"/>
        </w:rPr>
        <w:t>秋季</w:t>
      </w:r>
      <w:r>
        <w:rPr>
          <w:rFonts w:hint="eastAsia"/>
          <w:bCs/>
          <w:snapToGrid w:val="0"/>
          <w:kern w:val="0"/>
        </w:rPr>
        <w:t>11.1%</w:t>
      </w:r>
      <w:r>
        <w:rPr>
          <w:rFonts w:hint="eastAsia"/>
          <w:bCs/>
          <w:snapToGrid w:val="0"/>
          <w:kern w:val="0"/>
        </w:rPr>
        <w:t>；冬季</w:t>
      </w:r>
      <w:r>
        <w:rPr>
          <w:rFonts w:hint="eastAsia"/>
          <w:bCs/>
          <w:snapToGrid w:val="0"/>
          <w:kern w:val="0"/>
        </w:rPr>
        <w:t>2.6%</w:t>
      </w:r>
      <w:r>
        <w:rPr>
          <w:rFonts w:hint="eastAsia"/>
          <w:bCs/>
          <w:snapToGrid w:val="0"/>
          <w:kern w:val="0"/>
        </w:rPr>
        <w:t>。玉河径流除了洪水期（</w:t>
      </w:r>
      <w:r>
        <w:rPr>
          <w:rFonts w:hint="eastAsia"/>
          <w:bCs/>
          <w:snapToGrid w:val="0"/>
          <w:kern w:val="0"/>
        </w:rPr>
        <w:t>6</w:t>
      </w:r>
      <w:r>
        <w:rPr>
          <w:rFonts w:hint="eastAsia"/>
          <w:bCs/>
          <w:snapToGrid w:val="0"/>
          <w:kern w:val="0"/>
        </w:rPr>
        <w:t>～</w:t>
      </w:r>
      <w:r>
        <w:rPr>
          <w:rFonts w:hint="eastAsia"/>
          <w:bCs/>
          <w:snapToGrid w:val="0"/>
          <w:kern w:val="0"/>
        </w:rPr>
        <w:t>8</w:t>
      </w:r>
      <w:r>
        <w:rPr>
          <w:rFonts w:hint="eastAsia"/>
          <w:bCs/>
          <w:snapToGrid w:val="0"/>
          <w:kern w:val="0"/>
        </w:rPr>
        <w:t>月）河水全部通过玉河渠首被引进两岸渠道，下游河道内只有很少量的回归水经过。</w:t>
      </w:r>
    </w:p>
    <w:p w14:paraId="4037D5F3" w14:textId="77777777" w:rsidR="005A1A44" w:rsidRDefault="0008059E">
      <w:pPr>
        <w:pStyle w:val="4"/>
        <w:numPr>
          <w:ilvl w:val="3"/>
          <w:numId w:val="2"/>
        </w:numPr>
      </w:pPr>
      <w:r>
        <w:rPr>
          <w:rFonts w:hint="eastAsia"/>
        </w:rPr>
        <w:t xml:space="preserve"> </w:t>
      </w:r>
      <w:r>
        <w:rPr>
          <w:rFonts w:hint="eastAsia"/>
        </w:rPr>
        <w:t>地震烈度和抗震标准</w:t>
      </w:r>
    </w:p>
    <w:p w14:paraId="391796F5" w14:textId="77777777" w:rsidR="005A1A44" w:rsidRDefault="0008059E">
      <w:pPr>
        <w:ind w:firstLine="480"/>
      </w:pPr>
      <w:r>
        <w:rPr>
          <w:rFonts w:hint="eastAsia"/>
        </w:rPr>
        <w:t>根据《中国地震动参数区划图》（</w:t>
      </w:r>
      <w:r>
        <w:rPr>
          <w:rFonts w:hint="eastAsia"/>
        </w:rPr>
        <w:t>GB18306</w:t>
      </w:r>
      <w:r>
        <w:rPr>
          <w:rFonts w:hint="eastAsia"/>
        </w:rPr>
        <w:t>—</w:t>
      </w:r>
      <w:r>
        <w:rPr>
          <w:rFonts w:hint="eastAsia"/>
        </w:rPr>
        <w:t>2015</w:t>
      </w:r>
      <w:r>
        <w:rPr>
          <w:rFonts w:hint="eastAsia"/>
        </w:rPr>
        <w:t>），本项目区域地震动峰值加速度为</w:t>
      </w:r>
      <w:r>
        <w:rPr>
          <w:rFonts w:hint="eastAsia"/>
        </w:rPr>
        <w:t xml:space="preserve"> 0.15g</w:t>
      </w:r>
      <w:r>
        <w:rPr>
          <w:rFonts w:hint="eastAsia"/>
        </w:rPr>
        <w:t>，反应谱特征周期为</w:t>
      </w:r>
      <w:r>
        <w:rPr>
          <w:rFonts w:hint="eastAsia"/>
        </w:rPr>
        <w:t xml:space="preserve"> 0.4S</w:t>
      </w:r>
      <w:r>
        <w:rPr>
          <w:rFonts w:hint="eastAsia"/>
        </w:rPr>
        <w:t>，相应地震基本烈度值为Ⅶ度。根据《堤防工程设计规范》（</w:t>
      </w:r>
      <w:r>
        <w:rPr>
          <w:rFonts w:hint="eastAsia"/>
        </w:rPr>
        <w:t>GB50286-2013</w:t>
      </w:r>
      <w:r>
        <w:rPr>
          <w:rFonts w:hint="eastAsia"/>
        </w:rPr>
        <w:t>）、《水工建筑物抗震设计规范》（</w:t>
      </w:r>
      <w:r>
        <w:rPr>
          <w:rFonts w:hint="eastAsia"/>
        </w:rPr>
        <w:t>SL203</w:t>
      </w:r>
      <w:r>
        <w:rPr>
          <w:rFonts w:hint="eastAsia"/>
        </w:rPr>
        <w:t>－</w:t>
      </w:r>
      <w:r>
        <w:rPr>
          <w:rFonts w:hint="eastAsia"/>
        </w:rPr>
        <w:t>97</w:t>
      </w:r>
      <w:r>
        <w:rPr>
          <w:rFonts w:hint="eastAsia"/>
        </w:rPr>
        <w:t>），本项目建筑物按基本烈度Ⅶ度进行设防。</w:t>
      </w:r>
    </w:p>
    <w:p w14:paraId="5906FA03" w14:textId="77777777" w:rsidR="005A1A44" w:rsidRDefault="0008059E">
      <w:pPr>
        <w:pStyle w:val="3"/>
        <w:numPr>
          <w:ilvl w:val="2"/>
          <w:numId w:val="2"/>
        </w:numPr>
      </w:pPr>
      <w:r>
        <w:rPr>
          <w:rFonts w:hint="eastAsia"/>
        </w:rPr>
        <w:t xml:space="preserve"> </w:t>
      </w:r>
      <w:r>
        <w:rPr>
          <w:rFonts w:hint="eastAsia"/>
        </w:rPr>
        <w:t>社会经济概况</w:t>
      </w:r>
    </w:p>
    <w:p w14:paraId="7BB22A17" w14:textId="77777777" w:rsidR="005A1A44" w:rsidRDefault="0008059E">
      <w:pPr>
        <w:pStyle w:val="4"/>
        <w:numPr>
          <w:ilvl w:val="3"/>
          <w:numId w:val="2"/>
        </w:numPr>
      </w:pPr>
      <w:r>
        <w:rPr>
          <w:rFonts w:hint="eastAsia"/>
        </w:rPr>
        <w:t xml:space="preserve"> </w:t>
      </w:r>
      <w:r>
        <w:rPr>
          <w:rFonts w:hint="eastAsia"/>
        </w:rPr>
        <w:t>行政区划与人口</w:t>
      </w:r>
    </w:p>
    <w:p w14:paraId="7D05AEDC" w14:textId="77777777" w:rsidR="005A1A44" w:rsidRDefault="0008059E">
      <w:pPr>
        <w:ind w:firstLine="480"/>
        <w:jc w:val="left"/>
        <w:rPr>
          <w:rFonts w:ascii="宋体" w:eastAsia="宋体" w:hAnsi="宋体" w:hint="eastAsia"/>
        </w:rPr>
      </w:pPr>
      <w:r>
        <w:rPr>
          <w:rFonts w:ascii="宋体" w:eastAsia="宋体" w:hAnsi="宋体" w:hint="eastAsia"/>
        </w:rPr>
        <w:t>和田市辖4个街道、2个镇、6个乡，111个行政村，33个社区居委会。和田市总人口389749人，少数民族占88%，汉族占12%，是一个维吾尔族、汉族、回族、哈萨克族等21个民族共同组成的多民族聚居城市，素以“玉石之都”、“地毯之乡”著称。</w:t>
      </w:r>
    </w:p>
    <w:p w14:paraId="5E122D86" w14:textId="77777777" w:rsidR="005A1A44" w:rsidRDefault="0008059E">
      <w:pPr>
        <w:pStyle w:val="4"/>
        <w:numPr>
          <w:ilvl w:val="3"/>
          <w:numId w:val="2"/>
        </w:numPr>
      </w:pPr>
      <w:r>
        <w:rPr>
          <w:rFonts w:hint="eastAsia"/>
        </w:rPr>
        <w:t xml:space="preserve"> </w:t>
      </w:r>
      <w:r>
        <w:rPr>
          <w:rFonts w:hint="eastAsia"/>
        </w:rPr>
        <w:t>社会经济现状</w:t>
      </w:r>
    </w:p>
    <w:p w14:paraId="7A695467" w14:textId="77777777" w:rsidR="005A1A44" w:rsidRDefault="0008059E">
      <w:pPr>
        <w:ind w:firstLine="480"/>
        <w:jc w:val="left"/>
        <w:rPr>
          <w:rFonts w:ascii="宋体" w:eastAsia="宋体" w:hAnsi="宋体" w:hint="eastAsia"/>
        </w:rPr>
      </w:pPr>
      <w:r>
        <w:rPr>
          <w:rFonts w:ascii="TimesNewRomanPSMT" w:eastAsia="TimesNewRomanPSMT" w:hAnsi="TimesNewRomanPSMT" w:hint="eastAsia"/>
        </w:rPr>
        <w:t>2017</w:t>
      </w:r>
      <w:r>
        <w:rPr>
          <w:rFonts w:ascii="宋体" w:eastAsia="宋体" w:hAnsi="宋体" w:hint="eastAsia"/>
        </w:rPr>
        <w:t>年和田市农林林渔服务业（现价）总产值达</w:t>
      </w:r>
      <w:r>
        <w:rPr>
          <w:rFonts w:ascii="TimesNewRomanPSMT" w:eastAsia="TimesNewRomanPSMT" w:hAnsi="TimesNewRomanPSMT" w:hint="eastAsia"/>
        </w:rPr>
        <w:t>233678.5</w:t>
      </w:r>
      <w:r>
        <w:rPr>
          <w:rFonts w:ascii="宋体" w:eastAsia="宋体" w:hAnsi="宋体" w:hint="eastAsia"/>
        </w:rPr>
        <w:t>万元，其中：种植业总产值</w:t>
      </w:r>
      <w:r>
        <w:rPr>
          <w:rFonts w:ascii="TimesNewRomanPSMT" w:eastAsia="TimesNewRomanPSMT" w:hAnsi="TimesNewRomanPSMT" w:hint="eastAsia"/>
        </w:rPr>
        <w:t>170225.9</w:t>
      </w:r>
      <w:r>
        <w:rPr>
          <w:rFonts w:ascii="宋体" w:eastAsia="宋体" w:hAnsi="宋体" w:hint="eastAsia"/>
        </w:rPr>
        <w:t>万元，林业总产值</w:t>
      </w:r>
      <w:r>
        <w:rPr>
          <w:rFonts w:ascii="TimesNewRomanPSMT" w:eastAsia="TimesNewRomanPSMT" w:hAnsi="TimesNewRomanPSMT" w:hint="eastAsia"/>
        </w:rPr>
        <w:t>1797.87</w:t>
      </w:r>
      <w:r>
        <w:rPr>
          <w:rFonts w:ascii="宋体" w:eastAsia="宋体" w:hAnsi="宋体" w:hint="eastAsia"/>
        </w:rPr>
        <w:t>万元，畜牧业总产值</w:t>
      </w:r>
      <w:r>
        <w:rPr>
          <w:rFonts w:ascii="TimesNewRomanPSMT" w:eastAsia="TimesNewRomanPSMT" w:hAnsi="TimesNewRomanPSMT" w:hint="eastAsia"/>
        </w:rPr>
        <w:t>58633.47</w:t>
      </w:r>
      <w:r>
        <w:rPr>
          <w:rFonts w:ascii="宋体" w:eastAsia="宋体" w:hAnsi="宋体" w:hint="eastAsia"/>
        </w:rPr>
        <w:t>万元，渔业总产值</w:t>
      </w:r>
      <w:r>
        <w:rPr>
          <w:rFonts w:ascii="TimesNewRomanPSMT" w:eastAsia="TimesNewRomanPSMT" w:hAnsi="TimesNewRomanPSMT" w:hint="eastAsia"/>
        </w:rPr>
        <w:t>1412.25</w:t>
      </w:r>
      <w:r>
        <w:rPr>
          <w:rFonts w:ascii="宋体" w:eastAsia="宋体" w:hAnsi="宋体" w:hint="eastAsia"/>
        </w:rPr>
        <w:t>万元。</w:t>
      </w:r>
    </w:p>
    <w:p w14:paraId="35D7F4BF" w14:textId="77777777" w:rsidR="005A1A44" w:rsidRDefault="0008059E">
      <w:pPr>
        <w:ind w:firstLine="480"/>
        <w:jc w:val="left"/>
      </w:pPr>
      <w:r>
        <w:rPr>
          <w:rFonts w:ascii="宋体" w:eastAsia="宋体" w:hAnsi="宋体" w:hint="eastAsia"/>
        </w:rPr>
        <w:lastRenderedPageBreak/>
        <w:t>全市工业企业完成产值</w:t>
      </w:r>
      <w:r>
        <w:rPr>
          <w:rFonts w:ascii="TimesNewRomanPSMT" w:eastAsia="TimesNewRomanPSMT" w:hAnsi="TimesNewRomanPSMT" w:hint="eastAsia"/>
        </w:rPr>
        <w:t>76459.52</w:t>
      </w:r>
      <w:r>
        <w:rPr>
          <w:rFonts w:ascii="宋体" w:eastAsia="宋体" w:hAnsi="宋体" w:hint="eastAsia"/>
        </w:rPr>
        <w:t>万元，同比增长</w:t>
      </w:r>
      <w:r>
        <w:rPr>
          <w:rFonts w:ascii="TimesNewRomanPSMT" w:eastAsia="TimesNewRomanPSMT" w:hAnsi="TimesNewRomanPSMT" w:hint="eastAsia"/>
        </w:rPr>
        <w:t>10.7%</w:t>
      </w:r>
      <w:r>
        <w:rPr>
          <w:rFonts w:ascii="宋体" w:eastAsia="宋体" w:hAnsi="宋体" w:hint="eastAsia"/>
        </w:rPr>
        <w:t>，累计完成工业销售产值</w:t>
      </w:r>
      <w:r>
        <w:rPr>
          <w:rFonts w:ascii="TimesNewRomanPSMT" w:eastAsia="TimesNewRomanPSMT" w:hAnsi="TimesNewRomanPSMT" w:hint="eastAsia"/>
        </w:rPr>
        <w:t>68243.69</w:t>
      </w:r>
      <w:r>
        <w:rPr>
          <w:rFonts w:ascii="宋体" w:eastAsia="宋体" w:hAnsi="宋体" w:hint="eastAsia"/>
        </w:rPr>
        <w:t>万元，同比增长</w:t>
      </w:r>
      <w:r>
        <w:rPr>
          <w:rFonts w:ascii="TimesNewRomanPSMT" w:eastAsia="TimesNewRomanPSMT" w:hAnsi="TimesNewRomanPSMT" w:hint="eastAsia"/>
        </w:rPr>
        <w:t>1.4%</w:t>
      </w:r>
      <w:r>
        <w:rPr>
          <w:rFonts w:ascii="宋体" w:eastAsia="宋体" w:hAnsi="宋体" w:hint="eastAsia"/>
        </w:rPr>
        <w:t>。全年实现建筑业增加值41486万元，同比增长7.7%。房屋建筑施工面积127.29万平方米，同比增长23.9%，竣工面积81.27万平方米。实施安居工程：全年建成安居富民房12450户（其中：一般户3190户，四类人员户9260户），投入资金40575.5万元；公租房909套（驻村干部周转房33套）。</w:t>
      </w:r>
    </w:p>
    <w:p w14:paraId="38D50AA5" w14:textId="77777777" w:rsidR="005A1A44" w:rsidRDefault="0008059E">
      <w:pPr>
        <w:ind w:firstLine="480"/>
      </w:pPr>
      <w:r>
        <w:rPr>
          <w:rFonts w:hint="eastAsia"/>
        </w:rPr>
        <w:t>全社会固定资产投资额完成</w:t>
      </w:r>
      <w:r>
        <w:rPr>
          <w:rFonts w:hint="eastAsia"/>
        </w:rPr>
        <w:t>541913</w:t>
      </w:r>
      <w:r>
        <w:rPr>
          <w:rFonts w:hint="eastAsia"/>
        </w:rPr>
        <w:t>万元，同比增长</w:t>
      </w:r>
      <w:r>
        <w:rPr>
          <w:rFonts w:hint="eastAsia"/>
        </w:rPr>
        <w:t>41.7%</w:t>
      </w:r>
      <w:r>
        <w:rPr>
          <w:rFonts w:hint="eastAsia"/>
        </w:rPr>
        <w:t>；从行业分布来看：第一产业完成投资</w:t>
      </w:r>
      <w:r>
        <w:rPr>
          <w:rFonts w:hint="eastAsia"/>
        </w:rPr>
        <w:t>42637</w:t>
      </w:r>
      <w:r>
        <w:rPr>
          <w:rFonts w:hint="eastAsia"/>
        </w:rPr>
        <w:t>万元，同比下降</w:t>
      </w:r>
      <w:r>
        <w:rPr>
          <w:rFonts w:hint="eastAsia"/>
        </w:rPr>
        <w:t>39.4%</w:t>
      </w:r>
      <w:r>
        <w:rPr>
          <w:rFonts w:hint="eastAsia"/>
        </w:rPr>
        <w:t>；第二产业完成投资</w:t>
      </w:r>
      <w:r>
        <w:rPr>
          <w:rFonts w:hint="eastAsia"/>
        </w:rPr>
        <w:t>91661</w:t>
      </w:r>
      <w:r>
        <w:rPr>
          <w:rFonts w:hint="eastAsia"/>
        </w:rPr>
        <w:t>万元，同比下降</w:t>
      </w:r>
      <w:r>
        <w:rPr>
          <w:rFonts w:hint="eastAsia"/>
        </w:rPr>
        <w:t>32.9%</w:t>
      </w:r>
      <w:r>
        <w:rPr>
          <w:rFonts w:hint="eastAsia"/>
        </w:rPr>
        <w:t>；第三产业完成投资</w:t>
      </w:r>
      <w:r>
        <w:rPr>
          <w:rFonts w:hint="eastAsia"/>
        </w:rPr>
        <w:t>407615</w:t>
      </w:r>
      <w:r>
        <w:rPr>
          <w:rFonts w:hint="eastAsia"/>
        </w:rPr>
        <w:t>万元，同比增长</w:t>
      </w:r>
      <w:r>
        <w:rPr>
          <w:rFonts w:hint="eastAsia"/>
        </w:rPr>
        <w:t>135.6%</w:t>
      </w:r>
      <w:r>
        <w:rPr>
          <w:rFonts w:hint="eastAsia"/>
        </w:rPr>
        <w:t>。当地良好的经济和社会条件，为该项目的建设奠定了坚实的基础。</w:t>
      </w:r>
    </w:p>
    <w:p w14:paraId="60062BD0" w14:textId="77777777" w:rsidR="005A1A44" w:rsidRDefault="0008059E">
      <w:pPr>
        <w:pStyle w:val="2"/>
        <w:numPr>
          <w:ilvl w:val="1"/>
          <w:numId w:val="2"/>
        </w:numPr>
      </w:pPr>
      <w:bookmarkStart w:id="157" w:name="_Toc18298_WPSOffice_Level2"/>
      <w:r>
        <w:rPr>
          <w:rFonts w:hint="eastAsia"/>
        </w:rPr>
        <w:t xml:space="preserve"> </w:t>
      </w:r>
      <w:bookmarkStart w:id="158" w:name="_Toc14178_WPSOffice_Level2"/>
      <w:bookmarkStart w:id="159" w:name="_Toc20777_WPSOffice_Level2"/>
      <w:r>
        <w:rPr>
          <w:rFonts w:hint="eastAsia"/>
        </w:rPr>
        <w:t>大气环境现状调查与评价</w:t>
      </w:r>
      <w:bookmarkEnd w:id="157"/>
      <w:bookmarkEnd w:id="158"/>
      <w:bookmarkEnd w:id="159"/>
    </w:p>
    <w:p w14:paraId="67CBBC87" w14:textId="77777777" w:rsidR="005A1A44" w:rsidRDefault="0008059E">
      <w:pPr>
        <w:pStyle w:val="af4"/>
        <w:ind w:firstLine="480"/>
      </w:pPr>
      <w:r>
        <w:rPr>
          <w:rFonts w:hint="eastAsia"/>
        </w:rPr>
        <w:t>根据《环境影响评价技术导则</w:t>
      </w:r>
      <w:r>
        <w:rPr>
          <w:rFonts w:hint="eastAsia"/>
        </w:rPr>
        <w:t>-</w:t>
      </w:r>
      <w:r>
        <w:rPr>
          <w:rFonts w:hint="eastAsia"/>
        </w:rPr>
        <w:t>大气环境》（</w:t>
      </w:r>
      <w:r>
        <w:rPr>
          <w:rFonts w:hint="eastAsia"/>
        </w:rPr>
        <w:t>HJ2.2-2018</w:t>
      </w:r>
      <w:r>
        <w:rPr>
          <w:rFonts w:hint="eastAsia"/>
        </w:rPr>
        <w:t>），本项目进行空气环境达标区的判定和区域各污染物的环境质量现状评价。本项目位于和田市，本次大气现状评价的常规污染物大气监测数据来源于公开发布的—和田地区—地区站点数据（站点编号</w:t>
      </w:r>
      <w:r>
        <w:rPr>
          <w:rFonts w:hint="eastAsia"/>
        </w:rPr>
        <w:t>2701A</w:t>
      </w:r>
      <w:r>
        <w:rPr>
          <w:rFonts w:hint="eastAsia"/>
        </w:rPr>
        <w:t>）（</w:t>
      </w:r>
      <w:r>
        <w:rPr>
          <w:rFonts w:hint="eastAsia"/>
        </w:rPr>
        <w:t>http://envi.ckcest.cn/environment</w:t>
      </w:r>
      <w:r>
        <w:rPr>
          <w:rFonts w:hint="eastAsia"/>
        </w:rPr>
        <w:t>），所使用的大气现状监测数据满足本项目的分析要求。</w:t>
      </w:r>
    </w:p>
    <w:p w14:paraId="0E0C6B73" w14:textId="77777777" w:rsidR="005A1A44" w:rsidRDefault="0008059E">
      <w:pPr>
        <w:pStyle w:val="3"/>
        <w:numPr>
          <w:ilvl w:val="2"/>
          <w:numId w:val="2"/>
        </w:numPr>
      </w:pPr>
      <w:r>
        <w:rPr>
          <w:rFonts w:hint="eastAsia"/>
        </w:rPr>
        <w:t xml:space="preserve"> </w:t>
      </w:r>
      <w:r>
        <w:rPr>
          <w:rFonts w:hint="eastAsia"/>
        </w:rPr>
        <w:t>监测点位</w:t>
      </w:r>
    </w:p>
    <w:p w14:paraId="0D82DD8B" w14:textId="77777777" w:rsidR="005A1A44" w:rsidRDefault="0008059E">
      <w:pPr>
        <w:pStyle w:val="af4"/>
        <w:spacing w:line="360" w:lineRule="auto"/>
        <w:ind w:firstLine="480"/>
      </w:pPr>
      <w:r>
        <w:rPr>
          <w:rFonts w:hint="eastAsia"/>
        </w:rPr>
        <w:t>本区内有两个大气监测点，分别为地区站和地区站和谷江巴格乡院内站，其中地区站距离项目区更近，因此以地区站数据作为本次大气环境评价的依据。</w:t>
      </w:r>
    </w:p>
    <w:p w14:paraId="7079CAE6" w14:textId="77777777" w:rsidR="005A1A44" w:rsidRDefault="0008059E">
      <w:pPr>
        <w:pStyle w:val="B"/>
        <w:ind w:firstLine="480"/>
        <w:rPr>
          <w:b w:val="0"/>
          <w:bCs/>
          <w:color w:val="auto"/>
        </w:rPr>
      </w:pPr>
      <w:r>
        <w:rPr>
          <w:b w:val="0"/>
          <w:bCs/>
          <w:color w:val="auto"/>
        </w:rPr>
        <w:t>表</w:t>
      </w:r>
      <w:r>
        <w:rPr>
          <w:rFonts w:hint="eastAsia"/>
          <w:b w:val="0"/>
          <w:bCs/>
          <w:color w:val="auto"/>
        </w:rPr>
        <w:t>4.2</w:t>
      </w:r>
      <w:r>
        <w:rPr>
          <w:b w:val="0"/>
          <w:bCs/>
          <w:color w:val="auto"/>
        </w:rPr>
        <w:t>-1</w:t>
      </w:r>
      <w:r>
        <w:rPr>
          <w:rFonts w:hint="eastAsia"/>
          <w:b w:val="0"/>
          <w:bCs/>
          <w:color w:val="auto"/>
        </w:rPr>
        <w:t xml:space="preserve">  </w:t>
      </w:r>
      <w:r>
        <w:rPr>
          <w:b w:val="0"/>
          <w:bCs/>
          <w:color w:val="auto"/>
        </w:rPr>
        <w:t>大气环境现状监测点位</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6"/>
        <w:gridCol w:w="2268"/>
        <w:gridCol w:w="1721"/>
        <w:gridCol w:w="1995"/>
        <w:gridCol w:w="1995"/>
      </w:tblGrid>
      <w:tr w:rsidR="005A1A44" w14:paraId="33EFCB6C" w14:textId="77777777">
        <w:trPr>
          <w:trHeight w:val="397"/>
          <w:jc w:val="center"/>
        </w:trPr>
        <w:tc>
          <w:tcPr>
            <w:tcW w:w="526" w:type="dxa"/>
            <w:vAlign w:val="center"/>
          </w:tcPr>
          <w:p w14:paraId="0B69DC9C" w14:textId="77777777" w:rsidR="005A1A44" w:rsidRDefault="0008059E">
            <w:pPr>
              <w:pStyle w:val="B0"/>
              <w:spacing w:line="240" w:lineRule="auto"/>
              <w:ind w:firstLineChars="0" w:firstLine="0"/>
              <w:rPr>
                <w:sz w:val="21"/>
                <w:szCs w:val="21"/>
              </w:rPr>
            </w:pPr>
            <w:r>
              <w:rPr>
                <w:sz w:val="21"/>
                <w:szCs w:val="21"/>
              </w:rPr>
              <w:t>序号</w:t>
            </w:r>
          </w:p>
        </w:tc>
        <w:tc>
          <w:tcPr>
            <w:tcW w:w="2268" w:type="dxa"/>
            <w:vAlign w:val="center"/>
          </w:tcPr>
          <w:p w14:paraId="7740F44E" w14:textId="77777777" w:rsidR="005A1A44" w:rsidRDefault="0008059E">
            <w:pPr>
              <w:pStyle w:val="B0"/>
              <w:spacing w:line="240" w:lineRule="auto"/>
              <w:ind w:firstLineChars="0" w:firstLine="0"/>
              <w:rPr>
                <w:sz w:val="21"/>
                <w:szCs w:val="21"/>
              </w:rPr>
            </w:pPr>
            <w:r>
              <w:rPr>
                <w:sz w:val="21"/>
                <w:szCs w:val="21"/>
              </w:rPr>
              <w:t>监测点位</w:t>
            </w:r>
          </w:p>
        </w:tc>
        <w:tc>
          <w:tcPr>
            <w:tcW w:w="1721" w:type="dxa"/>
            <w:vAlign w:val="center"/>
          </w:tcPr>
          <w:p w14:paraId="11E957EA" w14:textId="77777777" w:rsidR="005A1A44" w:rsidRDefault="0008059E">
            <w:pPr>
              <w:pStyle w:val="B0"/>
              <w:spacing w:line="240" w:lineRule="auto"/>
              <w:ind w:firstLineChars="0" w:firstLine="0"/>
              <w:rPr>
                <w:sz w:val="21"/>
                <w:szCs w:val="21"/>
              </w:rPr>
            </w:pPr>
            <w:r>
              <w:rPr>
                <w:sz w:val="21"/>
                <w:szCs w:val="21"/>
              </w:rPr>
              <w:t>方位</w:t>
            </w:r>
          </w:p>
        </w:tc>
        <w:tc>
          <w:tcPr>
            <w:tcW w:w="1995" w:type="dxa"/>
            <w:vAlign w:val="center"/>
          </w:tcPr>
          <w:p w14:paraId="3FDE5DFC" w14:textId="77777777" w:rsidR="005A1A44" w:rsidRDefault="0008059E">
            <w:pPr>
              <w:pStyle w:val="B0"/>
              <w:spacing w:line="240" w:lineRule="auto"/>
              <w:ind w:firstLineChars="0" w:firstLine="0"/>
              <w:rPr>
                <w:sz w:val="21"/>
                <w:szCs w:val="21"/>
              </w:rPr>
            </w:pPr>
            <w:r>
              <w:rPr>
                <w:sz w:val="21"/>
                <w:szCs w:val="21"/>
              </w:rPr>
              <w:t>距离（</w:t>
            </w:r>
            <w:r>
              <w:rPr>
                <w:sz w:val="21"/>
                <w:szCs w:val="21"/>
              </w:rPr>
              <w:t>km</w:t>
            </w:r>
            <w:r>
              <w:rPr>
                <w:sz w:val="21"/>
                <w:szCs w:val="21"/>
              </w:rPr>
              <w:t>）</w:t>
            </w:r>
          </w:p>
        </w:tc>
        <w:tc>
          <w:tcPr>
            <w:tcW w:w="1995" w:type="dxa"/>
            <w:vAlign w:val="center"/>
          </w:tcPr>
          <w:p w14:paraId="50C86C4E" w14:textId="77777777" w:rsidR="005A1A44" w:rsidRDefault="0008059E">
            <w:pPr>
              <w:pStyle w:val="B0"/>
              <w:spacing w:line="240" w:lineRule="auto"/>
              <w:ind w:firstLineChars="0" w:firstLine="0"/>
              <w:rPr>
                <w:sz w:val="21"/>
                <w:szCs w:val="21"/>
              </w:rPr>
            </w:pPr>
            <w:r>
              <w:rPr>
                <w:sz w:val="21"/>
                <w:szCs w:val="21"/>
              </w:rPr>
              <w:t>监测项目</w:t>
            </w:r>
          </w:p>
        </w:tc>
      </w:tr>
      <w:tr w:rsidR="005A1A44" w14:paraId="084F7D75" w14:textId="77777777">
        <w:trPr>
          <w:trHeight w:val="397"/>
          <w:jc w:val="center"/>
        </w:trPr>
        <w:tc>
          <w:tcPr>
            <w:tcW w:w="526" w:type="dxa"/>
            <w:vAlign w:val="center"/>
          </w:tcPr>
          <w:p w14:paraId="115BB4F8" w14:textId="77777777" w:rsidR="005A1A44" w:rsidRDefault="0008059E">
            <w:pPr>
              <w:pStyle w:val="B0"/>
              <w:spacing w:line="240" w:lineRule="auto"/>
              <w:ind w:firstLineChars="0" w:firstLine="0"/>
              <w:rPr>
                <w:sz w:val="21"/>
                <w:szCs w:val="21"/>
              </w:rPr>
            </w:pPr>
            <w:r>
              <w:rPr>
                <w:rFonts w:hint="eastAsia"/>
                <w:sz w:val="21"/>
                <w:szCs w:val="21"/>
              </w:rPr>
              <w:t>1</w:t>
            </w:r>
          </w:p>
        </w:tc>
        <w:tc>
          <w:tcPr>
            <w:tcW w:w="2268" w:type="dxa"/>
            <w:vAlign w:val="center"/>
          </w:tcPr>
          <w:p w14:paraId="063A538E" w14:textId="77777777" w:rsidR="005A1A44" w:rsidRDefault="0008059E">
            <w:pPr>
              <w:pStyle w:val="B0"/>
              <w:spacing w:line="240" w:lineRule="auto"/>
              <w:ind w:firstLineChars="0" w:firstLine="0"/>
              <w:rPr>
                <w:sz w:val="21"/>
                <w:szCs w:val="21"/>
              </w:rPr>
            </w:pPr>
            <w:r>
              <w:rPr>
                <w:rFonts w:hint="eastAsia"/>
                <w:sz w:val="21"/>
                <w:szCs w:val="21"/>
              </w:rPr>
              <w:t>地区站</w:t>
            </w:r>
          </w:p>
        </w:tc>
        <w:tc>
          <w:tcPr>
            <w:tcW w:w="1721" w:type="dxa"/>
            <w:vAlign w:val="center"/>
          </w:tcPr>
          <w:p w14:paraId="06A430AD" w14:textId="77777777" w:rsidR="005A1A44" w:rsidRDefault="0008059E">
            <w:pPr>
              <w:pStyle w:val="B0"/>
              <w:spacing w:line="240" w:lineRule="auto"/>
              <w:ind w:firstLineChars="0" w:firstLine="0"/>
              <w:rPr>
                <w:sz w:val="21"/>
                <w:szCs w:val="21"/>
              </w:rPr>
            </w:pPr>
            <w:r>
              <w:rPr>
                <w:rFonts w:hint="eastAsia"/>
                <w:sz w:val="21"/>
                <w:szCs w:val="21"/>
              </w:rPr>
              <w:t>西</w:t>
            </w:r>
          </w:p>
        </w:tc>
        <w:tc>
          <w:tcPr>
            <w:tcW w:w="1995" w:type="dxa"/>
            <w:vAlign w:val="center"/>
          </w:tcPr>
          <w:p w14:paraId="63EC1844" w14:textId="77777777" w:rsidR="005A1A44" w:rsidRDefault="0008059E">
            <w:pPr>
              <w:pStyle w:val="B0"/>
              <w:spacing w:line="240" w:lineRule="auto"/>
              <w:ind w:firstLineChars="0" w:firstLine="0"/>
              <w:rPr>
                <w:sz w:val="21"/>
                <w:szCs w:val="21"/>
              </w:rPr>
            </w:pPr>
            <w:r>
              <w:rPr>
                <w:rFonts w:hint="eastAsia"/>
                <w:sz w:val="21"/>
                <w:szCs w:val="21"/>
              </w:rPr>
              <w:t>1.2</w:t>
            </w:r>
          </w:p>
        </w:tc>
        <w:tc>
          <w:tcPr>
            <w:tcW w:w="1995" w:type="dxa"/>
            <w:vAlign w:val="center"/>
          </w:tcPr>
          <w:p w14:paraId="736BC41D" w14:textId="77777777" w:rsidR="005A1A44" w:rsidRDefault="0008059E">
            <w:pPr>
              <w:pStyle w:val="B0"/>
              <w:spacing w:line="240" w:lineRule="auto"/>
              <w:ind w:firstLineChars="0" w:firstLine="0"/>
              <w:rPr>
                <w:sz w:val="21"/>
                <w:szCs w:val="21"/>
              </w:rPr>
            </w:pPr>
            <w:r>
              <w:rPr>
                <w:sz w:val="21"/>
                <w:szCs w:val="21"/>
              </w:rPr>
              <w:t>CO</w:t>
            </w:r>
            <w:r>
              <w:rPr>
                <w:sz w:val="21"/>
                <w:szCs w:val="21"/>
              </w:rPr>
              <w:t>、</w:t>
            </w:r>
            <w:r>
              <w:rPr>
                <w:sz w:val="21"/>
                <w:szCs w:val="21"/>
              </w:rPr>
              <w:t>O</w:t>
            </w:r>
            <w:r>
              <w:rPr>
                <w:sz w:val="21"/>
                <w:szCs w:val="21"/>
                <w:vertAlign w:val="subscript"/>
              </w:rPr>
              <w:t>3</w:t>
            </w:r>
            <w:r>
              <w:rPr>
                <w:sz w:val="21"/>
                <w:szCs w:val="21"/>
              </w:rPr>
              <w:t>、</w:t>
            </w:r>
            <w:r>
              <w:rPr>
                <w:sz w:val="21"/>
                <w:szCs w:val="21"/>
              </w:rPr>
              <w:t>PM</w:t>
            </w:r>
            <w:r>
              <w:rPr>
                <w:sz w:val="21"/>
                <w:szCs w:val="21"/>
                <w:vertAlign w:val="subscript"/>
              </w:rPr>
              <w:t>10</w:t>
            </w:r>
            <w:r>
              <w:rPr>
                <w:sz w:val="21"/>
                <w:szCs w:val="21"/>
              </w:rPr>
              <w:t>、</w:t>
            </w:r>
            <w:r>
              <w:rPr>
                <w:sz w:val="21"/>
                <w:szCs w:val="21"/>
              </w:rPr>
              <w:t>PM</w:t>
            </w:r>
            <w:r>
              <w:rPr>
                <w:sz w:val="21"/>
                <w:szCs w:val="21"/>
                <w:vertAlign w:val="subscript"/>
              </w:rPr>
              <w:t>2.5</w:t>
            </w:r>
            <w:r>
              <w:rPr>
                <w:sz w:val="21"/>
                <w:szCs w:val="21"/>
              </w:rPr>
              <w:t>、</w:t>
            </w:r>
            <w:r>
              <w:rPr>
                <w:sz w:val="21"/>
                <w:szCs w:val="21"/>
              </w:rPr>
              <w:t>SO</w:t>
            </w:r>
            <w:r>
              <w:rPr>
                <w:sz w:val="21"/>
                <w:szCs w:val="21"/>
                <w:vertAlign w:val="subscript"/>
              </w:rPr>
              <w:t>2</w:t>
            </w:r>
            <w:r>
              <w:rPr>
                <w:sz w:val="21"/>
                <w:szCs w:val="21"/>
              </w:rPr>
              <w:t>、</w:t>
            </w:r>
            <w:r>
              <w:rPr>
                <w:sz w:val="21"/>
                <w:szCs w:val="21"/>
              </w:rPr>
              <w:t>NO</w:t>
            </w:r>
            <w:r>
              <w:rPr>
                <w:sz w:val="21"/>
                <w:szCs w:val="21"/>
                <w:vertAlign w:val="subscript"/>
              </w:rPr>
              <w:t>2</w:t>
            </w:r>
          </w:p>
        </w:tc>
      </w:tr>
    </w:tbl>
    <w:p w14:paraId="6C8C9AC9" w14:textId="77777777" w:rsidR="005A1A44" w:rsidRDefault="005A1A44">
      <w:pPr>
        <w:pStyle w:val="af4"/>
        <w:ind w:firstLineChars="0" w:firstLine="0"/>
      </w:pPr>
    </w:p>
    <w:p w14:paraId="691B1471" w14:textId="77777777" w:rsidR="005A1A44" w:rsidRDefault="0008059E">
      <w:pPr>
        <w:pStyle w:val="3"/>
        <w:numPr>
          <w:ilvl w:val="2"/>
          <w:numId w:val="2"/>
        </w:numPr>
      </w:pPr>
      <w:r>
        <w:rPr>
          <w:rFonts w:hint="eastAsia"/>
        </w:rPr>
        <w:lastRenderedPageBreak/>
        <w:t xml:space="preserve"> </w:t>
      </w:r>
      <w:r>
        <w:rPr>
          <w:rFonts w:hint="eastAsia"/>
        </w:rPr>
        <w:t>监测项目</w:t>
      </w:r>
    </w:p>
    <w:p w14:paraId="4EEC23F8" w14:textId="77777777" w:rsidR="005A1A44" w:rsidRDefault="0008059E">
      <w:pPr>
        <w:pStyle w:val="af4"/>
        <w:ind w:firstLine="480"/>
      </w:pPr>
      <w:r>
        <w:t>监测项目：</w:t>
      </w:r>
      <w:r>
        <w:rPr>
          <w:rFonts w:hint="eastAsia"/>
        </w:rPr>
        <w:t>基本污染物</w:t>
      </w:r>
      <w:r>
        <w:rPr>
          <w:rFonts w:hint="eastAsia"/>
        </w:rPr>
        <w:t>CO</w:t>
      </w:r>
      <w:r>
        <w:rPr>
          <w:rFonts w:hint="eastAsia"/>
        </w:rPr>
        <w:t>、</w:t>
      </w:r>
      <w:r>
        <w:rPr>
          <w:rFonts w:hint="eastAsia"/>
        </w:rPr>
        <w:t>O</w:t>
      </w:r>
      <w:r>
        <w:rPr>
          <w:rFonts w:hint="eastAsia"/>
          <w:vertAlign w:val="subscript"/>
        </w:rPr>
        <w:t>3</w:t>
      </w:r>
      <w:r>
        <w:rPr>
          <w:rFonts w:hint="eastAsia"/>
        </w:rPr>
        <w:t>、</w:t>
      </w:r>
      <w:r>
        <w:rPr>
          <w:bCs/>
        </w:rPr>
        <w:t>PM</w:t>
      </w:r>
      <w:r>
        <w:rPr>
          <w:rFonts w:hint="eastAsia"/>
          <w:bCs/>
          <w:vertAlign w:val="subscript"/>
        </w:rPr>
        <w:t>10</w:t>
      </w:r>
      <w:r>
        <w:t>、</w:t>
      </w:r>
      <w:r>
        <w:rPr>
          <w:bCs/>
        </w:rPr>
        <w:t>PM</w:t>
      </w:r>
      <w:r>
        <w:rPr>
          <w:bCs/>
          <w:vertAlign w:val="subscript"/>
        </w:rPr>
        <w:t>2.5</w:t>
      </w:r>
      <w:r>
        <w:t>、</w:t>
      </w:r>
      <w:r>
        <w:t>SO</w:t>
      </w:r>
      <w:r>
        <w:rPr>
          <w:vertAlign w:val="subscript"/>
        </w:rPr>
        <w:t>2</w:t>
      </w:r>
      <w:r>
        <w:t>、</w:t>
      </w:r>
      <w:r>
        <w:t>NO</w:t>
      </w:r>
      <w:r>
        <w:rPr>
          <w:vertAlign w:val="subscript"/>
        </w:rPr>
        <w:t>2</w:t>
      </w:r>
      <w:r>
        <w:rPr>
          <w:rFonts w:hint="eastAsia"/>
        </w:rPr>
        <w:t>。</w:t>
      </w:r>
    </w:p>
    <w:p w14:paraId="542CB0AB" w14:textId="77777777" w:rsidR="005A1A44" w:rsidRDefault="0008059E">
      <w:pPr>
        <w:pStyle w:val="af4"/>
        <w:ind w:firstLine="480"/>
      </w:pPr>
      <w:r>
        <w:t>监测时间：</w:t>
      </w:r>
      <w:r>
        <w:rPr>
          <w:rFonts w:hint="eastAsia"/>
        </w:rPr>
        <w:t>基本</w:t>
      </w:r>
      <w:r>
        <w:t>污染物</w:t>
      </w:r>
      <w:r>
        <w:rPr>
          <w:rFonts w:hint="eastAsia"/>
        </w:rPr>
        <w:t>CO</w:t>
      </w:r>
      <w:r>
        <w:rPr>
          <w:rFonts w:hint="eastAsia"/>
        </w:rPr>
        <w:t>、</w:t>
      </w:r>
      <w:r>
        <w:rPr>
          <w:rFonts w:hint="eastAsia"/>
        </w:rPr>
        <w:t>O</w:t>
      </w:r>
      <w:r>
        <w:rPr>
          <w:rFonts w:hint="eastAsia"/>
          <w:vertAlign w:val="subscript"/>
        </w:rPr>
        <w:t>3</w:t>
      </w:r>
      <w:r>
        <w:rPr>
          <w:rFonts w:hint="eastAsia"/>
        </w:rPr>
        <w:t>、</w:t>
      </w:r>
      <w:r>
        <w:rPr>
          <w:bCs/>
        </w:rPr>
        <w:t>PM</w:t>
      </w:r>
      <w:r>
        <w:rPr>
          <w:rFonts w:hint="eastAsia"/>
          <w:bCs/>
          <w:vertAlign w:val="subscript"/>
        </w:rPr>
        <w:t>10</w:t>
      </w:r>
      <w:r>
        <w:t>、</w:t>
      </w:r>
      <w:r>
        <w:rPr>
          <w:bCs/>
        </w:rPr>
        <w:t>PM</w:t>
      </w:r>
      <w:r>
        <w:rPr>
          <w:bCs/>
          <w:vertAlign w:val="subscript"/>
        </w:rPr>
        <w:t>2.5</w:t>
      </w:r>
      <w:r>
        <w:t>、</w:t>
      </w:r>
      <w:r>
        <w:t>SO</w:t>
      </w:r>
      <w:r>
        <w:rPr>
          <w:vertAlign w:val="subscript"/>
        </w:rPr>
        <w:t>2</w:t>
      </w:r>
      <w:r>
        <w:t>、</w:t>
      </w:r>
      <w:r>
        <w:t>NO</w:t>
      </w:r>
      <w:r>
        <w:rPr>
          <w:vertAlign w:val="subscript"/>
        </w:rPr>
        <w:t>2</w:t>
      </w:r>
      <w:r>
        <w:t>的监测时间为</w:t>
      </w:r>
      <w:r>
        <w:t>201</w:t>
      </w:r>
      <w:r>
        <w:rPr>
          <w:rFonts w:hint="eastAsia"/>
        </w:rPr>
        <w:t>8</w:t>
      </w:r>
      <w:r>
        <w:t>年</w:t>
      </w:r>
      <w:r>
        <w:rPr>
          <w:rFonts w:hint="eastAsia"/>
        </w:rPr>
        <w:t>01</w:t>
      </w:r>
      <w:r>
        <w:t>月</w:t>
      </w:r>
      <w:r>
        <w:rPr>
          <w:rFonts w:hint="eastAsia"/>
        </w:rPr>
        <w:t>01</w:t>
      </w:r>
      <w:r>
        <w:t>日至</w:t>
      </w:r>
      <w:r>
        <w:t>20</w:t>
      </w:r>
      <w:r>
        <w:rPr>
          <w:rFonts w:hint="eastAsia"/>
        </w:rPr>
        <w:t>18</w:t>
      </w:r>
      <w:r>
        <w:t>年</w:t>
      </w:r>
      <w:r>
        <w:rPr>
          <w:rFonts w:hint="eastAsia"/>
        </w:rPr>
        <w:t>12</w:t>
      </w:r>
      <w:r>
        <w:t>月</w:t>
      </w:r>
      <w:r>
        <w:rPr>
          <w:rFonts w:hint="eastAsia"/>
        </w:rPr>
        <w:t>31</w:t>
      </w:r>
      <w:r>
        <w:t>日，连续</w:t>
      </w:r>
      <w:r>
        <w:rPr>
          <w:rFonts w:hint="eastAsia"/>
        </w:rPr>
        <w:t>1</w:t>
      </w:r>
      <w:r>
        <w:rPr>
          <w:rFonts w:hint="eastAsia"/>
        </w:rPr>
        <w:t>年</w:t>
      </w:r>
      <w:r>
        <w:t>。</w:t>
      </w:r>
    </w:p>
    <w:p w14:paraId="51826637" w14:textId="77777777" w:rsidR="005A1A44" w:rsidRDefault="0008059E">
      <w:pPr>
        <w:pStyle w:val="3"/>
        <w:numPr>
          <w:ilvl w:val="2"/>
          <w:numId w:val="2"/>
        </w:numPr>
      </w:pPr>
      <w:r>
        <w:rPr>
          <w:rFonts w:hint="eastAsia"/>
        </w:rPr>
        <w:t xml:space="preserve"> </w:t>
      </w:r>
      <w:r>
        <w:t>评价标准</w:t>
      </w:r>
    </w:p>
    <w:p w14:paraId="12981A82" w14:textId="77777777" w:rsidR="005A1A44" w:rsidRDefault="0008059E">
      <w:pPr>
        <w:pStyle w:val="af4"/>
        <w:ind w:firstLine="480"/>
      </w:pPr>
      <w:r>
        <w:t>根据本项目所在区域的环境功能区划，</w:t>
      </w:r>
      <w:r>
        <w:t>SO</w:t>
      </w:r>
      <w:r>
        <w:rPr>
          <w:vertAlign w:val="subscript"/>
        </w:rPr>
        <w:t>2</w:t>
      </w:r>
      <w:r>
        <w:t>、</w:t>
      </w:r>
      <w:r>
        <w:t>NO</w:t>
      </w:r>
      <w:r>
        <w:rPr>
          <w:vertAlign w:val="subscript"/>
        </w:rPr>
        <w:t>2</w:t>
      </w:r>
      <w:r>
        <w:t>、</w:t>
      </w:r>
      <w:r>
        <w:t>PM</w:t>
      </w:r>
      <w:r>
        <w:rPr>
          <w:vertAlign w:val="subscript"/>
        </w:rPr>
        <w:t>10</w:t>
      </w:r>
      <w:r>
        <w:rPr>
          <w:rFonts w:hint="eastAsia"/>
          <w:szCs w:val="21"/>
        </w:rPr>
        <w:t>和</w:t>
      </w:r>
      <w:r>
        <w:t>PM</w:t>
      </w:r>
      <w:r>
        <w:rPr>
          <w:rFonts w:hint="eastAsia"/>
          <w:vertAlign w:val="subscript"/>
        </w:rPr>
        <w:t>2.5</w:t>
      </w:r>
      <w:r>
        <w:t>执行《环境空气质量标准》（</w:t>
      </w:r>
      <w:r>
        <w:t>GB 3095</w:t>
      </w:r>
      <w:r>
        <w:rPr>
          <w:rFonts w:hint="eastAsia"/>
        </w:rPr>
        <w:t>-2012</w:t>
      </w:r>
      <w:r>
        <w:t>）</w:t>
      </w:r>
      <w:r>
        <w:rPr>
          <w:snapToGrid w:val="0"/>
        </w:rPr>
        <w:t>中的二级标准</w:t>
      </w:r>
      <w:r>
        <w:rPr>
          <w:rFonts w:hint="eastAsia"/>
          <w:snapToGrid w:val="0"/>
        </w:rPr>
        <w:t>；</w:t>
      </w:r>
      <w:r>
        <w:t>NH</w:t>
      </w:r>
      <w:r>
        <w:rPr>
          <w:vertAlign w:val="subscript"/>
        </w:rPr>
        <w:t>3</w:t>
      </w:r>
      <w:r>
        <w:rPr>
          <w:rFonts w:hint="eastAsia"/>
        </w:rPr>
        <w:t>、</w:t>
      </w:r>
      <w:r>
        <w:rPr>
          <w:rFonts w:hint="eastAsia"/>
        </w:rPr>
        <w:t>H</w:t>
      </w:r>
      <w:r>
        <w:rPr>
          <w:rFonts w:hint="eastAsia"/>
          <w:vertAlign w:val="subscript"/>
        </w:rPr>
        <w:t>2</w:t>
      </w:r>
      <w:r>
        <w:rPr>
          <w:rFonts w:hint="eastAsia"/>
        </w:rPr>
        <w:t>S</w:t>
      </w:r>
      <w:r>
        <w:rPr>
          <w:rFonts w:hint="eastAsia"/>
        </w:rPr>
        <w:t>执行《环境影响评价技术导则·大气环境》（</w:t>
      </w:r>
      <w:r>
        <w:rPr>
          <w:rFonts w:hint="eastAsia"/>
        </w:rPr>
        <w:t>HJ2.2-2018</w:t>
      </w:r>
      <w:r>
        <w:rPr>
          <w:rFonts w:hint="eastAsia"/>
        </w:rPr>
        <w:t>）中附录</w:t>
      </w:r>
      <w:r>
        <w:rPr>
          <w:rFonts w:hint="eastAsia"/>
        </w:rPr>
        <w:t>D</w:t>
      </w:r>
      <w:r>
        <w:rPr>
          <w:rFonts w:hint="eastAsia"/>
        </w:rPr>
        <w:t>中空气质量浓度参考限值；</w:t>
      </w:r>
      <w:r>
        <w:rPr>
          <w:rFonts w:hint="eastAsia"/>
        </w:rPr>
        <w:t>NMHC</w:t>
      </w:r>
      <w:r>
        <w:rPr>
          <w:rFonts w:hint="eastAsia"/>
        </w:rPr>
        <w:t>执行</w:t>
      </w:r>
      <w:r>
        <w:rPr>
          <w:rFonts w:hint="eastAsia"/>
          <w:snapToGrid w:val="0"/>
        </w:rPr>
        <w:t>《大气污染物综合排放标准详解》中一次浓度限值，</w:t>
      </w:r>
      <w:r>
        <w:t>评价所用标准值见表</w:t>
      </w:r>
      <w:r>
        <w:rPr>
          <w:rFonts w:hint="eastAsia"/>
        </w:rPr>
        <w:t>4.2-2</w:t>
      </w:r>
      <w:r>
        <w:t>。</w:t>
      </w:r>
    </w:p>
    <w:p w14:paraId="703DAE7D" w14:textId="77777777" w:rsidR="005A1A44" w:rsidRDefault="0008059E">
      <w:pPr>
        <w:pStyle w:val="af4"/>
        <w:ind w:firstLineChars="0" w:firstLine="0"/>
        <w:jc w:val="center"/>
        <w:rPr>
          <w:rFonts w:ascii="黑体" w:eastAsia="黑体" w:hAnsi="黑体" w:cs="黑体" w:hint="eastAsia"/>
        </w:rPr>
      </w:pPr>
      <w:r>
        <w:rPr>
          <w:rFonts w:ascii="黑体" w:eastAsia="黑体" w:hAnsi="黑体" w:cs="黑体" w:hint="eastAsia"/>
        </w:rPr>
        <w:t>表4.2-2  大气环境质量现状评价所用标准值</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9"/>
        <w:gridCol w:w="1789"/>
        <w:gridCol w:w="1949"/>
        <w:gridCol w:w="3098"/>
      </w:tblGrid>
      <w:tr w:rsidR="005A1A44" w14:paraId="06DEA2EA" w14:textId="77777777">
        <w:trPr>
          <w:trHeight w:val="397"/>
          <w:jc w:val="center"/>
        </w:trPr>
        <w:tc>
          <w:tcPr>
            <w:tcW w:w="1669" w:type="dxa"/>
            <w:shd w:val="clear" w:color="auto" w:fill="auto"/>
            <w:vAlign w:val="center"/>
          </w:tcPr>
          <w:p w14:paraId="095BD345"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污染物</w:t>
            </w:r>
          </w:p>
        </w:tc>
        <w:tc>
          <w:tcPr>
            <w:tcW w:w="1789" w:type="dxa"/>
            <w:shd w:val="clear" w:color="auto" w:fill="auto"/>
            <w:vAlign w:val="center"/>
          </w:tcPr>
          <w:p w14:paraId="22C4BA3C"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取值时间</w:t>
            </w:r>
          </w:p>
        </w:tc>
        <w:tc>
          <w:tcPr>
            <w:tcW w:w="1949" w:type="dxa"/>
            <w:shd w:val="clear" w:color="auto" w:fill="auto"/>
            <w:vAlign w:val="center"/>
          </w:tcPr>
          <w:p w14:paraId="7029642A"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浓度限值(ug/m</w:t>
            </w:r>
            <w:r>
              <w:rPr>
                <w:rFonts w:ascii="宋体" w:eastAsia="宋体" w:hAnsi="宋体" w:hint="eastAsia"/>
                <w:sz w:val="21"/>
                <w:szCs w:val="21"/>
                <w:vertAlign w:val="superscript"/>
              </w:rPr>
              <w:t>3</w:t>
            </w:r>
            <w:r>
              <w:rPr>
                <w:rFonts w:ascii="宋体" w:eastAsia="宋体" w:hAnsi="宋体" w:hint="eastAsia"/>
                <w:sz w:val="21"/>
                <w:szCs w:val="21"/>
              </w:rPr>
              <w:t>)</w:t>
            </w:r>
          </w:p>
        </w:tc>
        <w:tc>
          <w:tcPr>
            <w:tcW w:w="3098" w:type="dxa"/>
            <w:shd w:val="clear" w:color="auto" w:fill="auto"/>
            <w:vAlign w:val="center"/>
          </w:tcPr>
          <w:p w14:paraId="7EF48D53"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标准来源</w:t>
            </w:r>
          </w:p>
        </w:tc>
      </w:tr>
      <w:tr w:rsidR="005A1A44" w14:paraId="28FDEFAB" w14:textId="77777777">
        <w:trPr>
          <w:trHeight w:val="397"/>
          <w:jc w:val="center"/>
        </w:trPr>
        <w:tc>
          <w:tcPr>
            <w:tcW w:w="1669" w:type="dxa"/>
            <w:vMerge w:val="restart"/>
            <w:shd w:val="clear" w:color="auto" w:fill="auto"/>
            <w:vAlign w:val="center"/>
          </w:tcPr>
          <w:p w14:paraId="261CA4EE"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SO</w:t>
            </w:r>
            <w:r>
              <w:rPr>
                <w:rFonts w:ascii="宋体" w:eastAsia="宋体" w:hAnsi="宋体" w:hint="eastAsia"/>
                <w:sz w:val="21"/>
                <w:szCs w:val="21"/>
                <w:vertAlign w:val="subscript"/>
              </w:rPr>
              <w:t>2</w:t>
            </w:r>
          </w:p>
        </w:tc>
        <w:tc>
          <w:tcPr>
            <w:tcW w:w="1789" w:type="dxa"/>
            <w:shd w:val="clear" w:color="auto" w:fill="auto"/>
            <w:vAlign w:val="center"/>
          </w:tcPr>
          <w:p w14:paraId="33F00199"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年平均</w:t>
            </w:r>
          </w:p>
        </w:tc>
        <w:tc>
          <w:tcPr>
            <w:tcW w:w="1949" w:type="dxa"/>
            <w:shd w:val="clear" w:color="auto" w:fill="auto"/>
            <w:vAlign w:val="center"/>
          </w:tcPr>
          <w:p w14:paraId="197A1AD5"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60</w:t>
            </w:r>
          </w:p>
        </w:tc>
        <w:tc>
          <w:tcPr>
            <w:tcW w:w="3098" w:type="dxa"/>
            <w:vMerge w:val="restart"/>
            <w:shd w:val="clear" w:color="auto" w:fill="auto"/>
            <w:vAlign w:val="center"/>
          </w:tcPr>
          <w:p w14:paraId="7C642575"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《环境空气质量标准》（GB3095-2012）</w:t>
            </w:r>
          </w:p>
        </w:tc>
      </w:tr>
      <w:tr w:rsidR="005A1A44" w14:paraId="22FCDF7B" w14:textId="77777777">
        <w:trPr>
          <w:trHeight w:val="397"/>
          <w:jc w:val="center"/>
        </w:trPr>
        <w:tc>
          <w:tcPr>
            <w:tcW w:w="1669" w:type="dxa"/>
            <w:vMerge/>
            <w:shd w:val="clear" w:color="auto" w:fill="auto"/>
            <w:vAlign w:val="center"/>
          </w:tcPr>
          <w:p w14:paraId="30E037D5" w14:textId="77777777" w:rsidR="005A1A44" w:rsidRDefault="005A1A44">
            <w:pPr>
              <w:pStyle w:val="B0"/>
              <w:spacing w:line="240" w:lineRule="auto"/>
              <w:ind w:firstLineChars="0" w:firstLine="0"/>
              <w:rPr>
                <w:rFonts w:ascii="宋体" w:eastAsia="宋体" w:hAnsi="宋体" w:hint="eastAsia"/>
                <w:sz w:val="21"/>
                <w:szCs w:val="21"/>
              </w:rPr>
            </w:pPr>
          </w:p>
        </w:tc>
        <w:tc>
          <w:tcPr>
            <w:tcW w:w="1789" w:type="dxa"/>
            <w:shd w:val="clear" w:color="auto" w:fill="auto"/>
            <w:vAlign w:val="center"/>
          </w:tcPr>
          <w:p w14:paraId="24CAAF83"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24小时平均</w:t>
            </w:r>
          </w:p>
        </w:tc>
        <w:tc>
          <w:tcPr>
            <w:tcW w:w="1949" w:type="dxa"/>
            <w:shd w:val="clear" w:color="auto" w:fill="auto"/>
            <w:vAlign w:val="center"/>
          </w:tcPr>
          <w:p w14:paraId="0EBBF2DC"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150</w:t>
            </w:r>
          </w:p>
        </w:tc>
        <w:tc>
          <w:tcPr>
            <w:tcW w:w="3098" w:type="dxa"/>
            <w:vMerge/>
            <w:shd w:val="clear" w:color="auto" w:fill="auto"/>
            <w:vAlign w:val="center"/>
          </w:tcPr>
          <w:p w14:paraId="5B609339" w14:textId="77777777" w:rsidR="005A1A44" w:rsidRDefault="005A1A44">
            <w:pPr>
              <w:pStyle w:val="B0"/>
              <w:spacing w:line="240" w:lineRule="auto"/>
              <w:ind w:firstLineChars="0" w:firstLine="0"/>
              <w:rPr>
                <w:rFonts w:ascii="宋体" w:eastAsia="宋体" w:hAnsi="宋体" w:hint="eastAsia"/>
                <w:sz w:val="21"/>
                <w:szCs w:val="21"/>
              </w:rPr>
            </w:pPr>
          </w:p>
        </w:tc>
      </w:tr>
      <w:tr w:rsidR="005A1A44" w14:paraId="0648BABB" w14:textId="77777777">
        <w:trPr>
          <w:trHeight w:val="397"/>
          <w:jc w:val="center"/>
        </w:trPr>
        <w:tc>
          <w:tcPr>
            <w:tcW w:w="1669" w:type="dxa"/>
            <w:vMerge/>
            <w:shd w:val="clear" w:color="auto" w:fill="auto"/>
            <w:vAlign w:val="center"/>
          </w:tcPr>
          <w:p w14:paraId="5A162921" w14:textId="77777777" w:rsidR="005A1A44" w:rsidRDefault="005A1A44">
            <w:pPr>
              <w:pStyle w:val="B0"/>
              <w:spacing w:line="240" w:lineRule="auto"/>
              <w:ind w:firstLineChars="0" w:firstLine="0"/>
              <w:rPr>
                <w:rFonts w:ascii="宋体" w:eastAsia="宋体" w:hAnsi="宋体" w:hint="eastAsia"/>
                <w:sz w:val="21"/>
                <w:szCs w:val="21"/>
              </w:rPr>
            </w:pPr>
          </w:p>
        </w:tc>
        <w:tc>
          <w:tcPr>
            <w:tcW w:w="1789" w:type="dxa"/>
            <w:shd w:val="clear" w:color="auto" w:fill="auto"/>
            <w:vAlign w:val="center"/>
          </w:tcPr>
          <w:p w14:paraId="1F34C0B7"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1小时平均</w:t>
            </w:r>
          </w:p>
        </w:tc>
        <w:tc>
          <w:tcPr>
            <w:tcW w:w="1949" w:type="dxa"/>
            <w:shd w:val="clear" w:color="auto" w:fill="auto"/>
            <w:vAlign w:val="center"/>
          </w:tcPr>
          <w:p w14:paraId="45D1EB45"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500</w:t>
            </w:r>
          </w:p>
        </w:tc>
        <w:tc>
          <w:tcPr>
            <w:tcW w:w="3098" w:type="dxa"/>
            <w:vMerge/>
            <w:shd w:val="clear" w:color="auto" w:fill="auto"/>
            <w:vAlign w:val="center"/>
          </w:tcPr>
          <w:p w14:paraId="213B9826" w14:textId="77777777" w:rsidR="005A1A44" w:rsidRDefault="005A1A44">
            <w:pPr>
              <w:pStyle w:val="B0"/>
              <w:spacing w:line="240" w:lineRule="auto"/>
              <w:ind w:firstLineChars="0" w:firstLine="0"/>
              <w:rPr>
                <w:rFonts w:ascii="宋体" w:eastAsia="宋体" w:hAnsi="宋体" w:hint="eastAsia"/>
                <w:sz w:val="21"/>
                <w:szCs w:val="21"/>
              </w:rPr>
            </w:pPr>
          </w:p>
        </w:tc>
      </w:tr>
      <w:tr w:rsidR="005A1A44" w14:paraId="560606C3" w14:textId="77777777">
        <w:trPr>
          <w:trHeight w:val="397"/>
          <w:jc w:val="center"/>
        </w:trPr>
        <w:tc>
          <w:tcPr>
            <w:tcW w:w="1669" w:type="dxa"/>
            <w:vMerge w:val="restart"/>
            <w:shd w:val="clear" w:color="auto" w:fill="auto"/>
            <w:vAlign w:val="center"/>
          </w:tcPr>
          <w:p w14:paraId="2F305201"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NO</w:t>
            </w:r>
            <w:r>
              <w:rPr>
                <w:rFonts w:ascii="宋体" w:eastAsia="宋体" w:hAnsi="宋体" w:hint="eastAsia"/>
                <w:sz w:val="21"/>
                <w:szCs w:val="21"/>
                <w:vertAlign w:val="subscript"/>
              </w:rPr>
              <w:t>2</w:t>
            </w:r>
          </w:p>
        </w:tc>
        <w:tc>
          <w:tcPr>
            <w:tcW w:w="1789" w:type="dxa"/>
            <w:shd w:val="clear" w:color="auto" w:fill="auto"/>
            <w:vAlign w:val="center"/>
          </w:tcPr>
          <w:p w14:paraId="6BC6C16F"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年平均</w:t>
            </w:r>
          </w:p>
        </w:tc>
        <w:tc>
          <w:tcPr>
            <w:tcW w:w="1949" w:type="dxa"/>
            <w:shd w:val="clear" w:color="auto" w:fill="auto"/>
            <w:vAlign w:val="center"/>
          </w:tcPr>
          <w:p w14:paraId="42F7ADB2"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40</w:t>
            </w:r>
          </w:p>
        </w:tc>
        <w:tc>
          <w:tcPr>
            <w:tcW w:w="3098" w:type="dxa"/>
            <w:vMerge/>
            <w:shd w:val="clear" w:color="auto" w:fill="auto"/>
            <w:vAlign w:val="center"/>
          </w:tcPr>
          <w:p w14:paraId="32CF4E92" w14:textId="77777777" w:rsidR="005A1A44" w:rsidRDefault="005A1A44">
            <w:pPr>
              <w:pStyle w:val="B0"/>
              <w:spacing w:line="240" w:lineRule="auto"/>
              <w:ind w:firstLineChars="0" w:firstLine="0"/>
              <w:rPr>
                <w:rFonts w:ascii="宋体" w:eastAsia="宋体" w:hAnsi="宋体" w:hint="eastAsia"/>
                <w:sz w:val="21"/>
                <w:szCs w:val="21"/>
              </w:rPr>
            </w:pPr>
          </w:p>
        </w:tc>
      </w:tr>
      <w:tr w:rsidR="005A1A44" w14:paraId="615F88EF" w14:textId="77777777">
        <w:trPr>
          <w:trHeight w:val="397"/>
          <w:jc w:val="center"/>
        </w:trPr>
        <w:tc>
          <w:tcPr>
            <w:tcW w:w="1669" w:type="dxa"/>
            <w:vMerge/>
            <w:shd w:val="clear" w:color="auto" w:fill="auto"/>
            <w:vAlign w:val="center"/>
          </w:tcPr>
          <w:p w14:paraId="403E4ADF" w14:textId="77777777" w:rsidR="005A1A44" w:rsidRDefault="005A1A44">
            <w:pPr>
              <w:pStyle w:val="B0"/>
              <w:spacing w:line="240" w:lineRule="auto"/>
              <w:ind w:firstLineChars="0" w:firstLine="0"/>
              <w:rPr>
                <w:rFonts w:ascii="宋体" w:eastAsia="宋体" w:hAnsi="宋体" w:hint="eastAsia"/>
                <w:sz w:val="21"/>
                <w:szCs w:val="21"/>
              </w:rPr>
            </w:pPr>
          </w:p>
        </w:tc>
        <w:tc>
          <w:tcPr>
            <w:tcW w:w="1789" w:type="dxa"/>
            <w:shd w:val="clear" w:color="auto" w:fill="auto"/>
            <w:vAlign w:val="center"/>
          </w:tcPr>
          <w:p w14:paraId="30CB134C"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24小时平均</w:t>
            </w:r>
          </w:p>
        </w:tc>
        <w:tc>
          <w:tcPr>
            <w:tcW w:w="1949" w:type="dxa"/>
            <w:shd w:val="clear" w:color="auto" w:fill="auto"/>
            <w:vAlign w:val="center"/>
          </w:tcPr>
          <w:p w14:paraId="79B00C9E"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80</w:t>
            </w:r>
          </w:p>
        </w:tc>
        <w:tc>
          <w:tcPr>
            <w:tcW w:w="3098" w:type="dxa"/>
            <w:vMerge/>
            <w:shd w:val="clear" w:color="auto" w:fill="auto"/>
            <w:vAlign w:val="center"/>
          </w:tcPr>
          <w:p w14:paraId="71E10A92" w14:textId="77777777" w:rsidR="005A1A44" w:rsidRDefault="005A1A44">
            <w:pPr>
              <w:pStyle w:val="B0"/>
              <w:spacing w:line="240" w:lineRule="auto"/>
              <w:ind w:firstLineChars="0" w:firstLine="0"/>
              <w:rPr>
                <w:rFonts w:ascii="宋体" w:eastAsia="宋体" w:hAnsi="宋体" w:hint="eastAsia"/>
                <w:sz w:val="21"/>
                <w:szCs w:val="21"/>
              </w:rPr>
            </w:pPr>
          </w:p>
        </w:tc>
      </w:tr>
      <w:tr w:rsidR="005A1A44" w14:paraId="1E4AB1AA" w14:textId="77777777">
        <w:trPr>
          <w:trHeight w:val="397"/>
          <w:jc w:val="center"/>
        </w:trPr>
        <w:tc>
          <w:tcPr>
            <w:tcW w:w="1669" w:type="dxa"/>
            <w:vMerge/>
            <w:shd w:val="clear" w:color="auto" w:fill="auto"/>
            <w:vAlign w:val="center"/>
          </w:tcPr>
          <w:p w14:paraId="29152971" w14:textId="77777777" w:rsidR="005A1A44" w:rsidRDefault="005A1A44">
            <w:pPr>
              <w:pStyle w:val="B0"/>
              <w:spacing w:line="240" w:lineRule="auto"/>
              <w:ind w:firstLineChars="0" w:firstLine="0"/>
              <w:rPr>
                <w:rFonts w:ascii="宋体" w:eastAsia="宋体" w:hAnsi="宋体" w:hint="eastAsia"/>
                <w:sz w:val="21"/>
                <w:szCs w:val="21"/>
              </w:rPr>
            </w:pPr>
          </w:p>
        </w:tc>
        <w:tc>
          <w:tcPr>
            <w:tcW w:w="1789" w:type="dxa"/>
            <w:shd w:val="clear" w:color="auto" w:fill="auto"/>
            <w:vAlign w:val="center"/>
          </w:tcPr>
          <w:p w14:paraId="2BE3AE1E"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1小时平均</w:t>
            </w:r>
          </w:p>
        </w:tc>
        <w:tc>
          <w:tcPr>
            <w:tcW w:w="1949" w:type="dxa"/>
            <w:shd w:val="clear" w:color="auto" w:fill="auto"/>
            <w:vAlign w:val="center"/>
          </w:tcPr>
          <w:p w14:paraId="589B751C"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200</w:t>
            </w:r>
          </w:p>
        </w:tc>
        <w:tc>
          <w:tcPr>
            <w:tcW w:w="3098" w:type="dxa"/>
            <w:vMerge/>
            <w:shd w:val="clear" w:color="auto" w:fill="auto"/>
            <w:vAlign w:val="center"/>
          </w:tcPr>
          <w:p w14:paraId="5EE8A68F" w14:textId="77777777" w:rsidR="005A1A44" w:rsidRDefault="005A1A44">
            <w:pPr>
              <w:pStyle w:val="B0"/>
              <w:spacing w:line="240" w:lineRule="auto"/>
              <w:ind w:firstLineChars="0" w:firstLine="0"/>
              <w:rPr>
                <w:rFonts w:ascii="宋体" w:eastAsia="宋体" w:hAnsi="宋体" w:hint="eastAsia"/>
                <w:sz w:val="21"/>
                <w:szCs w:val="21"/>
              </w:rPr>
            </w:pPr>
          </w:p>
        </w:tc>
      </w:tr>
      <w:tr w:rsidR="005A1A44" w14:paraId="7C4E3248" w14:textId="77777777">
        <w:trPr>
          <w:trHeight w:val="397"/>
          <w:jc w:val="center"/>
        </w:trPr>
        <w:tc>
          <w:tcPr>
            <w:tcW w:w="1669" w:type="dxa"/>
            <w:vMerge w:val="restart"/>
            <w:shd w:val="clear" w:color="auto" w:fill="auto"/>
            <w:vAlign w:val="center"/>
          </w:tcPr>
          <w:p w14:paraId="328E87F2"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PM</w:t>
            </w:r>
            <w:r>
              <w:rPr>
                <w:rFonts w:ascii="宋体" w:eastAsia="宋体" w:hAnsi="宋体" w:hint="eastAsia"/>
                <w:sz w:val="21"/>
                <w:szCs w:val="21"/>
                <w:vertAlign w:val="subscript"/>
              </w:rPr>
              <w:t>10</w:t>
            </w:r>
          </w:p>
        </w:tc>
        <w:tc>
          <w:tcPr>
            <w:tcW w:w="1789" w:type="dxa"/>
            <w:shd w:val="clear" w:color="auto" w:fill="auto"/>
            <w:vAlign w:val="center"/>
          </w:tcPr>
          <w:p w14:paraId="210229CE"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年平均</w:t>
            </w:r>
          </w:p>
        </w:tc>
        <w:tc>
          <w:tcPr>
            <w:tcW w:w="1949" w:type="dxa"/>
            <w:shd w:val="clear" w:color="auto" w:fill="auto"/>
            <w:vAlign w:val="center"/>
          </w:tcPr>
          <w:p w14:paraId="6B0A83F9"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70</w:t>
            </w:r>
          </w:p>
        </w:tc>
        <w:tc>
          <w:tcPr>
            <w:tcW w:w="3098" w:type="dxa"/>
            <w:vMerge/>
            <w:shd w:val="clear" w:color="auto" w:fill="auto"/>
            <w:vAlign w:val="center"/>
          </w:tcPr>
          <w:p w14:paraId="0D75D3E2" w14:textId="77777777" w:rsidR="005A1A44" w:rsidRDefault="005A1A44">
            <w:pPr>
              <w:pStyle w:val="B0"/>
              <w:spacing w:line="240" w:lineRule="auto"/>
              <w:ind w:firstLineChars="0" w:firstLine="0"/>
              <w:rPr>
                <w:rFonts w:ascii="宋体" w:eastAsia="宋体" w:hAnsi="宋体" w:hint="eastAsia"/>
                <w:sz w:val="21"/>
                <w:szCs w:val="21"/>
              </w:rPr>
            </w:pPr>
          </w:p>
        </w:tc>
      </w:tr>
      <w:tr w:rsidR="005A1A44" w14:paraId="30F5B249" w14:textId="77777777">
        <w:trPr>
          <w:trHeight w:val="397"/>
          <w:jc w:val="center"/>
        </w:trPr>
        <w:tc>
          <w:tcPr>
            <w:tcW w:w="1669" w:type="dxa"/>
            <w:vMerge/>
            <w:shd w:val="clear" w:color="auto" w:fill="auto"/>
            <w:vAlign w:val="center"/>
          </w:tcPr>
          <w:p w14:paraId="5EEBE24D" w14:textId="77777777" w:rsidR="005A1A44" w:rsidRDefault="005A1A44">
            <w:pPr>
              <w:pStyle w:val="B0"/>
              <w:spacing w:line="240" w:lineRule="auto"/>
              <w:ind w:firstLineChars="0" w:firstLine="0"/>
              <w:rPr>
                <w:rFonts w:ascii="宋体" w:eastAsia="宋体" w:hAnsi="宋体" w:hint="eastAsia"/>
                <w:sz w:val="21"/>
                <w:szCs w:val="21"/>
              </w:rPr>
            </w:pPr>
          </w:p>
        </w:tc>
        <w:tc>
          <w:tcPr>
            <w:tcW w:w="1789" w:type="dxa"/>
            <w:shd w:val="clear" w:color="auto" w:fill="auto"/>
            <w:vAlign w:val="center"/>
          </w:tcPr>
          <w:p w14:paraId="1A557E6A"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24小时平均</w:t>
            </w:r>
          </w:p>
        </w:tc>
        <w:tc>
          <w:tcPr>
            <w:tcW w:w="1949" w:type="dxa"/>
            <w:shd w:val="clear" w:color="auto" w:fill="auto"/>
            <w:vAlign w:val="center"/>
          </w:tcPr>
          <w:p w14:paraId="5CDF6533"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150</w:t>
            </w:r>
          </w:p>
        </w:tc>
        <w:tc>
          <w:tcPr>
            <w:tcW w:w="3098" w:type="dxa"/>
            <w:vMerge/>
            <w:shd w:val="clear" w:color="auto" w:fill="auto"/>
            <w:vAlign w:val="center"/>
          </w:tcPr>
          <w:p w14:paraId="013A3451" w14:textId="77777777" w:rsidR="005A1A44" w:rsidRDefault="005A1A44">
            <w:pPr>
              <w:pStyle w:val="B0"/>
              <w:spacing w:line="240" w:lineRule="auto"/>
              <w:ind w:firstLineChars="0" w:firstLine="0"/>
              <w:rPr>
                <w:rFonts w:ascii="宋体" w:eastAsia="宋体" w:hAnsi="宋体" w:hint="eastAsia"/>
                <w:sz w:val="21"/>
                <w:szCs w:val="21"/>
              </w:rPr>
            </w:pPr>
          </w:p>
        </w:tc>
      </w:tr>
      <w:tr w:rsidR="005A1A44" w14:paraId="534C74CC" w14:textId="77777777">
        <w:trPr>
          <w:trHeight w:val="397"/>
          <w:jc w:val="center"/>
        </w:trPr>
        <w:tc>
          <w:tcPr>
            <w:tcW w:w="1669" w:type="dxa"/>
            <w:vMerge w:val="restart"/>
            <w:shd w:val="clear" w:color="auto" w:fill="auto"/>
            <w:vAlign w:val="center"/>
          </w:tcPr>
          <w:p w14:paraId="5CC57076"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PM</w:t>
            </w:r>
            <w:r>
              <w:rPr>
                <w:rFonts w:ascii="宋体" w:eastAsia="宋体" w:hAnsi="宋体" w:hint="eastAsia"/>
                <w:sz w:val="21"/>
                <w:szCs w:val="21"/>
                <w:vertAlign w:val="subscript"/>
              </w:rPr>
              <w:t>2.5</w:t>
            </w:r>
          </w:p>
        </w:tc>
        <w:tc>
          <w:tcPr>
            <w:tcW w:w="1789" w:type="dxa"/>
            <w:shd w:val="clear" w:color="auto" w:fill="auto"/>
            <w:vAlign w:val="center"/>
          </w:tcPr>
          <w:p w14:paraId="1D785153"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年平均</w:t>
            </w:r>
          </w:p>
        </w:tc>
        <w:tc>
          <w:tcPr>
            <w:tcW w:w="1949" w:type="dxa"/>
            <w:shd w:val="clear" w:color="auto" w:fill="auto"/>
            <w:vAlign w:val="center"/>
          </w:tcPr>
          <w:p w14:paraId="2BD48EE8"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35</w:t>
            </w:r>
          </w:p>
        </w:tc>
        <w:tc>
          <w:tcPr>
            <w:tcW w:w="3098" w:type="dxa"/>
            <w:vMerge/>
            <w:shd w:val="clear" w:color="auto" w:fill="auto"/>
            <w:vAlign w:val="center"/>
          </w:tcPr>
          <w:p w14:paraId="147B2523" w14:textId="77777777" w:rsidR="005A1A44" w:rsidRDefault="005A1A44">
            <w:pPr>
              <w:pStyle w:val="B0"/>
              <w:spacing w:line="240" w:lineRule="auto"/>
              <w:ind w:firstLineChars="0" w:firstLine="0"/>
              <w:rPr>
                <w:rFonts w:ascii="宋体" w:eastAsia="宋体" w:hAnsi="宋体" w:hint="eastAsia"/>
                <w:sz w:val="21"/>
                <w:szCs w:val="21"/>
              </w:rPr>
            </w:pPr>
          </w:p>
        </w:tc>
      </w:tr>
      <w:tr w:rsidR="005A1A44" w14:paraId="66193061" w14:textId="77777777">
        <w:trPr>
          <w:trHeight w:val="397"/>
          <w:jc w:val="center"/>
        </w:trPr>
        <w:tc>
          <w:tcPr>
            <w:tcW w:w="1669" w:type="dxa"/>
            <w:vMerge/>
            <w:shd w:val="clear" w:color="auto" w:fill="auto"/>
            <w:vAlign w:val="center"/>
          </w:tcPr>
          <w:p w14:paraId="3729A215" w14:textId="77777777" w:rsidR="005A1A44" w:rsidRDefault="005A1A44">
            <w:pPr>
              <w:pStyle w:val="B0"/>
              <w:spacing w:line="240" w:lineRule="auto"/>
              <w:ind w:firstLineChars="0" w:firstLine="0"/>
              <w:rPr>
                <w:rFonts w:ascii="宋体" w:eastAsia="宋体" w:hAnsi="宋体" w:hint="eastAsia"/>
                <w:sz w:val="21"/>
                <w:szCs w:val="21"/>
              </w:rPr>
            </w:pPr>
          </w:p>
        </w:tc>
        <w:tc>
          <w:tcPr>
            <w:tcW w:w="1789" w:type="dxa"/>
            <w:shd w:val="clear" w:color="auto" w:fill="auto"/>
            <w:vAlign w:val="center"/>
          </w:tcPr>
          <w:p w14:paraId="533BCFA7"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24小时平均</w:t>
            </w:r>
          </w:p>
        </w:tc>
        <w:tc>
          <w:tcPr>
            <w:tcW w:w="1949" w:type="dxa"/>
            <w:shd w:val="clear" w:color="auto" w:fill="auto"/>
            <w:vAlign w:val="center"/>
          </w:tcPr>
          <w:p w14:paraId="389A1335"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75</w:t>
            </w:r>
          </w:p>
        </w:tc>
        <w:tc>
          <w:tcPr>
            <w:tcW w:w="3098" w:type="dxa"/>
            <w:vMerge/>
            <w:shd w:val="clear" w:color="auto" w:fill="auto"/>
            <w:vAlign w:val="center"/>
          </w:tcPr>
          <w:p w14:paraId="09DFB46B" w14:textId="77777777" w:rsidR="005A1A44" w:rsidRDefault="005A1A44">
            <w:pPr>
              <w:pStyle w:val="B0"/>
              <w:spacing w:line="240" w:lineRule="auto"/>
              <w:ind w:firstLineChars="0" w:firstLine="0"/>
              <w:rPr>
                <w:rFonts w:ascii="宋体" w:eastAsia="宋体" w:hAnsi="宋体" w:hint="eastAsia"/>
                <w:sz w:val="21"/>
                <w:szCs w:val="21"/>
              </w:rPr>
            </w:pPr>
          </w:p>
        </w:tc>
      </w:tr>
      <w:tr w:rsidR="005A1A44" w14:paraId="5FA09B44" w14:textId="77777777">
        <w:trPr>
          <w:trHeight w:val="397"/>
          <w:jc w:val="center"/>
        </w:trPr>
        <w:tc>
          <w:tcPr>
            <w:tcW w:w="1669" w:type="dxa"/>
            <w:vMerge w:val="restart"/>
            <w:shd w:val="clear" w:color="auto" w:fill="auto"/>
            <w:vAlign w:val="center"/>
          </w:tcPr>
          <w:p w14:paraId="6F61EC53"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CO</w:t>
            </w:r>
          </w:p>
        </w:tc>
        <w:tc>
          <w:tcPr>
            <w:tcW w:w="1789" w:type="dxa"/>
            <w:shd w:val="clear" w:color="auto" w:fill="auto"/>
            <w:vAlign w:val="center"/>
          </w:tcPr>
          <w:p w14:paraId="1AB42C5B"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24小时平均</w:t>
            </w:r>
          </w:p>
        </w:tc>
        <w:tc>
          <w:tcPr>
            <w:tcW w:w="1949" w:type="dxa"/>
            <w:shd w:val="clear" w:color="auto" w:fill="auto"/>
            <w:vAlign w:val="center"/>
          </w:tcPr>
          <w:p w14:paraId="0D1670CF"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4000</w:t>
            </w:r>
          </w:p>
        </w:tc>
        <w:tc>
          <w:tcPr>
            <w:tcW w:w="3098" w:type="dxa"/>
            <w:vMerge/>
            <w:shd w:val="clear" w:color="auto" w:fill="auto"/>
            <w:vAlign w:val="center"/>
          </w:tcPr>
          <w:p w14:paraId="30F26F32" w14:textId="77777777" w:rsidR="005A1A44" w:rsidRDefault="005A1A44">
            <w:pPr>
              <w:pStyle w:val="B0"/>
              <w:spacing w:line="240" w:lineRule="auto"/>
              <w:ind w:firstLineChars="0" w:firstLine="0"/>
              <w:rPr>
                <w:rFonts w:ascii="宋体" w:eastAsia="宋体" w:hAnsi="宋体" w:hint="eastAsia"/>
                <w:sz w:val="21"/>
                <w:szCs w:val="21"/>
              </w:rPr>
            </w:pPr>
          </w:p>
        </w:tc>
      </w:tr>
      <w:tr w:rsidR="005A1A44" w14:paraId="7A7A1E94" w14:textId="77777777">
        <w:trPr>
          <w:trHeight w:val="397"/>
          <w:jc w:val="center"/>
        </w:trPr>
        <w:tc>
          <w:tcPr>
            <w:tcW w:w="1669" w:type="dxa"/>
            <w:vMerge/>
            <w:shd w:val="clear" w:color="auto" w:fill="auto"/>
            <w:vAlign w:val="center"/>
          </w:tcPr>
          <w:p w14:paraId="2F717232" w14:textId="77777777" w:rsidR="005A1A44" w:rsidRDefault="005A1A44">
            <w:pPr>
              <w:pStyle w:val="B0"/>
              <w:spacing w:line="240" w:lineRule="auto"/>
              <w:ind w:firstLineChars="0" w:firstLine="0"/>
              <w:rPr>
                <w:rFonts w:ascii="宋体" w:eastAsia="宋体" w:hAnsi="宋体" w:hint="eastAsia"/>
                <w:sz w:val="21"/>
                <w:szCs w:val="21"/>
              </w:rPr>
            </w:pPr>
          </w:p>
        </w:tc>
        <w:tc>
          <w:tcPr>
            <w:tcW w:w="1789" w:type="dxa"/>
            <w:shd w:val="clear" w:color="auto" w:fill="auto"/>
            <w:vAlign w:val="center"/>
          </w:tcPr>
          <w:p w14:paraId="2E36B09F"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1小时平均</w:t>
            </w:r>
          </w:p>
        </w:tc>
        <w:tc>
          <w:tcPr>
            <w:tcW w:w="1949" w:type="dxa"/>
            <w:shd w:val="clear" w:color="auto" w:fill="auto"/>
            <w:vAlign w:val="center"/>
          </w:tcPr>
          <w:p w14:paraId="0322900B"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10000</w:t>
            </w:r>
          </w:p>
        </w:tc>
        <w:tc>
          <w:tcPr>
            <w:tcW w:w="3098" w:type="dxa"/>
            <w:vMerge/>
            <w:shd w:val="clear" w:color="auto" w:fill="auto"/>
            <w:vAlign w:val="center"/>
          </w:tcPr>
          <w:p w14:paraId="5FFCA606" w14:textId="77777777" w:rsidR="005A1A44" w:rsidRDefault="005A1A44">
            <w:pPr>
              <w:pStyle w:val="B0"/>
              <w:spacing w:line="240" w:lineRule="auto"/>
              <w:ind w:firstLineChars="0" w:firstLine="0"/>
              <w:rPr>
                <w:rFonts w:ascii="宋体" w:eastAsia="宋体" w:hAnsi="宋体" w:hint="eastAsia"/>
                <w:sz w:val="21"/>
                <w:szCs w:val="21"/>
              </w:rPr>
            </w:pPr>
          </w:p>
        </w:tc>
      </w:tr>
      <w:tr w:rsidR="005A1A44" w14:paraId="28CF44B9" w14:textId="77777777">
        <w:trPr>
          <w:trHeight w:val="397"/>
          <w:jc w:val="center"/>
        </w:trPr>
        <w:tc>
          <w:tcPr>
            <w:tcW w:w="1669" w:type="dxa"/>
            <w:vMerge w:val="restart"/>
            <w:shd w:val="clear" w:color="auto" w:fill="auto"/>
            <w:vAlign w:val="center"/>
          </w:tcPr>
          <w:p w14:paraId="39F401E9"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O</w:t>
            </w:r>
            <w:r>
              <w:rPr>
                <w:rFonts w:ascii="宋体" w:eastAsia="宋体" w:hAnsi="宋体" w:hint="eastAsia"/>
                <w:sz w:val="21"/>
                <w:szCs w:val="21"/>
                <w:vertAlign w:val="subscript"/>
              </w:rPr>
              <w:t>3</w:t>
            </w:r>
          </w:p>
        </w:tc>
        <w:tc>
          <w:tcPr>
            <w:tcW w:w="1789" w:type="dxa"/>
            <w:shd w:val="clear" w:color="auto" w:fill="auto"/>
            <w:vAlign w:val="center"/>
          </w:tcPr>
          <w:p w14:paraId="60FA2215"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日最大8小时平均</w:t>
            </w:r>
          </w:p>
        </w:tc>
        <w:tc>
          <w:tcPr>
            <w:tcW w:w="1949" w:type="dxa"/>
            <w:shd w:val="clear" w:color="auto" w:fill="auto"/>
            <w:vAlign w:val="center"/>
          </w:tcPr>
          <w:p w14:paraId="76FA62AE"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160</w:t>
            </w:r>
          </w:p>
        </w:tc>
        <w:tc>
          <w:tcPr>
            <w:tcW w:w="3098" w:type="dxa"/>
            <w:vMerge/>
            <w:shd w:val="clear" w:color="auto" w:fill="auto"/>
            <w:vAlign w:val="center"/>
          </w:tcPr>
          <w:p w14:paraId="7EA8B25B" w14:textId="77777777" w:rsidR="005A1A44" w:rsidRDefault="005A1A44">
            <w:pPr>
              <w:pStyle w:val="B0"/>
              <w:spacing w:line="240" w:lineRule="auto"/>
              <w:ind w:firstLineChars="0" w:firstLine="0"/>
              <w:rPr>
                <w:rFonts w:ascii="宋体" w:eastAsia="宋体" w:hAnsi="宋体" w:hint="eastAsia"/>
                <w:sz w:val="21"/>
                <w:szCs w:val="21"/>
              </w:rPr>
            </w:pPr>
          </w:p>
        </w:tc>
      </w:tr>
      <w:tr w:rsidR="005A1A44" w14:paraId="31A4BC11" w14:textId="77777777">
        <w:trPr>
          <w:trHeight w:val="397"/>
          <w:jc w:val="center"/>
        </w:trPr>
        <w:tc>
          <w:tcPr>
            <w:tcW w:w="1669" w:type="dxa"/>
            <w:vMerge/>
            <w:shd w:val="clear" w:color="auto" w:fill="auto"/>
            <w:vAlign w:val="center"/>
          </w:tcPr>
          <w:p w14:paraId="328C23D5" w14:textId="77777777" w:rsidR="005A1A44" w:rsidRDefault="005A1A44">
            <w:pPr>
              <w:pStyle w:val="B0"/>
              <w:spacing w:line="240" w:lineRule="auto"/>
              <w:ind w:firstLineChars="0" w:firstLine="0"/>
              <w:rPr>
                <w:rFonts w:ascii="宋体" w:eastAsia="宋体" w:hAnsi="宋体" w:hint="eastAsia"/>
                <w:sz w:val="21"/>
                <w:szCs w:val="21"/>
              </w:rPr>
            </w:pPr>
          </w:p>
        </w:tc>
        <w:tc>
          <w:tcPr>
            <w:tcW w:w="1789" w:type="dxa"/>
            <w:shd w:val="clear" w:color="auto" w:fill="auto"/>
            <w:vAlign w:val="center"/>
          </w:tcPr>
          <w:p w14:paraId="454765D0"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1小时平均</w:t>
            </w:r>
          </w:p>
        </w:tc>
        <w:tc>
          <w:tcPr>
            <w:tcW w:w="1949" w:type="dxa"/>
            <w:shd w:val="clear" w:color="auto" w:fill="auto"/>
            <w:vAlign w:val="center"/>
          </w:tcPr>
          <w:p w14:paraId="5F19C8AF"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200</w:t>
            </w:r>
          </w:p>
        </w:tc>
        <w:tc>
          <w:tcPr>
            <w:tcW w:w="3098" w:type="dxa"/>
            <w:vMerge/>
            <w:shd w:val="clear" w:color="auto" w:fill="auto"/>
            <w:vAlign w:val="center"/>
          </w:tcPr>
          <w:p w14:paraId="7B34BF88" w14:textId="77777777" w:rsidR="005A1A44" w:rsidRDefault="005A1A44">
            <w:pPr>
              <w:pStyle w:val="B0"/>
              <w:spacing w:line="240" w:lineRule="auto"/>
              <w:ind w:firstLineChars="0" w:firstLine="0"/>
              <w:rPr>
                <w:rFonts w:ascii="宋体" w:eastAsia="宋体" w:hAnsi="宋体" w:hint="eastAsia"/>
                <w:sz w:val="21"/>
                <w:szCs w:val="21"/>
              </w:rPr>
            </w:pPr>
          </w:p>
        </w:tc>
      </w:tr>
    </w:tbl>
    <w:p w14:paraId="17CFB52A" w14:textId="77777777" w:rsidR="005A1A44" w:rsidRDefault="005A1A44">
      <w:pPr>
        <w:pStyle w:val="af4"/>
        <w:ind w:firstLine="480"/>
      </w:pPr>
    </w:p>
    <w:p w14:paraId="1665CFB2" w14:textId="77777777" w:rsidR="005A1A44" w:rsidRDefault="0008059E">
      <w:pPr>
        <w:pStyle w:val="3"/>
        <w:numPr>
          <w:ilvl w:val="2"/>
          <w:numId w:val="2"/>
        </w:numPr>
      </w:pPr>
      <w:r>
        <w:rPr>
          <w:rFonts w:hint="eastAsia"/>
        </w:rPr>
        <w:lastRenderedPageBreak/>
        <w:t xml:space="preserve"> </w:t>
      </w:r>
      <w:r>
        <w:t>监测结果统计</w:t>
      </w:r>
    </w:p>
    <w:p w14:paraId="5ADDA56C" w14:textId="77777777" w:rsidR="005A1A44" w:rsidRDefault="0008059E">
      <w:pPr>
        <w:pStyle w:val="af4"/>
        <w:ind w:firstLine="480"/>
      </w:pPr>
      <w:r>
        <w:rPr>
          <w:rFonts w:hint="eastAsia"/>
        </w:rPr>
        <w:t>（</w:t>
      </w:r>
      <w:r>
        <w:rPr>
          <w:rFonts w:hint="eastAsia"/>
        </w:rPr>
        <w:t>1</w:t>
      </w:r>
      <w:r>
        <w:rPr>
          <w:rFonts w:hint="eastAsia"/>
        </w:rPr>
        <w:t>）空气质量达标区判定</w:t>
      </w:r>
    </w:p>
    <w:p w14:paraId="041FFE33" w14:textId="77777777" w:rsidR="005A1A44" w:rsidRDefault="0008059E">
      <w:pPr>
        <w:pStyle w:val="af4"/>
        <w:ind w:firstLine="480"/>
      </w:pPr>
      <w:r>
        <w:rPr>
          <w:rFonts w:hint="eastAsia"/>
        </w:rPr>
        <w:t>根据和田地区站点基本污染物监测数据，空气质量达标区判定情况见表</w:t>
      </w:r>
      <w:r>
        <w:rPr>
          <w:rFonts w:hint="eastAsia"/>
        </w:rPr>
        <w:t>4.2-3</w:t>
      </w:r>
      <w:r>
        <w:rPr>
          <w:rFonts w:hint="eastAsia"/>
        </w:rPr>
        <w:t>。</w:t>
      </w:r>
    </w:p>
    <w:p w14:paraId="5A679576" w14:textId="77777777" w:rsidR="005A1A44" w:rsidRDefault="0008059E">
      <w:pPr>
        <w:pStyle w:val="B"/>
        <w:ind w:firstLine="480"/>
        <w:rPr>
          <w:rFonts w:ascii="黑体" w:eastAsia="黑体" w:hAnsi="黑体" w:cs="黑体" w:hint="eastAsia"/>
          <w:b w:val="0"/>
          <w:bCs/>
        </w:rPr>
      </w:pPr>
      <w:r>
        <w:rPr>
          <w:rFonts w:ascii="黑体" w:eastAsia="黑体" w:hAnsi="黑体" w:cs="黑体" w:hint="eastAsia"/>
          <w:b w:val="0"/>
          <w:bCs/>
        </w:rPr>
        <w:t>表4.2-3  区域空气质量现状评价表（基本污染物）</w:t>
      </w:r>
    </w:p>
    <w:tbl>
      <w:tblPr>
        <w:tblW w:w="85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77"/>
        <w:gridCol w:w="1957"/>
        <w:gridCol w:w="1417"/>
        <w:gridCol w:w="1418"/>
        <w:gridCol w:w="1418"/>
        <w:gridCol w:w="1418"/>
      </w:tblGrid>
      <w:tr w:rsidR="005A1A44" w14:paraId="6471050A" w14:textId="77777777">
        <w:trPr>
          <w:trHeight w:val="90"/>
        </w:trPr>
        <w:tc>
          <w:tcPr>
            <w:tcW w:w="877" w:type="dxa"/>
            <w:vAlign w:val="center"/>
          </w:tcPr>
          <w:p w14:paraId="52DDACC7"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污染物</w:t>
            </w:r>
          </w:p>
        </w:tc>
        <w:tc>
          <w:tcPr>
            <w:tcW w:w="1957" w:type="dxa"/>
            <w:vAlign w:val="center"/>
          </w:tcPr>
          <w:p w14:paraId="1D3A3120"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年评价指标</w:t>
            </w:r>
          </w:p>
        </w:tc>
        <w:tc>
          <w:tcPr>
            <w:tcW w:w="1417" w:type="dxa"/>
            <w:vAlign w:val="center"/>
          </w:tcPr>
          <w:p w14:paraId="5C7B6281"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现状浓度</w:t>
            </w:r>
          </w:p>
          <w:p w14:paraId="047ECC74"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µg/Nm</w:t>
            </w:r>
            <w:r>
              <w:rPr>
                <w:rFonts w:ascii="宋体" w:eastAsia="宋体" w:hAnsi="宋体" w:hint="eastAsia"/>
                <w:sz w:val="21"/>
                <w:szCs w:val="21"/>
                <w:vertAlign w:val="superscript"/>
              </w:rPr>
              <w:t>3</w:t>
            </w:r>
          </w:p>
        </w:tc>
        <w:tc>
          <w:tcPr>
            <w:tcW w:w="1418" w:type="dxa"/>
            <w:vAlign w:val="center"/>
          </w:tcPr>
          <w:p w14:paraId="0F762C99"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标准值</w:t>
            </w:r>
          </w:p>
          <w:p w14:paraId="4399B4BC"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µg/Nm</w:t>
            </w:r>
            <w:r>
              <w:rPr>
                <w:rFonts w:ascii="宋体" w:eastAsia="宋体" w:hAnsi="宋体" w:hint="eastAsia"/>
                <w:sz w:val="21"/>
                <w:szCs w:val="21"/>
                <w:vertAlign w:val="superscript"/>
              </w:rPr>
              <w:t>3</w:t>
            </w:r>
          </w:p>
        </w:tc>
        <w:tc>
          <w:tcPr>
            <w:tcW w:w="1418" w:type="dxa"/>
            <w:vAlign w:val="center"/>
          </w:tcPr>
          <w:p w14:paraId="7AB77140"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占标率%</w:t>
            </w:r>
          </w:p>
        </w:tc>
        <w:tc>
          <w:tcPr>
            <w:tcW w:w="1418" w:type="dxa"/>
            <w:vAlign w:val="center"/>
          </w:tcPr>
          <w:p w14:paraId="6A80A619"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达标情况</w:t>
            </w:r>
          </w:p>
        </w:tc>
      </w:tr>
      <w:tr w:rsidR="005A1A44" w14:paraId="0F137DDB" w14:textId="77777777">
        <w:trPr>
          <w:trHeight w:val="374"/>
        </w:trPr>
        <w:tc>
          <w:tcPr>
            <w:tcW w:w="877" w:type="dxa"/>
            <w:vAlign w:val="center"/>
          </w:tcPr>
          <w:p w14:paraId="5EDB496A"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CO</w:t>
            </w:r>
          </w:p>
        </w:tc>
        <w:tc>
          <w:tcPr>
            <w:tcW w:w="1957" w:type="dxa"/>
            <w:vAlign w:val="center"/>
          </w:tcPr>
          <w:p w14:paraId="1D9C6038"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百分位数日平均</w:t>
            </w:r>
          </w:p>
        </w:tc>
        <w:tc>
          <w:tcPr>
            <w:tcW w:w="1417" w:type="dxa"/>
            <w:vAlign w:val="center"/>
          </w:tcPr>
          <w:p w14:paraId="13240FBA"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2.9</w:t>
            </w:r>
          </w:p>
        </w:tc>
        <w:tc>
          <w:tcPr>
            <w:tcW w:w="1418" w:type="dxa"/>
            <w:vAlign w:val="center"/>
          </w:tcPr>
          <w:p w14:paraId="697BFBB4"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4000</w:t>
            </w:r>
          </w:p>
        </w:tc>
        <w:tc>
          <w:tcPr>
            <w:tcW w:w="1418" w:type="dxa"/>
            <w:vAlign w:val="center"/>
          </w:tcPr>
          <w:p w14:paraId="54741DE1" w14:textId="77777777" w:rsidR="005A1A44" w:rsidRDefault="0008059E">
            <w:pPr>
              <w:widowControl/>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0.07 </w:t>
            </w:r>
          </w:p>
        </w:tc>
        <w:tc>
          <w:tcPr>
            <w:tcW w:w="1418" w:type="dxa"/>
            <w:vAlign w:val="center"/>
          </w:tcPr>
          <w:p w14:paraId="05AB1363"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达标</w:t>
            </w:r>
          </w:p>
        </w:tc>
      </w:tr>
      <w:tr w:rsidR="005A1A44" w14:paraId="63B12EE9" w14:textId="77777777">
        <w:trPr>
          <w:trHeight w:val="397"/>
        </w:trPr>
        <w:tc>
          <w:tcPr>
            <w:tcW w:w="877" w:type="dxa"/>
            <w:vMerge w:val="restart"/>
            <w:vAlign w:val="center"/>
          </w:tcPr>
          <w:p w14:paraId="79CFF992"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NO</w:t>
            </w:r>
            <w:r>
              <w:rPr>
                <w:rFonts w:ascii="宋体" w:eastAsia="宋体" w:hAnsi="宋体" w:hint="eastAsia"/>
                <w:sz w:val="21"/>
                <w:szCs w:val="21"/>
                <w:vertAlign w:val="subscript"/>
              </w:rPr>
              <w:t>2</w:t>
            </w:r>
          </w:p>
        </w:tc>
        <w:tc>
          <w:tcPr>
            <w:tcW w:w="1957" w:type="dxa"/>
            <w:vAlign w:val="center"/>
          </w:tcPr>
          <w:p w14:paraId="3AA64D07"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年平均质量浓度</w:t>
            </w:r>
          </w:p>
        </w:tc>
        <w:tc>
          <w:tcPr>
            <w:tcW w:w="1417" w:type="dxa"/>
            <w:vAlign w:val="center"/>
          </w:tcPr>
          <w:p w14:paraId="18E5CA1B"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26.0</w:t>
            </w:r>
          </w:p>
        </w:tc>
        <w:tc>
          <w:tcPr>
            <w:tcW w:w="1418" w:type="dxa"/>
            <w:vAlign w:val="center"/>
          </w:tcPr>
          <w:p w14:paraId="42872901"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40</w:t>
            </w:r>
          </w:p>
        </w:tc>
        <w:tc>
          <w:tcPr>
            <w:tcW w:w="1418" w:type="dxa"/>
            <w:vAlign w:val="center"/>
          </w:tcPr>
          <w:p w14:paraId="563CD1DF" w14:textId="77777777" w:rsidR="005A1A44" w:rsidRDefault="0008059E">
            <w:pPr>
              <w:widowControl/>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65.0</w:t>
            </w:r>
          </w:p>
        </w:tc>
        <w:tc>
          <w:tcPr>
            <w:tcW w:w="1418" w:type="dxa"/>
            <w:vAlign w:val="center"/>
          </w:tcPr>
          <w:p w14:paraId="764C2EED"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达标</w:t>
            </w:r>
          </w:p>
        </w:tc>
      </w:tr>
      <w:tr w:rsidR="005A1A44" w14:paraId="210A1CC5" w14:textId="77777777">
        <w:trPr>
          <w:trHeight w:val="397"/>
        </w:trPr>
        <w:tc>
          <w:tcPr>
            <w:tcW w:w="877" w:type="dxa"/>
            <w:vMerge/>
            <w:vAlign w:val="center"/>
          </w:tcPr>
          <w:p w14:paraId="1F618161" w14:textId="77777777" w:rsidR="005A1A44" w:rsidRDefault="005A1A44">
            <w:pPr>
              <w:pStyle w:val="B0"/>
              <w:spacing w:line="240" w:lineRule="auto"/>
              <w:ind w:firstLineChars="0" w:firstLine="0"/>
              <w:rPr>
                <w:rFonts w:ascii="宋体" w:eastAsia="宋体" w:hAnsi="宋体" w:hint="eastAsia"/>
                <w:sz w:val="21"/>
                <w:szCs w:val="21"/>
              </w:rPr>
            </w:pPr>
          </w:p>
        </w:tc>
        <w:tc>
          <w:tcPr>
            <w:tcW w:w="1957" w:type="dxa"/>
            <w:vAlign w:val="center"/>
          </w:tcPr>
          <w:p w14:paraId="7AAD2CD1"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百分位数日平均</w:t>
            </w:r>
          </w:p>
        </w:tc>
        <w:tc>
          <w:tcPr>
            <w:tcW w:w="1417" w:type="dxa"/>
            <w:vAlign w:val="center"/>
          </w:tcPr>
          <w:p w14:paraId="609D522C"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40.4</w:t>
            </w:r>
          </w:p>
        </w:tc>
        <w:tc>
          <w:tcPr>
            <w:tcW w:w="1418" w:type="dxa"/>
            <w:vAlign w:val="center"/>
          </w:tcPr>
          <w:p w14:paraId="0E6652C1"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80</w:t>
            </w:r>
          </w:p>
        </w:tc>
        <w:tc>
          <w:tcPr>
            <w:tcW w:w="1418" w:type="dxa"/>
            <w:vAlign w:val="center"/>
          </w:tcPr>
          <w:p w14:paraId="068177C1" w14:textId="77777777" w:rsidR="005A1A44" w:rsidRDefault="0008059E">
            <w:pPr>
              <w:widowControl/>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5.5</w:t>
            </w:r>
          </w:p>
        </w:tc>
        <w:tc>
          <w:tcPr>
            <w:tcW w:w="1418" w:type="dxa"/>
            <w:vAlign w:val="center"/>
          </w:tcPr>
          <w:p w14:paraId="2FDBDF16"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达标</w:t>
            </w:r>
          </w:p>
        </w:tc>
      </w:tr>
      <w:tr w:rsidR="005A1A44" w14:paraId="61906C0B" w14:textId="77777777">
        <w:trPr>
          <w:trHeight w:val="397"/>
        </w:trPr>
        <w:tc>
          <w:tcPr>
            <w:tcW w:w="877" w:type="dxa"/>
            <w:vMerge w:val="restart"/>
            <w:vAlign w:val="center"/>
          </w:tcPr>
          <w:p w14:paraId="1BFE79E0"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P</w:t>
            </w:r>
            <w:r>
              <w:rPr>
                <w:rFonts w:ascii="宋体" w:eastAsia="宋体" w:hAnsi="宋体" w:hint="eastAsia"/>
                <w:bCs/>
                <w:sz w:val="21"/>
                <w:szCs w:val="21"/>
              </w:rPr>
              <w:t>M</w:t>
            </w:r>
            <w:r>
              <w:rPr>
                <w:rFonts w:ascii="宋体" w:eastAsia="宋体" w:hAnsi="宋体" w:hint="eastAsia"/>
                <w:bCs/>
                <w:sz w:val="21"/>
                <w:szCs w:val="21"/>
                <w:vertAlign w:val="subscript"/>
              </w:rPr>
              <w:t>2.5</w:t>
            </w:r>
          </w:p>
        </w:tc>
        <w:tc>
          <w:tcPr>
            <w:tcW w:w="1957" w:type="dxa"/>
            <w:vAlign w:val="center"/>
          </w:tcPr>
          <w:p w14:paraId="0C9644B8"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年平均质量浓度</w:t>
            </w:r>
          </w:p>
        </w:tc>
        <w:tc>
          <w:tcPr>
            <w:tcW w:w="1417" w:type="dxa"/>
            <w:vAlign w:val="center"/>
          </w:tcPr>
          <w:p w14:paraId="7BD6FF1D"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104.0</w:t>
            </w:r>
          </w:p>
        </w:tc>
        <w:tc>
          <w:tcPr>
            <w:tcW w:w="1418" w:type="dxa"/>
            <w:vAlign w:val="center"/>
          </w:tcPr>
          <w:p w14:paraId="0205E530"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35</w:t>
            </w:r>
          </w:p>
        </w:tc>
        <w:tc>
          <w:tcPr>
            <w:tcW w:w="1418" w:type="dxa"/>
            <w:vAlign w:val="center"/>
          </w:tcPr>
          <w:p w14:paraId="37361A69" w14:textId="77777777" w:rsidR="005A1A44" w:rsidRDefault="0008059E">
            <w:pPr>
              <w:widowControl/>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297.14 </w:t>
            </w:r>
          </w:p>
        </w:tc>
        <w:tc>
          <w:tcPr>
            <w:tcW w:w="1418" w:type="dxa"/>
            <w:vAlign w:val="center"/>
          </w:tcPr>
          <w:p w14:paraId="319FFBEC"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超标</w:t>
            </w:r>
          </w:p>
        </w:tc>
      </w:tr>
      <w:tr w:rsidR="005A1A44" w14:paraId="1036C660" w14:textId="77777777">
        <w:trPr>
          <w:trHeight w:val="316"/>
        </w:trPr>
        <w:tc>
          <w:tcPr>
            <w:tcW w:w="877" w:type="dxa"/>
            <w:vMerge/>
            <w:vAlign w:val="center"/>
          </w:tcPr>
          <w:p w14:paraId="7C8DBDA1" w14:textId="77777777" w:rsidR="005A1A44" w:rsidRDefault="005A1A44">
            <w:pPr>
              <w:pStyle w:val="B0"/>
              <w:spacing w:line="240" w:lineRule="auto"/>
              <w:ind w:firstLineChars="0" w:firstLine="0"/>
              <w:rPr>
                <w:rFonts w:ascii="宋体" w:eastAsia="宋体" w:hAnsi="宋体" w:hint="eastAsia"/>
                <w:sz w:val="21"/>
                <w:szCs w:val="21"/>
              </w:rPr>
            </w:pPr>
          </w:p>
        </w:tc>
        <w:tc>
          <w:tcPr>
            <w:tcW w:w="1957" w:type="dxa"/>
            <w:vAlign w:val="center"/>
          </w:tcPr>
          <w:p w14:paraId="64B0CF4F"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百分位数日平均</w:t>
            </w:r>
          </w:p>
        </w:tc>
        <w:tc>
          <w:tcPr>
            <w:tcW w:w="1417" w:type="dxa"/>
            <w:vAlign w:val="center"/>
          </w:tcPr>
          <w:p w14:paraId="6E0DF36C"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200.0</w:t>
            </w:r>
          </w:p>
        </w:tc>
        <w:tc>
          <w:tcPr>
            <w:tcW w:w="1418" w:type="dxa"/>
            <w:vAlign w:val="center"/>
          </w:tcPr>
          <w:p w14:paraId="28405B64"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75</w:t>
            </w:r>
          </w:p>
        </w:tc>
        <w:tc>
          <w:tcPr>
            <w:tcW w:w="1418" w:type="dxa"/>
            <w:vAlign w:val="center"/>
          </w:tcPr>
          <w:p w14:paraId="47FEC732" w14:textId="77777777" w:rsidR="005A1A44" w:rsidRDefault="0008059E">
            <w:pPr>
              <w:widowControl/>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266.67</w:t>
            </w:r>
          </w:p>
        </w:tc>
        <w:tc>
          <w:tcPr>
            <w:tcW w:w="1418" w:type="dxa"/>
            <w:vAlign w:val="center"/>
          </w:tcPr>
          <w:p w14:paraId="142CA807"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napToGrid w:val="0"/>
                <w:spacing w:val="-6"/>
                <w:sz w:val="21"/>
                <w:szCs w:val="21"/>
              </w:rPr>
              <w:t>超标</w:t>
            </w:r>
          </w:p>
        </w:tc>
      </w:tr>
      <w:tr w:rsidR="005A1A44" w14:paraId="724F4481" w14:textId="77777777">
        <w:trPr>
          <w:trHeight w:val="397"/>
        </w:trPr>
        <w:tc>
          <w:tcPr>
            <w:tcW w:w="877" w:type="dxa"/>
            <w:vMerge w:val="restart"/>
            <w:vAlign w:val="center"/>
          </w:tcPr>
          <w:p w14:paraId="2064FC56"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P</w:t>
            </w:r>
            <w:r>
              <w:rPr>
                <w:rFonts w:ascii="宋体" w:eastAsia="宋体" w:hAnsi="宋体" w:hint="eastAsia"/>
                <w:bCs/>
                <w:sz w:val="21"/>
                <w:szCs w:val="21"/>
              </w:rPr>
              <w:t>M</w:t>
            </w:r>
            <w:r>
              <w:rPr>
                <w:rFonts w:ascii="宋体" w:eastAsia="宋体" w:hAnsi="宋体" w:hint="eastAsia"/>
                <w:bCs/>
                <w:sz w:val="21"/>
                <w:szCs w:val="21"/>
                <w:vertAlign w:val="subscript"/>
              </w:rPr>
              <w:t>10</w:t>
            </w:r>
          </w:p>
        </w:tc>
        <w:tc>
          <w:tcPr>
            <w:tcW w:w="1957" w:type="dxa"/>
            <w:vAlign w:val="center"/>
          </w:tcPr>
          <w:p w14:paraId="5D313034"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年平均质量浓度</w:t>
            </w:r>
          </w:p>
        </w:tc>
        <w:tc>
          <w:tcPr>
            <w:tcW w:w="1417" w:type="dxa"/>
            <w:vAlign w:val="center"/>
          </w:tcPr>
          <w:p w14:paraId="4313273D"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486.0</w:t>
            </w:r>
          </w:p>
        </w:tc>
        <w:tc>
          <w:tcPr>
            <w:tcW w:w="1418" w:type="dxa"/>
            <w:vAlign w:val="center"/>
          </w:tcPr>
          <w:p w14:paraId="50D51BA9"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70</w:t>
            </w:r>
          </w:p>
        </w:tc>
        <w:tc>
          <w:tcPr>
            <w:tcW w:w="1418" w:type="dxa"/>
            <w:vAlign w:val="center"/>
          </w:tcPr>
          <w:p w14:paraId="1A930DB2" w14:textId="77777777" w:rsidR="005A1A44" w:rsidRDefault="0008059E">
            <w:pPr>
              <w:widowControl/>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694.29</w:t>
            </w:r>
          </w:p>
        </w:tc>
        <w:tc>
          <w:tcPr>
            <w:tcW w:w="1418" w:type="dxa"/>
            <w:vAlign w:val="center"/>
          </w:tcPr>
          <w:p w14:paraId="16811D57"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超标</w:t>
            </w:r>
          </w:p>
        </w:tc>
      </w:tr>
      <w:tr w:rsidR="005A1A44" w14:paraId="26F4F115" w14:textId="77777777">
        <w:trPr>
          <w:trHeight w:val="397"/>
        </w:trPr>
        <w:tc>
          <w:tcPr>
            <w:tcW w:w="877" w:type="dxa"/>
            <w:vMerge/>
            <w:vAlign w:val="center"/>
          </w:tcPr>
          <w:p w14:paraId="66040804" w14:textId="77777777" w:rsidR="005A1A44" w:rsidRDefault="005A1A44">
            <w:pPr>
              <w:pStyle w:val="B0"/>
              <w:spacing w:line="240" w:lineRule="auto"/>
              <w:ind w:firstLineChars="0" w:firstLine="0"/>
              <w:rPr>
                <w:rFonts w:ascii="宋体" w:eastAsia="宋体" w:hAnsi="宋体" w:hint="eastAsia"/>
                <w:sz w:val="21"/>
                <w:szCs w:val="21"/>
              </w:rPr>
            </w:pPr>
          </w:p>
        </w:tc>
        <w:tc>
          <w:tcPr>
            <w:tcW w:w="1957" w:type="dxa"/>
            <w:vAlign w:val="center"/>
          </w:tcPr>
          <w:p w14:paraId="43B464BC"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百分位数日平均</w:t>
            </w:r>
          </w:p>
        </w:tc>
        <w:tc>
          <w:tcPr>
            <w:tcW w:w="1417" w:type="dxa"/>
            <w:vAlign w:val="center"/>
          </w:tcPr>
          <w:p w14:paraId="7A894D9F"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882.0</w:t>
            </w:r>
          </w:p>
        </w:tc>
        <w:tc>
          <w:tcPr>
            <w:tcW w:w="1418" w:type="dxa"/>
            <w:vAlign w:val="center"/>
          </w:tcPr>
          <w:p w14:paraId="0073B7FD"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150</w:t>
            </w:r>
          </w:p>
        </w:tc>
        <w:tc>
          <w:tcPr>
            <w:tcW w:w="1418" w:type="dxa"/>
            <w:vAlign w:val="center"/>
          </w:tcPr>
          <w:p w14:paraId="726615B0" w14:textId="77777777" w:rsidR="005A1A44" w:rsidRDefault="0008059E">
            <w:pPr>
              <w:widowControl/>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588.0</w:t>
            </w:r>
          </w:p>
        </w:tc>
        <w:tc>
          <w:tcPr>
            <w:tcW w:w="1418" w:type="dxa"/>
            <w:vAlign w:val="center"/>
          </w:tcPr>
          <w:p w14:paraId="515AE44B"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超标</w:t>
            </w:r>
          </w:p>
        </w:tc>
      </w:tr>
      <w:tr w:rsidR="005A1A44" w14:paraId="26794A10" w14:textId="77777777">
        <w:trPr>
          <w:trHeight w:val="397"/>
        </w:trPr>
        <w:tc>
          <w:tcPr>
            <w:tcW w:w="877" w:type="dxa"/>
            <w:vAlign w:val="center"/>
          </w:tcPr>
          <w:p w14:paraId="1DD17252"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O</w:t>
            </w:r>
            <w:r>
              <w:rPr>
                <w:rFonts w:ascii="宋体" w:eastAsia="宋体" w:hAnsi="宋体" w:hint="eastAsia"/>
                <w:sz w:val="21"/>
                <w:szCs w:val="21"/>
                <w:vertAlign w:val="subscript"/>
              </w:rPr>
              <w:t>3</w:t>
            </w:r>
          </w:p>
        </w:tc>
        <w:tc>
          <w:tcPr>
            <w:tcW w:w="1957" w:type="dxa"/>
            <w:vAlign w:val="center"/>
          </w:tcPr>
          <w:p w14:paraId="071B7667"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百分位数日平均</w:t>
            </w:r>
          </w:p>
        </w:tc>
        <w:tc>
          <w:tcPr>
            <w:tcW w:w="1417" w:type="dxa"/>
            <w:vAlign w:val="center"/>
          </w:tcPr>
          <w:p w14:paraId="439A1340"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114</w:t>
            </w:r>
          </w:p>
        </w:tc>
        <w:tc>
          <w:tcPr>
            <w:tcW w:w="1418" w:type="dxa"/>
            <w:vAlign w:val="center"/>
          </w:tcPr>
          <w:p w14:paraId="08E1632F"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160</w:t>
            </w:r>
          </w:p>
        </w:tc>
        <w:tc>
          <w:tcPr>
            <w:tcW w:w="1418" w:type="dxa"/>
            <w:vAlign w:val="center"/>
          </w:tcPr>
          <w:p w14:paraId="49A6A8E3" w14:textId="77777777" w:rsidR="005A1A44" w:rsidRDefault="0008059E">
            <w:pPr>
              <w:widowControl/>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30.0</w:t>
            </w:r>
          </w:p>
        </w:tc>
        <w:tc>
          <w:tcPr>
            <w:tcW w:w="1418" w:type="dxa"/>
            <w:vAlign w:val="center"/>
          </w:tcPr>
          <w:p w14:paraId="19A9E9C1"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达标</w:t>
            </w:r>
          </w:p>
        </w:tc>
      </w:tr>
      <w:tr w:rsidR="005A1A44" w14:paraId="5005B62E" w14:textId="77777777">
        <w:trPr>
          <w:trHeight w:val="397"/>
        </w:trPr>
        <w:tc>
          <w:tcPr>
            <w:tcW w:w="877" w:type="dxa"/>
            <w:vMerge w:val="restart"/>
            <w:vAlign w:val="center"/>
          </w:tcPr>
          <w:p w14:paraId="161AFD17"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SO</w:t>
            </w:r>
            <w:r>
              <w:rPr>
                <w:rFonts w:ascii="宋体" w:eastAsia="宋体" w:hAnsi="宋体" w:hint="eastAsia"/>
                <w:sz w:val="21"/>
                <w:szCs w:val="21"/>
                <w:vertAlign w:val="subscript"/>
              </w:rPr>
              <w:t>2</w:t>
            </w:r>
          </w:p>
        </w:tc>
        <w:tc>
          <w:tcPr>
            <w:tcW w:w="1957" w:type="dxa"/>
            <w:vAlign w:val="center"/>
          </w:tcPr>
          <w:p w14:paraId="246C1474"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年平均质量浓度</w:t>
            </w:r>
          </w:p>
        </w:tc>
        <w:tc>
          <w:tcPr>
            <w:tcW w:w="1417" w:type="dxa"/>
            <w:vAlign w:val="center"/>
          </w:tcPr>
          <w:p w14:paraId="61596959"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18.0</w:t>
            </w:r>
          </w:p>
        </w:tc>
        <w:tc>
          <w:tcPr>
            <w:tcW w:w="1418" w:type="dxa"/>
            <w:vAlign w:val="center"/>
          </w:tcPr>
          <w:p w14:paraId="3E2B78EA"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60</w:t>
            </w:r>
          </w:p>
        </w:tc>
        <w:tc>
          <w:tcPr>
            <w:tcW w:w="1418" w:type="dxa"/>
            <w:vAlign w:val="center"/>
          </w:tcPr>
          <w:p w14:paraId="24CA6CF8" w14:textId="77777777" w:rsidR="005A1A44" w:rsidRDefault="0008059E">
            <w:pPr>
              <w:widowControl/>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22.67</w:t>
            </w:r>
          </w:p>
        </w:tc>
        <w:tc>
          <w:tcPr>
            <w:tcW w:w="1418" w:type="dxa"/>
            <w:vAlign w:val="center"/>
          </w:tcPr>
          <w:p w14:paraId="04C33645"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达标</w:t>
            </w:r>
          </w:p>
        </w:tc>
      </w:tr>
      <w:tr w:rsidR="005A1A44" w14:paraId="0F0ED5E4" w14:textId="77777777">
        <w:trPr>
          <w:trHeight w:val="397"/>
        </w:trPr>
        <w:tc>
          <w:tcPr>
            <w:tcW w:w="877" w:type="dxa"/>
            <w:vMerge/>
            <w:vAlign w:val="center"/>
          </w:tcPr>
          <w:p w14:paraId="062AD6A2" w14:textId="77777777" w:rsidR="005A1A44" w:rsidRDefault="005A1A44">
            <w:pPr>
              <w:pStyle w:val="B0"/>
              <w:spacing w:line="240" w:lineRule="auto"/>
              <w:ind w:firstLineChars="0" w:firstLine="0"/>
              <w:rPr>
                <w:rFonts w:ascii="宋体" w:eastAsia="宋体" w:hAnsi="宋体" w:hint="eastAsia"/>
                <w:sz w:val="21"/>
                <w:szCs w:val="21"/>
              </w:rPr>
            </w:pPr>
          </w:p>
        </w:tc>
        <w:tc>
          <w:tcPr>
            <w:tcW w:w="1957" w:type="dxa"/>
            <w:vAlign w:val="center"/>
          </w:tcPr>
          <w:p w14:paraId="3478C91D"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百分位杜三子数日平均</w:t>
            </w:r>
          </w:p>
        </w:tc>
        <w:tc>
          <w:tcPr>
            <w:tcW w:w="1417" w:type="dxa"/>
            <w:vAlign w:val="center"/>
          </w:tcPr>
          <w:p w14:paraId="18C82339"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34.0</w:t>
            </w:r>
          </w:p>
        </w:tc>
        <w:tc>
          <w:tcPr>
            <w:tcW w:w="1418" w:type="dxa"/>
            <w:vAlign w:val="center"/>
          </w:tcPr>
          <w:p w14:paraId="50FBF256"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150</w:t>
            </w:r>
          </w:p>
        </w:tc>
        <w:tc>
          <w:tcPr>
            <w:tcW w:w="1418" w:type="dxa"/>
            <w:vAlign w:val="center"/>
          </w:tcPr>
          <w:p w14:paraId="6C8CA2A8" w14:textId="77777777" w:rsidR="005A1A44" w:rsidRDefault="0008059E">
            <w:pPr>
              <w:widowControl/>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16.00 </w:t>
            </w:r>
          </w:p>
        </w:tc>
        <w:tc>
          <w:tcPr>
            <w:tcW w:w="1418" w:type="dxa"/>
            <w:vAlign w:val="center"/>
          </w:tcPr>
          <w:p w14:paraId="6A4909EE"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达标</w:t>
            </w:r>
          </w:p>
        </w:tc>
      </w:tr>
    </w:tbl>
    <w:p w14:paraId="47304AEB" w14:textId="77777777" w:rsidR="005A1A44" w:rsidRDefault="0008059E">
      <w:pPr>
        <w:pStyle w:val="af4"/>
        <w:ind w:firstLine="480"/>
      </w:pPr>
      <w:r>
        <w:rPr>
          <w:rFonts w:hint="eastAsia"/>
        </w:rPr>
        <w:t>根据表</w:t>
      </w:r>
      <w:r>
        <w:rPr>
          <w:rFonts w:hint="eastAsia"/>
        </w:rPr>
        <w:t>4.2-</w:t>
      </w:r>
      <w:r>
        <w:rPr>
          <w:rFonts w:hint="eastAsia"/>
        </w:rPr>
        <w:t>评</w:t>
      </w:r>
      <w:r>
        <w:rPr>
          <w:rFonts w:hint="eastAsia"/>
        </w:rPr>
        <w:t>3</w:t>
      </w:r>
      <w:r>
        <w:rPr>
          <w:rFonts w:hint="eastAsia"/>
        </w:rPr>
        <w:t>价结果，区域</w:t>
      </w:r>
      <w:r>
        <w:rPr>
          <w:rFonts w:hint="eastAsia"/>
        </w:rPr>
        <w:t>PM</w:t>
      </w:r>
      <w:r>
        <w:rPr>
          <w:rFonts w:hint="eastAsia"/>
          <w:vertAlign w:val="subscript"/>
        </w:rPr>
        <w:t>2.5</w:t>
      </w:r>
      <w:r>
        <w:rPr>
          <w:rFonts w:hint="eastAsia"/>
        </w:rPr>
        <w:t>年平均质量浓度超标，</w:t>
      </w:r>
      <w:r>
        <w:rPr>
          <w:rFonts w:hint="eastAsia"/>
        </w:rPr>
        <w:t>PM</w:t>
      </w:r>
      <w:r>
        <w:rPr>
          <w:rFonts w:hint="eastAsia"/>
          <w:vertAlign w:val="subscript"/>
        </w:rPr>
        <w:t>10</w:t>
      </w:r>
      <w:r>
        <w:rPr>
          <w:rFonts w:hint="eastAsia"/>
        </w:rPr>
        <w:t>年平均质量浓度和百分位数日平均浓度超标均超标，因此项目所在区域为不达标区。</w:t>
      </w:r>
    </w:p>
    <w:p w14:paraId="22B6F0F7" w14:textId="77777777" w:rsidR="005A1A44" w:rsidRDefault="0008059E">
      <w:pPr>
        <w:pStyle w:val="af4"/>
        <w:ind w:firstLine="480"/>
      </w:pPr>
      <w:r>
        <w:rPr>
          <w:rFonts w:hint="eastAsia"/>
        </w:rPr>
        <w:t>（</w:t>
      </w:r>
      <w:r>
        <w:rPr>
          <w:rFonts w:hint="eastAsia"/>
        </w:rPr>
        <w:t>2</w:t>
      </w:r>
      <w:r>
        <w:rPr>
          <w:rFonts w:hint="eastAsia"/>
        </w:rPr>
        <w:t>）基本污染物环境质量现状</w:t>
      </w:r>
    </w:p>
    <w:p w14:paraId="5F46F42B" w14:textId="77777777" w:rsidR="005A1A44" w:rsidRDefault="0008059E">
      <w:pPr>
        <w:pStyle w:val="af4"/>
        <w:ind w:firstLine="480"/>
      </w:pPr>
      <w:r>
        <w:rPr>
          <w:rFonts w:hint="eastAsia"/>
        </w:rPr>
        <w:t>项目所在区域基本污染物现状评价结果见表</w:t>
      </w:r>
      <w:r>
        <w:rPr>
          <w:rFonts w:hint="eastAsia"/>
        </w:rPr>
        <w:t>4.2-4</w:t>
      </w:r>
      <w:r>
        <w:rPr>
          <w:rFonts w:hint="eastAsia"/>
        </w:rPr>
        <w:t>。</w:t>
      </w:r>
    </w:p>
    <w:p w14:paraId="4011F78D" w14:textId="77777777" w:rsidR="005A1A44" w:rsidRDefault="0008059E">
      <w:pPr>
        <w:pStyle w:val="B"/>
        <w:ind w:firstLine="480"/>
        <w:rPr>
          <w:rFonts w:ascii="黑体" w:eastAsia="黑体" w:hAnsi="黑体" w:cs="黑体" w:hint="eastAsia"/>
          <w:b w:val="0"/>
          <w:bCs/>
        </w:rPr>
      </w:pPr>
      <w:r>
        <w:rPr>
          <w:rFonts w:ascii="黑体" w:eastAsia="黑体" w:hAnsi="黑体" w:cs="黑体" w:hint="eastAsia"/>
          <w:b w:val="0"/>
          <w:bCs/>
        </w:rPr>
        <w:t>表4.2-4  基本污染物环境质量现状评价</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5"/>
        <w:gridCol w:w="1348"/>
        <w:gridCol w:w="709"/>
        <w:gridCol w:w="1559"/>
        <w:gridCol w:w="992"/>
        <w:gridCol w:w="851"/>
        <w:gridCol w:w="992"/>
        <w:gridCol w:w="737"/>
        <w:gridCol w:w="722"/>
      </w:tblGrid>
      <w:tr w:rsidR="005A1A44" w14:paraId="3DE69BD3" w14:textId="77777777">
        <w:trPr>
          <w:trHeight w:val="472"/>
          <w:tblHeader/>
          <w:jc w:val="center"/>
        </w:trPr>
        <w:tc>
          <w:tcPr>
            <w:tcW w:w="595" w:type="dxa"/>
            <w:vAlign w:val="center"/>
          </w:tcPr>
          <w:p w14:paraId="0C52C593" w14:textId="77777777" w:rsidR="005A1A44" w:rsidRDefault="0008059E">
            <w:pPr>
              <w:pStyle w:val="B0"/>
              <w:spacing w:line="240" w:lineRule="auto"/>
              <w:ind w:firstLineChars="0" w:firstLine="0"/>
              <w:rPr>
                <w:rFonts w:ascii="宋体" w:eastAsia="宋体" w:hAnsi="宋体" w:hint="eastAsia"/>
                <w:snapToGrid w:val="0"/>
                <w:sz w:val="21"/>
                <w:szCs w:val="21"/>
              </w:rPr>
            </w:pPr>
            <w:r>
              <w:rPr>
                <w:rFonts w:ascii="宋体" w:eastAsia="宋体" w:hAnsi="宋体" w:hint="eastAsia"/>
                <w:snapToGrid w:val="0"/>
                <w:sz w:val="21"/>
                <w:szCs w:val="21"/>
              </w:rPr>
              <w:t>点位名称</w:t>
            </w:r>
          </w:p>
        </w:tc>
        <w:tc>
          <w:tcPr>
            <w:tcW w:w="1348" w:type="dxa"/>
            <w:vAlign w:val="center"/>
          </w:tcPr>
          <w:p w14:paraId="5E725AB6" w14:textId="77777777" w:rsidR="005A1A44" w:rsidRDefault="0008059E">
            <w:pPr>
              <w:pStyle w:val="B0"/>
              <w:spacing w:line="240" w:lineRule="auto"/>
              <w:ind w:firstLineChars="0" w:firstLine="0"/>
              <w:rPr>
                <w:rFonts w:ascii="宋体" w:eastAsia="宋体" w:hAnsi="宋体" w:hint="eastAsia"/>
                <w:snapToGrid w:val="0"/>
                <w:sz w:val="21"/>
                <w:szCs w:val="21"/>
              </w:rPr>
            </w:pPr>
            <w:r>
              <w:rPr>
                <w:rFonts w:ascii="宋体" w:eastAsia="宋体" w:hAnsi="宋体" w:hint="eastAsia"/>
                <w:snapToGrid w:val="0"/>
                <w:sz w:val="21"/>
                <w:szCs w:val="21"/>
              </w:rPr>
              <w:t>监测点</w:t>
            </w:r>
          </w:p>
          <w:p w14:paraId="640EEECD" w14:textId="77777777" w:rsidR="005A1A44" w:rsidRDefault="0008059E">
            <w:pPr>
              <w:pStyle w:val="B0"/>
              <w:spacing w:line="240" w:lineRule="auto"/>
              <w:ind w:firstLineChars="0" w:firstLine="0"/>
              <w:rPr>
                <w:rFonts w:ascii="宋体" w:eastAsia="宋体" w:hAnsi="宋体" w:hint="eastAsia"/>
                <w:snapToGrid w:val="0"/>
                <w:sz w:val="21"/>
                <w:szCs w:val="21"/>
              </w:rPr>
            </w:pPr>
            <w:r>
              <w:rPr>
                <w:rFonts w:ascii="宋体" w:eastAsia="宋体" w:hAnsi="宋体" w:hint="eastAsia"/>
                <w:snapToGrid w:val="0"/>
                <w:sz w:val="21"/>
                <w:szCs w:val="21"/>
              </w:rPr>
              <w:t>坐标</w:t>
            </w:r>
          </w:p>
        </w:tc>
        <w:tc>
          <w:tcPr>
            <w:tcW w:w="709" w:type="dxa"/>
            <w:vAlign w:val="center"/>
          </w:tcPr>
          <w:p w14:paraId="2BEC23E3"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污染物</w:t>
            </w:r>
          </w:p>
        </w:tc>
        <w:tc>
          <w:tcPr>
            <w:tcW w:w="1559" w:type="dxa"/>
            <w:vAlign w:val="center"/>
          </w:tcPr>
          <w:p w14:paraId="1D298725"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年评价指标</w:t>
            </w:r>
          </w:p>
        </w:tc>
        <w:tc>
          <w:tcPr>
            <w:tcW w:w="992" w:type="dxa"/>
            <w:vAlign w:val="center"/>
          </w:tcPr>
          <w:p w14:paraId="5D325B73"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评价标准</w:t>
            </w:r>
          </w:p>
          <w:p w14:paraId="6FEB2FC7"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µg/Nm</w:t>
            </w:r>
            <w:r>
              <w:rPr>
                <w:rFonts w:ascii="宋体" w:eastAsia="宋体" w:hAnsi="宋体" w:hint="eastAsia"/>
                <w:sz w:val="21"/>
                <w:szCs w:val="21"/>
                <w:vertAlign w:val="superscript"/>
              </w:rPr>
              <w:t>3</w:t>
            </w:r>
          </w:p>
        </w:tc>
        <w:tc>
          <w:tcPr>
            <w:tcW w:w="851" w:type="dxa"/>
            <w:vAlign w:val="center"/>
          </w:tcPr>
          <w:p w14:paraId="2C94DFCD"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现状浓度</w:t>
            </w:r>
          </w:p>
          <w:p w14:paraId="665A94B6"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µg/Nm</w:t>
            </w:r>
            <w:r>
              <w:rPr>
                <w:rFonts w:ascii="宋体" w:eastAsia="宋体" w:hAnsi="宋体" w:hint="eastAsia"/>
                <w:sz w:val="21"/>
                <w:szCs w:val="21"/>
                <w:vertAlign w:val="superscript"/>
              </w:rPr>
              <w:t>3</w:t>
            </w:r>
          </w:p>
        </w:tc>
        <w:tc>
          <w:tcPr>
            <w:tcW w:w="992" w:type="dxa"/>
            <w:vAlign w:val="center"/>
          </w:tcPr>
          <w:p w14:paraId="3C07F0C5"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最大浓度占标率%</w:t>
            </w:r>
          </w:p>
        </w:tc>
        <w:tc>
          <w:tcPr>
            <w:tcW w:w="737" w:type="dxa"/>
            <w:vAlign w:val="center"/>
          </w:tcPr>
          <w:p w14:paraId="17AC8990"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超标率</w:t>
            </w:r>
          </w:p>
          <w:p w14:paraId="5126248A"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w:t>
            </w:r>
          </w:p>
        </w:tc>
        <w:tc>
          <w:tcPr>
            <w:tcW w:w="722" w:type="dxa"/>
            <w:vAlign w:val="center"/>
          </w:tcPr>
          <w:p w14:paraId="3F54AA0F"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达标</w:t>
            </w:r>
          </w:p>
          <w:p w14:paraId="2E0CD8D1"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情况</w:t>
            </w:r>
          </w:p>
        </w:tc>
      </w:tr>
      <w:tr w:rsidR="005A1A44" w14:paraId="28459F0D" w14:textId="77777777">
        <w:trPr>
          <w:trHeight w:val="397"/>
          <w:jc w:val="center"/>
        </w:trPr>
        <w:tc>
          <w:tcPr>
            <w:tcW w:w="595" w:type="dxa"/>
            <w:vMerge w:val="restart"/>
            <w:vAlign w:val="center"/>
          </w:tcPr>
          <w:p w14:paraId="52F4B595"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地区站</w:t>
            </w:r>
          </w:p>
        </w:tc>
        <w:tc>
          <w:tcPr>
            <w:tcW w:w="1348" w:type="dxa"/>
            <w:vMerge w:val="restart"/>
            <w:vAlign w:val="center"/>
          </w:tcPr>
          <w:p w14:paraId="10E6FD5B"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N44°20′00.96″</w:t>
            </w:r>
          </w:p>
          <w:p w14:paraId="089258F0"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E84°53′53.88″</w:t>
            </w:r>
          </w:p>
        </w:tc>
        <w:tc>
          <w:tcPr>
            <w:tcW w:w="709" w:type="dxa"/>
            <w:vAlign w:val="center"/>
          </w:tcPr>
          <w:p w14:paraId="716AB099"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CO</w:t>
            </w:r>
          </w:p>
        </w:tc>
        <w:tc>
          <w:tcPr>
            <w:tcW w:w="1559" w:type="dxa"/>
            <w:vAlign w:val="center"/>
          </w:tcPr>
          <w:p w14:paraId="2505CD61"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百分位数日平均</w:t>
            </w:r>
          </w:p>
        </w:tc>
        <w:tc>
          <w:tcPr>
            <w:tcW w:w="992" w:type="dxa"/>
            <w:vAlign w:val="center"/>
          </w:tcPr>
          <w:p w14:paraId="6AA4B603"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4000</w:t>
            </w:r>
          </w:p>
        </w:tc>
        <w:tc>
          <w:tcPr>
            <w:tcW w:w="851" w:type="dxa"/>
            <w:vAlign w:val="center"/>
          </w:tcPr>
          <w:p w14:paraId="4BE77EA2"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2.9</w:t>
            </w:r>
          </w:p>
        </w:tc>
        <w:tc>
          <w:tcPr>
            <w:tcW w:w="992" w:type="dxa"/>
            <w:vAlign w:val="center"/>
          </w:tcPr>
          <w:p w14:paraId="0AF1FC20"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0.41</w:t>
            </w:r>
          </w:p>
        </w:tc>
        <w:tc>
          <w:tcPr>
            <w:tcW w:w="737" w:type="dxa"/>
            <w:vAlign w:val="center"/>
          </w:tcPr>
          <w:p w14:paraId="006200FD" w14:textId="77777777" w:rsidR="005A1A44" w:rsidRDefault="0008059E">
            <w:pPr>
              <w:pStyle w:val="B0"/>
              <w:spacing w:line="240" w:lineRule="auto"/>
              <w:ind w:firstLineChars="0" w:firstLine="0"/>
              <w:rPr>
                <w:rFonts w:ascii="宋体" w:eastAsia="宋体" w:hAnsi="宋体" w:hint="eastAsia"/>
                <w:snapToGrid w:val="0"/>
                <w:sz w:val="21"/>
                <w:szCs w:val="21"/>
              </w:rPr>
            </w:pPr>
            <w:r>
              <w:rPr>
                <w:rFonts w:ascii="宋体" w:eastAsia="宋体" w:hAnsi="宋体" w:hint="eastAsia"/>
                <w:snapToGrid w:val="0"/>
                <w:sz w:val="21"/>
                <w:szCs w:val="21"/>
              </w:rPr>
              <w:t>——</w:t>
            </w:r>
          </w:p>
        </w:tc>
        <w:tc>
          <w:tcPr>
            <w:tcW w:w="722" w:type="dxa"/>
            <w:vAlign w:val="center"/>
          </w:tcPr>
          <w:p w14:paraId="4ACCA793" w14:textId="77777777" w:rsidR="005A1A44" w:rsidRDefault="0008059E">
            <w:pPr>
              <w:pStyle w:val="B0"/>
              <w:spacing w:line="240" w:lineRule="auto"/>
              <w:ind w:firstLineChars="0" w:firstLine="0"/>
              <w:rPr>
                <w:rFonts w:ascii="宋体" w:eastAsia="宋体" w:hAnsi="宋体" w:hint="eastAsia"/>
                <w:snapToGrid w:val="0"/>
                <w:sz w:val="21"/>
                <w:szCs w:val="21"/>
              </w:rPr>
            </w:pPr>
            <w:r>
              <w:rPr>
                <w:rFonts w:ascii="宋体" w:eastAsia="宋体" w:hAnsi="宋体" w:hint="eastAsia"/>
                <w:snapToGrid w:val="0"/>
                <w:sz w:val="21"/>
                <w:szCs w:val="21"/>
              </w:rPr>
              <w:t>达标</w:t>
            </w:r>
          </w:p>
        </w:tc>
      </w:tr>
      <w:tr w:rsidR="005A1A44" w14:paraId="56EB2174" w14:textId="77777777">
        <w:trPr>
          <w:trHeight w:val="397"/>
          <w:jc w:val="center"/>
        </w:trPr>
        <w:tc>
          <w:tcPr>
            <w:tcW w:w="595" w:type="dxa"/>
            <w:vMerge/>
            <w:vAlign w:val="center"/>
          </w:tcPr>
          <w:p w14:paraId="11F38620" w14:textId="77777777" w:rsidR="005A1A44" w:rsidRDefault="005A1A44">
            <w:pPr>
              <w:pStyle w:val="B0"/>
              <w:spacing w:line="240" w:lineRule="auto"/>
              <w:ind w:firstLineChars="0" w:firstLine="0"/>
              <w:rPr>
                <w:rFonts w:ascii="宋体" w:eastAsia="宋体" w:hAnsi="宋体" w:hint="eastAsia"/>
                <w:sz w:val="21"/>
                <w:szCs w:val="21"/>
              </w:rPr>
            </w:pPr>
          </w:p>
        </w:tc>
        <w:tc>
          <w:tcPr>
            <w:tcW w:w="1348" w:type="dxa"/>
            <w:vMerge/>
            <w:vAlign w:val="center"/>
          </w:tcPr>
          <w:p w14:paraId="466D2948" w14:textId="77777777" w:rsidR="005A1A44" w:rsidRDefault="005A1A44">
            <w:pPr>
              <w:pStyle w:val="B0"/>
              <w:spacing w:line="240" w:lineRule="auto"/>
              <w:ind w:firstLineChars="0" w:firstLine="0"/>
              <w:rPr>
                <w:rFonts w:ascii="宋体" w:eastAsia="宋体" w:hAnsi="宋体" w:hint="eastAsia"/>
                <w:sz w:val="21"/>
                <w:szCs w:val="21"/>
              </w:rPr>
            </w:pPr>
          </w:p>
        </w:tc>
        <w:tc>
          <w:tcPr>
            <w:tcW w:w="709" w:type="dxa"/>
            <w:vMerge w:val="restart"/>
            <w:vAlign w:val="center"/>
          </w:tcPr>
          <w:p w14:paraId="64D576B6"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NO</w:t>
            </w:r>
            <w:r>
              <w:rPr>
                <w:rFonts w:ascii="宋体" w:eastAsia="宋体" w:hAnsi="宋体" w:hint="eastAsia"/>
                <w:sz w:val="21"/>
                <w:szCs w:val="21"/>
                <w:vertAlign w:val="subscript"/>
              </w:rPr>
              <w:t>2</w:t>
            </w:r>
          </w:p>
        </w:tc>
        <w:tc>
          <w:tcPr>
            <w:tcW w:w="1559" w:type="dxa"/>
            <w:vAlign w:val="center"/>
          </w:tcPr>
          <w:p w14:paraId="6C380FDD"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年平均质量浓度</w:t>
            </w:r>
          </w:p>
        </w:tc>
        <w:tc>
          <w:tcPr>
            <w:tcW w:w="992" w:type="dxa"/>
            <w:vAlign w:val="center"/>
          </w:tcPr>
          <w:p w14:paraId="3DC572C4"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40</w:t>
            </w:r>
          </w:p>
        </w:tc>
        <w:tc>
          <w:tcPr>
            <w:tcW w:w="851" w:type="dxa"/>
            <w:vAlign w:val="center"/>
          </w:tcPr>
          <w:p w14:paraId="5AD0AF2E"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26.0</w:t>
            </w:r>
          </w:p>
        </w:tc>
        <w:tc>
          <w:tcPr>
            <w:tcW w:w="992" w:type="dxa"/>
            <w:vAlign w:val="center"/>
          </w:tcPr>
          <w:p w14:paraId="12DD59B8"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175.0</w:t>
            </w:r>
          </w:p>
        </w:tc>
        <w:tc>
          <w:tcPr>
            <w:tcW w:w="737" w:type="dxa"/>
            <w:vAlign w:val="center"/>
          </w:tcPr>
          <w:p w14:paraId="50C7B1CC"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pacing w:val="-6"/>
                <w:sz w:val="21"/>
                <w:szCs w:val="21"/>
              </w:rPr>
              <w:t>0</w:t>
            </w:r>
          </w:p>
        </w:tc>
        <w:tc>
          <w:tcPr>
            <w:tcW w:w="722" w:type="dxa"/>
            <w:vAlign w:val="center"/>
          </w:tcPr>
          <w:p w14:paraId="17FCC3AA"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z w:val="21"/>
                <w:szCs w:val="21"/>
              </w:rPr>
              <w:t>达标</w:t>
            </w:r>
          </w:p>
        </w:tc>
      </w:tr>
      <w:tr w:rsidR="005A1A44" w14:paraId="004CD6C0" w14:textId="77777777">
        <w:trPr>
          <w:trHeight w:val="397"/>
          <w:jc w:val="center"/>
        </w:trPr>
        <w:tc>
          <w:tcPr>
            <w:tcW w:w="595" w:type="dxa"/>
            <w:vMerge/>
            <w:vAlign w:val="center"/>
          </w:tcPr>
          <w:p w14:paraId="156F5109" w14:textId="77777777" w:rsidR="005A1A44" w:rsidRDefault="005A1A44">
            <w:pPr>
              <w:pStyle w:val="B0"/>
              <w:spacing w:line="240" w:lineRule="auto"/>
              <w:ind w:firstLineChars="0" w:firstLine="0"/>
              <w:rPr>
                <w:rFonts w:ascii="宋体" w:eastAsia="宋体" w:hAnsi="宋体" w:hint="eastAsia"/>
                <w:snapToGrid w:val="0"/>
                <w:sz w:val="21"/>
                <w:szCs w:val="21"/>
              </w:rPr>
            </w:pPr>
          </w:p>
        </w:tc>
        <w:tc>
          <w:tcPr>
            <w:tcW w:w="1348" w:type="dxa"/>
            <w:vMerge/>
            <w:vAlign w:val="center"/>
          </w:tcPr>
          <w:p w14:paraId="6A847D57" w14:textId="77777777" w:rsidR="005A1A44" w:rsidRDefault="005A1A44">
            <w:pPr>
              <w:pStyle w:val="B0"/>
              <w:spacing w:line="240" w:lineRule="auto"/>
              <w:ind w:firstLineChars="0" w:firstLine="0"/>
              <w:rPr>
                <w:rFonts w:ascii="宋体" w:eastAsia="宋体" w:hAnsi="宋体" w:hint="eastAsia"/>
                <w:snapToGrid w:val="0"/>
                <w:spacing w:val="-8"/>
                <w:sz w:val="21"/>
                <w:szCs w:val="21"/>
              </w:rPr>
            </w:pPr>
          </w:p>
        </w:tc>
        <w:tc>
          <w:tcPr>
            <w:tcW w:w="709" w:type="dxa"/>
            <w:vMerge/>
            <w:vAlign w:val="center"/>
          </w:tcPr>
          <w:p w14:paraId="77C95FD9" w14:textId="77777777" w:rsidR="005A1A44" w:rsidRDefault="005A1A44">
            <w:pPr>
              <w:pStyle w:val="B0"/>
              <w:spacing w:line="240" w:lineRule="auto"/>
              <w:ind w:firstLineChars="0" w:firstLine="0"/>
              <w:rPr>
                <w:rFonts w:ascii="宋体" w:eastAsia="宋体" w:hAnsi="宋体" w:hint="eastAsia"/>
                <w:sz w:val="21"/>
                <w:szCs w:val="21"/>
              </w:rPr>
            </w:pPr>
          </w:p>
        </w:tc>
        <w:tc>
          <w:tcPr>
            <w:tcW w:w="1559" w:type="dxa"/>
            <w:vAlign w:val="center"/>
          </w:tcPr>
          <w:p w14:paraId="036F0198" w14:textId="77777777" w:rsidR="005A1A44" w:rsidRDefault="0008059E">
            <w:pPr>
              <w:pStyle w:val="B0"/>
              <w:spacing w:line="240" w:lineRule="auto"/>
              <w:ind w:firstLineChars="0" w:firstLine="0"/>
              <w:rPr>
                <w:rFonts w:ascii="宋体" w:eastAsia="宋体" w:hAnsi="宋体" w:hint="eastAsia"/>
                <w:snapToGrid w:val="0"/>
                <w:spacing w:val="-8"/>
                <w:sz w:val="21"/>
                <w:szCs w:val="21"/>
              </w:rPr>
            </w:pPr>
            <w:r>
              <w:rPr>
                <w:rFonts w:ascii="宋体" w:eastAsia="宋体" w:hAnsi="宋体" w:hint="eastAsia"/>
                <w:sz w:val="21"/>
                <w:szCs w:val="21"/>
              </w:rPr>
              <w:t>百分位数日平均</w:t>
            </w:r>
          </w:p>
        </w:tc>
        <w:tc>
          <w:tcPr>
            <w:tcW w:w="992" w:type="dxa"/>
            <w:vAlign w:val="center"/>
          </w:tcPr>
          <w:p w14:paraId="549CDE23"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80</w:t>
            </w:r>
          </w:p>
        </w:tc>
        <w:tc>
          <w:tcPr>
            <w:tcW w:w="851" w:type="dxa"/>
            <w:vAlign w:val="center"/>
          </w:tcPr>
          <w:p w14:paraId="2102CE37"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40.4</w:t>
            </w:r>
          </w:p>
        </w:tc>
        <w:tc>
          <w:tcPr>
            <w:tcW w:w="992" w:type="dxa"/>
            <w:vAlign w:val="center"/>
          </w:tcPr>
          <w:p w14:paraId="03ADE43C"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87.5</w:t>
            </w:r>
          </w:p>
        </w:tc>
        <w:tc>
          <w:tcPr>
            <w:tcW w:w="737" w:type="dxa"/>
            <w:vAlign w:val="center"/>
          </w:tcPr>
          <w:p w14:paraId="41197384"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pacing w:val="-6"/>
                <w:sz w:val="21"/>
                <w:szCs w:val="21"/>
              </w:rPr>
              <w:t>——</w:t>
            </w:r>
          </w:p>
        </w:tc>
        <w:tc>
          <w:tcPr>
            <w:tcW w:w="722" w:type="dxa"/>
            <w:vAlign w:val="center"/>
          </w:tcPr>
          <w:p w14:paraId="08715EC1"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pacing w:val="-6"/>
                <w:sz w:val="21"/>
                <w:szCs w:val="21"/>
              </w:rPr>
              <w:t>达标</w:t>
            </w:r>
          </w:p>
        </w:tc>
      </w:tr>
      <w:tr w:rsidR="005A1A44" w14:paraId="7B06FA7C" w14:textId="77777777">
        <w:trPr>
          <w:trHeight w:val="402"/>
          <w:jc w:val="center"/>
        </w:trPr>
        <w:tc>
          <w:tcPr>
            <w:tcW w:w="595" w:type="dxa"/>
            <w:vMerge/>
            <w:vAlign w:val="center"/>
          </w:tcPr>
          <w:p w14:paraId="1ED745EA" w14:textId="77777777" w:rsidR="005A1A44" w:rsidRDefault="005A1A44">
            <w:pPr>
              <w:pStyle w:val="B0"/>
              <w:spacing w:line="240" w:lineRule="auto"/>
              <w:ind w:firstLineChars="0" w:firstLine="0"/>
              <w:rPr>
                <w:rFonts w:ascii="宋体" w:eastAsia="宋体" w:hAnsi="宋体" w:hint="eastAsia"/>
                <w:sz w:val="21"/>
                <w:szCs w:val="21"/>
              </w:rPr>
            </w:pPr>
          </w:p>
        </w:tc>
        <w:tc>
          <w:tcPr>
            <w:tcW w:w="1348" w:type="dxa"/>
            <w:vMerge/>
            <w:vAlign w:val="center"/>
          </w:tcPr>
          <w:p w14:paraId="43A1E465" w14:textId="77777777" w:rsidR="005A1A44" w:rsidRDefault="005A1A44">
            <w:pPr>
              <w:pStyle w:val="B0"/>
              <w:spacing w:line="240" w:lineRule="auto"/>
              <w:ind w:firstLineChars="0" w:firstLine="0"/>
              <w:rPr>
                <w:rFonts w:ascii="宋体" w:eastAsia="宋体" w:hAnsi="宋体" w:hint="eastAsia"/>
                <w:sz w:val="21"/>
                <w:szCs w:val="21"/>
              </w:rPr>
            </w:pPr>
          </w:p>
        </w:tc>
        <w:tc>
          <w:tcPr>
            <w:tcW w:w="709" w:type="dxa"/>
            <w:vMerge w:val="restart"/>
            <w:vAlign w:val="center"/>
          </w:tcPr>
          <w:p w14:paraId="34C3DC5F"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P</w:t>
            </w:r>
            <w:r>
              <w:rPr>
                <w:rFonts w:ascii="宋体" w:eastAsia="宋体" w:hAnsi="宋体" w:hint="eastAsia"/>
                <w:bCs/>
                <w:sz w:val="21"/>
                <w:szCs w:val="21"/>
              </w:rPr>
              <w:t>M</w:t>
            </w:r>
            <w:r>
              <w:rPr>
                <w:rFonts w:ascii="宋体" w:eastAsia="宋体" w:hAnsi="宋体" w:hint="eastAsia"/>
                <w:bCs/>
                <w:sz w:val="21"/>
                <w:szCs w:val="21"/>
                <w:vertAlign w:val="subscript"/>
              </w:rPr>
              <w:t>2.5</w:t>
            </w:r>
          </w:p>
        </w:tc>
        <w:tc>
          <w:tcPr>
            <w:tcW w:w="1559" w:type="dxa"/>
            <w:vAlign w:val="center"/>
          </w:tcPr>
          <w:p w14:paraId="58E9EEA5"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年平均质量浓度</w:t>
            </w:r>
          </w:p>
        </w:tc>
        <w:tc>
          <w:tcPr>
            <w:tcW w:w="992" w:type="dxa"/>
            <w:vAlign w:val="center"/>
          </w:tcPr>
          <w:p w14:paraId="21750A62"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35</w:t>
            </w:r>
          </w:p>
        </w:tc>
        <w:tc>
          <w:tcPr>
            <w:tcW w:w="851" w:type="dxa"/>
            <w:vAlign w:val="center"/>
          </w:tcPr>
          <w:p w14:paraId="221C0E4C"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104.0</w:t>
            </w:r>
          </w:p>
        </w:tc>
        <w:tc>
          <w:tcPr>
            <w:tcW w:w="992" w:type="dxa"/>
            <w:vAlign w:val="center"/>
          </w:tcPr>
          <w:p w14:paraId="295D3208"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 xml:space="preserve">4694.29 </w:t>
            </w:r>
          </w:p>
        </w:tc>
        <w:tc>
          <w:tcPr>
            <w:tcW w:w="737" w:type="dxa"/>
            <w:vAlign w:val="center"/>
          </w:tcPr>
          <w:p w14:paraId="77552E20"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pacing w:val="-6"/>
                <w:sz w:val="21"/>
                <w:szCs w:val="21"/>
              </w:rPr>
              <w:t xml:space="preserve">77.68 </w:t>
            </w:r>
          </w:p>
        </w:tc>
        <w:tc>
          <w:tcPr>
            <w:tcW w:w="722" w:type="dxa"/>
            <w:vAlign w:val="center"/>
          </w:tcPr>
          <w:p w14:paraId="19D77DEF"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pacing w:val="-6"/>
                <w:sz w:val="21"/>
                <w:szCs w:val="21"/>
              </w:rPr>
              <w:t>超标</w:t>
            </w:r>
          </w:p>
        </w:tc>
      </w:tr>
      <w:tr w:rsidR="005A1A44" w14:paraId="7DC6034B" w14:textId="77777777">
        <w:trPr>
          <w:trHeight w:val="397"/>
          <w:jc w:val="center"/>
        </w:trPr>
        <w:tc>
          <w:tcPr>
            <w:tcW w:w="595" w:type="dxa"/>
            <w:vMerge/>
            <w:vAlign w:val="center"/>
          </w:tcPr>
          <w:p w14:paraId="55C45DE2" w14:textId="77777777" w:rsidR="005A1A44" w:rsidRDefault="005A1A44">
            <w:pPr>
              <w:pStyle w:val="B0"/>
              <w:spacing w:line="240" w:lineRule="auto"/>
              <w:ind w:firstLineChars="0" w:firstLine="0"/>
              <w:rPr>
                <w:rFonts w:ascii="宋体" w:eastAsia="宋体" w:hAnsi="宋体" w:hint="eastAsia"/>
                <w:snapToGrid w:val="0"/>
                <w:sz w:val="21"/>
                <w:szCs w:val="21"/>
              </w:rPr>
            </w:pPr>
          </w:p>
        </w:tc>
        <w:tc>
          <w:tcPr>
            <w:tcW w:w="1348" w:type="dxa"/>
            <w:vMerge/>
            <w:vAlign w:val="center"/>
          </w:tcPr>
          <w:p w14:paraId="6952843C" w14:textId="77777777" w:rsidR="005A1A44" w:rsidRDefault="005A1A44">
            <w:pPr>
              <w:pStyle w:val="B0"/>
              <w:spacing w:line="240" w:lineRule="auto"/>
              <w:ind w:firstLineChars="0" w:firstLine="0"/>
              <w:rPr>
                <w:rFonts w:ascii="宋体" w:eastAsia="宋体" w:hAnsi="宋体" w:hint="eastAsia"/>
                <w:snapToGrid w:val="0"/>
                <w:spacing w:val="-8"/>
                <w:sz w:val="21"/>
                <w:szCs w:val="21"/>
              </w:rPr>
            </w:pPr>
          </w:p>
        </w:tc>
        <w:tc>
          <w:tcPr>
            <w:tcW w:w="709" w:type="dxa"/>
            <w:vMerge/>
            <w:vAlign w:val="center"/>
          </w:tcPr>
          <w:p w14:paraId="1DA7E989" w14:textId="77777777" w:rsidR="005A1A44" w:rsidRDefault="005A1A44">
            <w:pPr>
              <w:pStyle w:val="B0"/>
              <w:spacing w:line="240" w:lineRule="auto"/>
              <w:ind w:firstLineChars="0" w:firstLine="0"/>
              <w:rPr>
                <w:rFonts w:ascii="宋体" w:eastAsia="宋体" w:hAnsi="宋体" w:hint="eastAsia"/>
                <w:sz w:val="21"/>
                <w:szCs w:val="21"/>
              </w:rPr>
            </w:pPr>
          </w:p>
        </w:tc>
        <w:tc>
          <w:tcPr>
            <w:tcW w:w="1559" w:type="dxa"/>
            <w:vAlign w:val="center"/>
          </w:tcPr>
          <w:p w14:paraId="4DB6EA49" w14:textId="77777777" w:rsidR="005A1A44" w:rsidRDefault="0008059E">
            <w:pPr>
              <w:pStyle w:val="B0"/>
              <w:spacing w:line="240" w:lineRule="auto"/>
              <w:ind w:firstLineChars="0" w:firstLine="0"/>
              <w:rPr>
                <w:rFonts w:ascii="宋体" w:eastAsia="宋体" w:hAnsi="宋体" w:hint="eastAsia"/>
                <w:snapToGrid w:val="0"/>
                <w:spacing w:val="-8"/>
                <w:sz w:val="21"/>
                <w:szCs w:val="21"/>
              </w:rPr>
            </w:pPr>
            <w:r>
              <w:rPr>
                <w:rFonts w:ascii="宋体" w:eastAsia="宋体" w:hAnsi="宋体" w:hint="eastAsia"/>
                <w:sz w:val="21"/>
                <w:szCs w:val="21"/>
              </w:rPr>
              <w:t>百分位数日平均</w:t>
            </w:r>
          </w:p>
        </w:tc>
        <w:tc>
          <w:tcPr>
            <w:tcW w:w="992" w:type="dxa"/>
            <w:vAlign w:val="center"/>
          </w:tcPr>
          <w:p w14:paraId="7D46D13A"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75</w:t>
            </w:r>
          </w:p>
        </w:tc>
        <w:tc>
          <w:tcPr>
            <w:tcW w:w="851" w:type="dxa"/>
            <w:vAlign w:val="center"/>
          </w:tcPr>
          <w:p w14:paraId="20D58EB1"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200.0</w:t>
            </w:r>
          </w:p>
        </w:tc>
        <w:tc>
          <w:tcPr>
            <w:tcW w:w="992" w:type="dxa"/>
            <w:vAlign w:val="center"/>
          </w:tcPr>
          <w:p w14:paraId="3BCFD014"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 xml:space="preserve">2190.67 </w:t>
            </w:r>
          </w:p>
        </w:tc>
        <w:tc>
          <w:tcPr>
            <w:tcW w:w="737" w:type="dxa"/>
            <w:vAlign w:val="center"/>
          </w:tcPr>
          <w:p w14:paraId="2E6E5673"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pacing w:val="-6"/>
                <w:sz w:val="21"/>
                <w:szCs w:val="21"/>
              </w:rPr>
              <w:t>31.50</w:t>
            </w:r>
          </w:p>
        </w:tc>
        <w:tc>
          <w:tcPr>
            <w:tcW w:w="722" w:type="dxa"/>
            <w:vAlign w:val="center"/>
          </w:tcPr>
          <w:p w14:paraId="59F742AE"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pacing w:val="-6"/>
                <w:sz w:val="21"/>
                <w:szCs w:val="21"/>
              </w:rPr>
              <w:t>超标</w:t>
            </w:r>
          </w:p>
        </w:tc>
      </w:tr>
      <w:tr w:rsidR="005A1A44" w14:paraId="7760330F" w14:textId="77777777">
        <w:trPr>
          <w:trHeight w:val="397"/>
          <w:jc w:val="center"/>
        </w:trPr>
        <w:tc>
          <w:tcPr>
            <w:tcW w:w="595" w:type="dxa"/>
            <w:vMerge/>
            <w:vAlign w:val="center"/>
          </w:tcPr>
          <w:p w14:paraId="30795EA4" w14:textId="77777777" w:rsidR="005A1A44" w:rsidRDefault="005A1A44">
            <w:pPr>
              <w:pStyle w:val="B0"/>
              <w:spacing w:line="240" w:lineRule="auto"/>
              <w:ind w:firstLineChars="0" w:firstLine="0"/>
              <w:rPr>
                <w:rFonts w:ascii="宋体" w:eastAsia="宋体" w:hAnsi="宋体" w:hint="eastAsia"/>
                <w:sz w:val="21"/>
                <w:szCs w:val="21"/>
              </w:rPr>
            </w:pPr>
          </w:p>
        </w:tc>
        <w:tc>
          <w:tcPr>
            <w:tcW w:w="1348" w:type="dxa"/>
            <w:vMerge/>
            <w:vAlign w:val="center"/>
          </w:tcPr>
          <w:p w14:paraId="3B307FF0" w14:textId="77777777" w:rsidR="005A1A44" w:rsidRDefault="005A1A44">
            <w:pPr>
              <w:pStyle w:val="B0"/>
              <w:spacing w:line="240" w:lineRule="auto"/>
              <w:ind w:firstLineChars="0" w:firstLine="0"/>
              <w:rPr>
                <w:rFonts w:ascii="宋体" w:eastAsia="宋体" w:hAnsi="宋体" w:hint="eastAsia"/>
                <w:sz w:val="21"/>
                <w:szCs w:val="21"/>
              </w:rPr>
            </w:pPr>
          </w:p>
        </w:tc>
        <w:tc>
          <w:tcPr>
            <w:tcW w:w="709" w:type="dxa"/>
            <w:vMerge w:val="restart"/>
            <w:vAlign w:val="center"/>
          </w:tcPr>
          <w:p w14:paraId="4EA8E32B"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P</w:t>
            </w:r>
            <w:r>
              <w:rPr>
                <w:rFonts w:ascii="宋体" w:eastAsia="宋体" w:hAnsi="宋体" w:hint="eastAsia"/>
                <w:bCs/>
                <w:sz w:val="21"/>
                <w:szCs w:val="21"/>
              </w:rPr>
              <w:t>M</w:t>
            </w:r>
            <w:r>
              <w:rPr>
                <w:rFonts w:ascii="宋体" w:eastAsia="宋体" w:hAnsi="宋体" w:hint="eastAsia"/>
                <w:bCs/>
                <w:sz w:val="21"/>
                <w:szCs w:val="21"/>
                <w:vertAlign w:val="subscript"/>
              </w:rPr>
              <w:t>10</w:t>
            </w:r>
          </w:p>
        </w:tc>
        <w:tc>
          <w:tcPr>
            <w:tcW w:w="1559" w:type="dxa"/>
            <w:vAlign w:val="center"/>
          </w:tcPr>
          <w:p w14:paraId="401FBF50"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年平均质量浓度</w:t>
            </w:r>
          </w:p>
        </w:tc>
        <w:tc>
          <w:tcPr>
            <w:tcW w:w="992" w:type="dxa"/>
            <w:vAlign w:val="center"/>
          </w:tcPr>
          <w:p w14:paraId="1CFB3FF9"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70</w:t>
            </w:r>
          </w:p>
        </w:tc>
        <w:tc>
          <w:tcPr>
            <w:tcW w:w="851" w:type="dxa"/>
            <w:vAlign w:val="center"/>
          </w:tcPr>
          <w:p w14:paraId="6DD1FA1D"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486.0</w:t>
            </w:r>
          </w:p>
        </w:tc>
        <w:tc>
          <w:tcPr>
            <w:tcW w:w="992" w:type="dxa"/>
            <w:vAlign w:val="center"/>
          </w:tcPr>
          <w:p w14:paraId="2B750F64"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 xml:space="preserve">6505.71 </w:t>
            </w:r>
          </w:p>
        </w:tc>
        <w:tc>
          <w:tcPr>
            <w:tcW w:w="737" w:type="dxa"/>
            <w:vAlign w:val="center"/>
          </w:tcPr>
          <w:p w14:paraId="44DC35B0"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pacing w:val="-6"/>
                <w:sz w:val="21"/>
                <w:szCs w:val="21"/>
              </w:rPr>
              <w:t>99.08</w:t>
            </w:r>
          </w:p>
        </w:tc>
        <w:tc>
          <w:tcPr>
            <w:tcW w:w="722" w:type="dxa"/>
            <w:vAlign w:val="center"/>
          </w:tcPr>
          <w:p w14:paraId="4F0469EB"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pacing w:val="-6"/>
                <w:sz w:val="21"/>
                <w:szCs w:val="21"/>
              </w:rPr>
              <w:t>超标</w:t>
            </w:r>
          </w:p>
        </w:tc>
      </w:tr>
      <w:tr w:rsidR="005A1A44" w14:paraId="3A6D56C8" w14:textId="77777777">
        <w:trPr>
          <w:trHeight w:val="374"/>
          <w:jc w:val="center"/>
        </w:trPr>
        <w:tc>
          <w:tcPr>
            <w:tcW w:w="595" w:type="dxa"/>
            <w:vMerge/>
            <w:vAlign w:val="center"/>
          </w:tcPr>
          <w:p w14:paraId="4093CCB9" w14:textId="77777777" w:rsidR="005A1A44" w:rsidRDefault="005A1A44">
            <w:pPr>
              <w:pStyle w:val="B0"/>
              <w:spacing w:line="240" w:lineRule="auto"/>
              <w:ind w:firstLineChars="0" w:firstLine="0"/>
              <w:rPr>
                <w:rFonts w:ascii="宋体" w:eastAsia="宋体" w:hAnsi="宋体" w:hint="eastAsia"/>
                <w:snapToGrid w:val="0"/>
                <w:sz w:val="21"/>
                <w:szCs w:val="21"/>
              </w:rPr>
            </w:pPr>
          </w:p>
        </w:tc>
        <w:tc>
          <w:tcPr>
            <w:tcW w:w="1348" w:type="dxa"/>
            <w:vMerge/>
            <w:vAlign w:val="center"/>
          </w:tcPr>
          <w:p w14:paraId="01219BDE" w14:textId="77777777" w:rsidR="005A1A44" w:rsidRDefault="005A1A44">
            <w:pPr>
              <w:pStyle w:val="B0"/>
              <w:spacing w:line="240" w:lineRule="auto"/>
              <w:ind w:firstLineChars="0" w:firstLine="0"/>
              <w:rPr>
                <w:rFonts w:ascii="宋体" w:eastAsia="宋体" w:hAnsi="宋体" w:hint="eastAsia"/>
                <w:snapToGrid w:val="0"/>
                <w:spacing w:val="-8"/>
                <w:sz w:val="21"/>
                <w:szCs w:val="21"/>
              </w:rPr>
            </w:pPr>
          </w:p>
        </w:tc>
        <w:tc>
          <w:tcPr>
            <w:tcW w:w="709" w:type="dxa"/>
            <w:vMerge/>
            <w:vAlign w:val="center"/>
          </w:tcPr>
          <w:p w14:paraId="01655225" w14:textId="77777777" w:rsidR="005A1A44" w:rsidRDefault="005A1A44">
            <w:pPr>
              <w:pStyle w:val="B0"/>
              <w:spacing w:line="240" w:lineRule="auto"/>
              <w:ind w:firstLineChars="0" w:firstLine="0"/>
              <w:rPr>
                <w:rFonts w:ascii="宋体" w:eastAsia="宋体" w:hAnsi="宋体" w:hint="eastAsia"/>
                <w:sz w:val="21"/>
                <w:szCs w:val="21"/>
              </w:rPr>
            </w:pPr>
          </w:p>
        </w:tc>
        <w:tc>
          <w:tcPr>
            <w:tcW w:w="1559" w:type="dxa"/>
            <w:vAlign w:val="center"/>
          </w:tcPr>
          <w:p w14:paraId="270CF54A" w14:textId="77777777" w:rsidR="005A1A44" w:rsidRDefault="0008059E">
            <w:pPr>
              <w:pStyle w:val="B0"/>
              <w:spacing w:line="240" w:lineRule="auto"/>
              <w:ind w:firstLineChars="0" w:firstLine="0"/>
              <w:rPr>
                <w:rFonts w:ascii="宋体" w:eastAsia="宋体" w:hAnsi="宋体" w:hint="eastAsia"/>
                <w:snapToGrid w:val="0"/>
                <w:spacing w:val="-8"/>
                <w:sz w:val="21"/>
                <w:szCs w:val="21"/>
              </w:rPr>
            </w:pPr>
            <w:r>
              <w:rPr>
                <w:rFonts w:ascii="宋体" w:eastAsia="宋体" w:hAnsi="宋体" w:hint="eastAsia"/>
                <w:sz w:val="21"/>
                <w:szCs w:val="21"/>
              </w:rPr>
              <w:t>百分位数日平均</w:t>
            </w:r>
          </w:p>
        </w:tc>
        <w:tc>
          <w:tcPr>
            <w:tcW w:w="992" w:type="dxa"/>
            <w:vAlign w:val="center"/>
          </w:tcPr>
          <w:p w14:paraId="372ADE6D"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150</w:t>
            </w:r>
          </w:p>
        </w:tc>
        <w:tc>
          <w:tcPr>
            <w:tcW w:w="851" w:type="dxa"/>
            <w:vAlign w:val="center"/>
          </w:tcPr>
          <w:p w14:paraId="02A3D22E"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882.0</w:t>
            </w:r>
          </w:p>
        </w:tc>
        <w:tc>
          <w:tcPr>
            <w:tcW w:w="992" w:type="dxa"/>
            <w:vAlign w:val="center"/>
          </w:tcPr>
          <w:p w14:paraId="61C2F0F2"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 xml:space="preserve">3036.00 </w:t>
            </w:r>
          </w:p>
        </w:tc>
        <w:tc>
          <w:tcPr>
            <w:tcW w:w="737" w:type="dxa"/>
            <w:vAlign w:val="center"/>
          </w:tcPr>
          <w:p w14:paraId="0EA263A3"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pacing w:val="-6"/>
                <w:sz w:val="21"/>
                <w:szCs w:val="21"/>
              </w:rPr>
              <w:t>86.46</w:t>
            </w:r>
          </w:p>
        </w:tc>
        <w:tc>
          <w:tcPr>
            <w:tcW w:w="722" w:type="dxa"/>
            <w:vAlign w:val="center"/>
          </w:tcPr>
          <w:p w14:paraId="06D52807"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pacing w:val="-6"/>
                <w:sz w:val="21"/>
                <w:szCs w:val="21"/>
              </w:rPr>
              <w:t>超标</w:t>
            </w:r>
          </w:p>
        </w:tc>
      </w:tr>
      <w:tr w:rsidR="005A1A44" w14:paraId="0F4E121A" w14:textId="77777777">
        <w:trPr>
          <w:trHeight w:val="397"/>
          <w:jc w:val="center"/>
        </w:trPr>
        <w:tc>
          <w:tcPr>
            <w:tcW w:w="595" w:type="dxa"/>
            <w:vMerge/>
            <w:vAlign w:val="center"/>
          </w:tcPr>
          <w:p w14:paraId="0FA70004" w14:textId="77777777" w:rsidR="005A1A44" w:rsidRDefault="005A1A44">
            <w:pPr>
              <w:pStyle w:val="B0"/>
              <w:spacing w:line="240" w:lineRule="auto"/>
              <w:ind w:firstLineChars="0" w:firstLine="0"/>
              <w:rPr>
                <w:rFonts w:ascii="宋体" w:eastAsia="宋体" w:hAnsi="宋体" w:hint="eastAsia"/>
                <w:sz w:val="21"/>
                <w:szCs w:val="21"/>
              </w:rPr>
            </w:pPr>
          </w:p>
        </w:tc>
        <w:tc>
          <w:tcPr>
            <w:tcW w:w="1348" w:type="dxa"/>
            <w:vMerge/>
            <w:vAlign w:val="center"/>
          </w:tcPr>
          <w:p w14:paraId="14B84643" w14:textId="77777777" w:rsidR="005A1A44" w:rsidRDefault="005A1A44">
            <w:pPr>
              <w:pStyle w:val="B0"/>
              <w:spacing w:line="240" w:lineRule="auto"/>
              <w:ind w:firstLineChars="0" w:firstLine="0"/>
              <w:rPr>
                <w:rFonts w:ascii="宋体" w:eastAsia="宋体" w:hAnsi="宋体" w:hint="eastAsia"/>
                <w:sz w:val="21"/>
                <w:szCs w:val="21"/>
              </w:rPr>
            </w:pPr>
          </w:p>
        </w:tc>
        <w:tc>
          <w:tcPr>
            <w:tcW w:w="709" w:type="dxa"/>
            <w:vAlign w:val="center"/>
          </w:tcPr>
          <w:p w14:paraId="7C6C43A4"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O</w:t>
            </w:r>
            <w:r>
              <w:rPr>
                <w:rFonts w:ascii="宋体" w:eastAsia="宋体" w:hAnsi="宋体" w:hint="eastAsia"/>
                <w:sz w:val="21"/>
                <w:szCs w:val="21"/>
                <w:vertAlign w:val="subscript"/>
              </w:rPr>
              <w:t>3</w:t>
            </w:r>
          </w:p>
        </w:tc>
        <w:tc>
          <w:tcPr>
            <w:tcW w:w="1559" w:type="dxa"/>
            <w:vAlign w:val="center"/>
          </w:tcPr>
          <w:p w14:paraId="606BD978"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百分位数日平均</w:t>
            </w:r>
          </w:p>
        </w:tc>
        <w:tc>
          <w:tcPr>
            <w:tcW w:w="992" w:type="dxa"/>
            <w:vAlign w:val="center"/>
          </w:tcPr>
          <w:p w14:paraId="2482CA34"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160</w:t>
            </w:r>
          </w:p>
        </w:tc>
        <w:tc>
          <w:tcPr>
            <w:tcW w:w="851" w:type="dxa"/>
            <w:vAlign w:val="center"/>
          </w:tcPr>
          <w:p w14:paraId="4893FF29"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114.0</w:t>
            </w:r>
          </w:p>
        </w:tc>
        <w:tc>
          <w:tcPr>
            <w:tcW w:w="992" w:type="dxa"/>
            <w:vAlign w:val="center"/>
          </w:tcPr>
          <w:p w14:paraId="70B0B2AA"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98.75</w:t>
            </w:r>
          </w:p>
        </w:tc>
        <w:tc>
          <w:tcPr>
            <w:tcW w:w="737" w:type="dxa"/>
            <w:vAlign w:val="center"/>
          </w:tcPr>
          <w:p w14:paraId="45C31DBE"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pacing w:val="-6"/>
                <w:sz w:val="21"/>
                <w:szCs w:val="21"/>
              </w:rPr>
              <w:t>——</w:t>
            </w:r>
          </w:p>
        </w:tc>
        <w:tc>
          <w:tcPr>
            <w:tcW w:w="722" w:type="dxa"/>
            <w:vAlign w:val="center"/>
          </w:tcPr>
          <w:p w14:paraId="6958D0C5"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pacing w:val="-6"/>
                <w:sz w:val="21"/>
                <w:szCs w:val="21"/>
              </w:rPr>
              <w:t>达标</w:t>
            </w:r>
          </w:p>
        </w:tc>
      </w:tr>
      <w:tr w:rsidR="005A1A44" w14:paraId="7C8CEE7D" w14:textId="77777777">
        <w:trPr>
          <w:trHeight w:val="397"/>
          <w:jc w:val="center"/>
        </w:trPr>
        <w:tc>
          <w:tcPr>
            <w:tcW w:w="595" w:type="dxa"/>
            <w:vMerge/>
            <w:vAlign w:val="center"/>
          </w:tcPr>
          <w:p w14:paraId="41191E93" w14:textId="77777777" w:rsidR="005A1A44" w:rsidRDefault="005A1A44">
            <w:pPr>
              <w:pStyle w:val="B0"/>
              <w:spacing w:line="240" w:lineRule="auto"/>
              <w:ind w:firstLineChars="0" w:firstLine="0"/>
              <w:rPr>
                <w:rFonts w:ascii="宋体" w:eastAsia="宋体" w:hAnsi="宋体" w:hint="eastAsia"/>
                <w:sz w:val="21"/>
                <w:szCs w:val="21"/>
              </w:rPr>
            </w:pPr>
          </w:p>
        </w:tc>
        <w:tc>
          <w:tcPr>
            <w:tcW w:w="1348" w:type="dxa"/>
            <w:vMerge/>
            <w:vAlign w:val="center"/>
          </w:tcPr>
          <w:p w14:paraId="7BB6D0E7" w14:textId="77777777" w:rsidR="005A1A44" w:rsidRDefault="005A1A44">
            <w:pPr>
              <w:pStyle w:val="B0"/>
              <w:spacing w:line="240" w:lineRule="auto"/>
              <w:ind w:firstLineChars="0" w:firstLine="0"/>
              <w:rPr>
                <w:rFonts w:ascii="宋体" w:eastAsia="宋体" w:hAnsi="宋体" w:hint="eastAsia"/>
                <w:sz w:val="21"/>
                <w:szCs w:val="21"/>
              </w:rPr>
            </w:pPr>
          </w:p>
        </w:tc>
        <w:tc>
          <w:tcPr>
            <w:tcW w:w="709" w:type="dxa"/>
            <w:vMerge w:val="restart"/>
            <w:vAlign w:val="center"/>
          </w:tcPr>
          <w:p w14:paraId="2F793683"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SO</w:t>
            </w:r>
            <w:r>
              <w:rPr>
                <w:rFonts w:ascii="宋体" w:eastAsia="宋体" w:hAnsi="宋体" w:hint="eastAsia"/>
                <w:sz w:val="21"/>
                <w:szCs w:val="21"/>
                <w:vertAlign w:val="subscript"/>
              </w:rPr>
              <w:t>2</w:t>
            </w:r>
          </w:p>
        </w:tc>
        <w:tc>
          <w:tcPr>
            <w:tcW w:w="1559" w:type="dxa"/>
            <w:vAlign w:val="center"/>
          </w:tcPr>
          <w:p w14:paraId="582D1E86"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年平均质量浓度</w:t>
            </w:r>
          </w:p>
        </w:tc>
        <w:tc>
          <w:tcPr>
            <w:tcW w:w="992" w:type="dxa"/>
            <w:vAlign w:val="center"/>
          </w:tcPr>
          <w:p w14:paraId="55F8D9D6"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60</w:t>
            </w:r>
          </w:p>
        </w:tc>
        <w:tc>
          <w:tcPr>
            <w:tcW w:w="851" w:type="dxa"/>
            <w:vAlign w:val="center"/>
          </w:tcPr>
          <w:p w14:paraId="46C9DACE"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18.0</w:t>
            </w:r>
          </w:p>
        </w:tc>
        <w:tc>
          <w:tcPr>
            <w:tcW w:w="992" w:type="dxa"/>
            <w:vAlign w:val="center"/>
          </w:tcPr>
          <w:p w14:paraId="48DBF889"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 xml:space="preserve">131.67 </w:t>
            </w:r>
          </w:p>
        </w:tc>
        <w:tc>
          <w:tcPr>
            <w:tcW w:w="737" w:type="dxa"/>
            <w:vAlign w:val="center"/>
          </w:tcPr>
          <w:p w14:paraId="39DA8898"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pacing w:val="-6"/>
                <w:sz w:val="21"/>
                <w:szCs w:val="21"/>
              </w:rPr>
              <w:t>0</w:t>
            </w:r>
          </w:p>
        </w:tc>
        <w:tc>
          <w:tcPr>
            <w:tcW w:w="722" w:type="dxa"/>
            <w:vAlign w:val="center"/>
          </w:tcPr>
          <w:p w14:paraId="0FB70D7B"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pacing w:val="-6"/>
                <w:sz w:val="21"/>
                <w:szCs w:val="21"/>
              </w:rPr>
              <w:t>达标</w:t>
            </w:r>
          </w:p>
        </w:tc>
      </w:tr>
      <w:tr w:rsidR="005A1A44" w14:paraId="1AD51D71" w14:textId="77777777">
        <w:trPr>
          <w:trHeight w:val="397"/>
          <w:jc w:val="center"/>
        </w:trPr>
        <w:tc>
          <w:tcPr>
            <w:tcW w:w="595" w:type="dxa"/>
            <w:vMerge/>
            <w:vAlign w:val="center"/>
          </w:tcPr>
          <w:p w14:paraId="45A62433" w14:textId="77777777" w:rsidR="005A1A44" w:rsidRDefault="005A1A44">
            <w:pPr>
              <w:pStyle w:val="B0"/>
              <w:spacing w:line="240" w:lineRule="auto"/>
              <w:ind w:firstLineChars="0" w:firstLine="0"/>
              <w:rPr>
                <w:rFonts w:ascii="宋体" w:eastAsia="宋体" w:hAnsi="宋体" w:hint="eastAsia"/>
                <w:snapToGrid w:val="0"/>
                <w:sz w:val="21"/>
                <w:szCs w:val="21"/>
              </w:rPr>
            </w:pPr>
          </w:p>
        </w:tc>
        <w:tc>
          <w:tcPr>
            <w:tcW w:w="1348" w:type="dxa"/>
            <w:vMerge/>
            <w:vAlign w:val="center"/>
          </w:tcPr>
          <w:p w14:paraId="11C79CDC" w14:textId="77777777" w:rsidR="005A1A44" w:rsidRDefault="005A1A44">
            <w:pPr>
              <w:pStyle w:val="B0"/>
              <w:spacing w:line="240" w:lineRule="auto"/>
              <w:ind w:firstLineChars="0" w:firstLine="0"/>
              <w:rPr>
                <w:rFonts w:ascii="宋体" w:eastAsia="宋体" w:hAnsi="宋体" w:hint="eastAsia"/>
                <w:snapToGrid w:val="0"/>
                <w:spacing w:val="-8"/>
                <w:sz w:val="21"/>
                <w:szCs w:val="21"/>
              </w:rPr>
            </w:pPr>
          </w:p>
        </w:tc>
        <w:tc>
          <w:tcPr>
            <w:tcW w:w="709" w:type="dxa"/>
            <w:vMerge/>
            <w:vAlign w:val="center"/>
          </w:tcPr>
          <w:p w14:paraId="31D95FB7" w14:textId="77777777" w:rsidR="005A1A44" w:rsidRDefault="005A1A44">
            <w:pPr>
              <w:pStyle w:val="B0"/>
              <w:spacing w:line="240" w:lineRule="auto"/>
              <w:ind w:firstLineChars="0" w:firstLine="0"/>
              <w:rPr>
                <w:rFonts w:ascii="宋体" w:eastAsia="宋体" w:hAnsi="宋体" w:hint="eastAsia"/>
                <w:sz w:val="21"/>
                <w:szCs w:val="21"/>
              </w:rPr>
            </w:pPr>
          </w:p>
        </w:tc>
        <w:tc>
          <w:tcPr>
            <w:tcW w:w="1559" w:type="dxa"/>
            <w:vAlign w:val="center"/>
          </w:tcPr>
          <w:p w14:paraId="7B39C75E" w14:textId="77777777" w:rsidR="005A1A44" w:rsidRDefault="0008059E">
            <w:pPr>
              <w:pStyle w:val="B0"/>
              <w:spacing w:line="240" w:lineRule="auto"/>
              <w:ind w:firstLineChars="0" w:firstLine="0"/>
              <w:rPr>
                <w:rFonts w:ascii="宋体" w:eastAsia="宋体" w:hAnsi="宋体" w:hint="eastAsia"/>
                <w:snapToGrid w:val="0"/>
                <w:spacing w:val="-8"/>
                <w:sz w:val="21"/>
                <w:szCs w:val="21"/>
              </w:rPr>
            </w:pPr>
            <w:r>
              <w:rPr>
                <w:rFonts w:ascii="宋体" w:eastAsia="宋体" w:hAnsi="宋体" w:hint="eastAsia"/>
                <w:sz w:val="21"/>
                <w:szCs w:val="21"/>
              </w:rPr>
              <w:t>百分位数日平均</w:t>
            </w:r>
          </w:p>
        </w:tc>
        <w:tc>
          <w:tcPr>
            <w:tcW w:w="992" w:type="dxa"/>
            <w:vAlign w:val="center"/>
          </w:tcPr>
          <w:p w14:paraId="72A263D2"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150</w:t>
            </w:r>
          </w:p>
        </w:tc>
        <w:tc>
          <w:tcPr>
            <w:tcW w:w="851" w:type="dxa"/>
            <w:vAlign w:val="center"/>
          </w:tcPr>
          <w:p w14:paraId="5ADC6719"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34.0</w:t>
            </w:r>
          </w:p>
        </w:tc>
        <w:tc>
          <w:tcPr>
            <w:tcW w:w="992" w:type="dxa"/>
            <w:vAlign w:val="center"/>
          </w:tcPr>
          <w:p w14:paraId="546C1501" w14:textId="77777777" w:rsidR="005A1A44" w:rsidRDefault="0008059E">
            <w:pPr>
              <w:pStyle w:val="B0"/>
              <w:spacing w:line="240" w:lineRule="auto"/>
              <w:ind w:firstLineChars="0" w:firstLine="0"/>
              <w:rPr>
                <w:rFonts w:ascii="宋体" w:eastAsia="宋体" w:hAnsi="宋体" w:hint="eastAsia"/>
                <w:sz w:val="21"/>
                <w:szCs w:val="21"/>
              </w:rPr>
            </w:pPr>
            <w:r>
              <w:rPr>
                <w:rFonts w:ascii="宋体" w:eastAsia="宋体" w:hAnsi="宋体" w:hint="eastAsia"/>
                <w:sz w:val="21"/>
                <w:szCs w:val="21"/>
              </w:rPr>
              <w:t xml:space="preserve">52.67 </w:t>
            </w:r>
          </w:p>
        </w:tc>
        <w:tc>
          <w:tcPr>
            <w:tcW w:w="737" w:type="dxa"/>
            <w:vAlign w:val="center"/>
          </w:tcPr>
          <w:p w14:paraId="516EA8EB"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pacing w:val="-6"/>
                <w:sz w:val="21"/>
                <w:szCs w:val="21"/>
              </w:rPr>
              <w:t>——</w:t>
            </w:r>
          </w:p>
        </w:tc>
        <w:tc>
          <w:tcPr>
            <w:tcW w:w="722" w:type="dxa"/>
            <w:vAlign w:val="center"/>
          </w:tcPr>
          <w:p w14:paraId="1D532C3F" w14:textId="77777777" w:rsidR="005A1A44" w:rsidRDefault="0008059E">
            <w:pPr>
              <w:pStyle w:val="B0"/>
              <w:spacing w:line="240" w:lineRule="auto"/>
              <w:ind w:firstLineChars="0" w:firstLine="0"/>
              <w:rPr>
                <w:rFonts w:ascii="宋体" w:eastAsia="宋体" w:hAnsi="宋体" w:hint="eastAsia"/>
                <w:snapToGrid w:val="0"/>
                <w:spacing w:val="-6"/>
                <w:sz w:val="21"/>
                <w:szCs w:val="21"/>
              </w:rPr>
            </w:pPr>
            <w:r>
              <w:rPr>
                <w:rFonts w:ascii="宋体" w:eastAsia="宋体" w:hAnsi="宋体" w:hint="eastAsia"/>
                <w:snapToGrid w:val="0"/>
                <w:spacing w:val="-6"/>
                <w:sz w:val="21"/>
                <w:szCs w:val="21"/>
              </w:rPr>
              <w:t>达标</w:t>
            </w:r>
          </w:p>
        </w:tc>
      </w:tr>
    </w:tbl>
    <w:p w14:paraId="7CD7467F" w14:textId="77777777" w:rsidR="005A1A44" w:rsidRDefault="0008059E">
      <w:pPr>
        <w:ind w:firstLine="480"/>
      </w:pPr>
      <w:r>
        <w:t>从表</w:t>
      </w:r>
      <w:r>
        <w:rPr>
          <w:rFonts w:hint="eastAsia"/>
        </w:rPr>
        <w:t>4.2-4</w:t>
      </w:r>
      <w:r>
        <w:t>可以看出，</w:t>
      </w:r>
      <w:r>
        <w:rPr>
          <w:rFonts w:hint="eastAsia"/>
        </w:rPr>
        <w:t>本项目所在区域为不达标区，评价区域监测点环境空气质量指标</w:t>
      </w:r>
      <w:r>
        <w:rPr>
          <w:rFonts w:hint="eastAsia"/>
        </w:rPr>
        <w:t>CO</w:t>
      </w:r>
      <w:r>
        <w:rPr>
          <w:rFonts w:hint="eastAsia"/>
        </w:rPr>
        <w:t>、</w:t>
      </w:r>
      <w:r>
        <w:rPr>
          <w:rFonts w:hint="eastAsia"/>
        </w:rPr>
        <w:t>SO2</w:t>
      </w:r>
      <w:r>
        <w:rPr>
          <w:rFonts w:hint="eastAsia"/>
        </w:rPr>
        <w:t>、</w:t>
      </w:r>
      <w:r>
        <w:rPr>
          <w:rFonts w:hint="eastAsia"/>
        </w:rPr>
        <w:t>O3</w:t>
      </w:r>
      <w:r>
        <w:rPr>
          <w:rFonts w:hint="eastAsia"/>
        </w:rPr>
        <w:t>、</w:t>
      </w:r>
      <w:r>
        <w:rPr>
          <w:rFonts w:hint="eastAsia"/>
        </w:rPr>
        <w:t>NO2</w:t>
      </w:r>
      <w:r>
        <w:rPr>
          <w:rFonts w:hint="eastAsia"/>
        </w:rPr>
        <w:t>符合《环境空气质量标准》（</w:t>
      </w:r>
      <w:r>
        <w:rPr>
          <w:rFonts w:hint="eastAsia"/>
        </w:rPr>
        <w:t>GB3095-2012</w:t>
      </w:r>
      <w:r>
        <w:rPr>
          <w:rFonts w:hint="eastAsia"/>
        </w:rPr>
        <w:t>）的二级标准，</w:t>
      </w:r>
      <w:r>
        <w:rPr>
          <w:rFonts w:hint="eastAsia"/>
        </w:rPr>
        <w:t>PM10</w:t>
      </w:r>
      <w:r>
        <w:rPr>
          <w:rFonts w:hint="eastAsia"/>
        </w:rPr>
        <w:t>、</w:t>
      </w:r>
      <w:r>
        <w:rPr>
          <w:rFonts w:hint="eastAsia"/>
        </w:rPr>
        <w:t>PM2.5</w:t>
      </w:r>
      <w:r>
        <w:rPr>
          <w:rFonts w:hint="eastAsia"/>
        </w:rPr>
        <w:t>超标。其中，</w:t>
      </w:r>
      <w:r>
        <w:rPr>
          <w:rFonts w:hint="eastAsia"/>
        </w:rPr>
        <w:t>PM10</w:t>
      </w:r>
      <w:r>
        <w:rPr>
          <w:rFonts w:hint="eastAsia"/>
        </w:rPr>
        <w:t>第</w:t>
      </w:r>
      <w:r>
        <w:rPr>
          <w:rFonts w:hint="eastAsia"/>
        </w:rPr>
        <w:t>90</w:t>
      </w:r>
      <w:r>
        <w:rPr>
          <w:rFonts w:hint="eastAsia"/>
        </w:rPr>
        <w:t>百分位数日平均浓度超标倍数为</w:t>
      </w:r>
      <w:r>
        <w:rPr>
          <w:rFonts w:hint="eastAsia"/>
        </w:rPr>
        <w:t>488</w:t>
      </w:r>
      <w:r>
        <w:rPr>
          <w:rFonts w:hint="eastAsia"/>
        </w:rPr>
        <w:t>倍，超标率为</w:t>
      </w:r>
      <w:r>
        <w:rPr>
          <w:rFonts w:hint="eastAsia"/>
        </w:rPr>
        <w:t>86.46%</w:t>
      </w:r>
      <w:r>
        <w:rPr>
          <w:rFonts w:hint="eastAsia"/>
        </w:rPr>
        <w:t>，</w:t>
      </w:r>
      <w:r>
        <w:rPr>
          <w:rFonts w:hint="eastAsia"/>
        </w:rPr>
        <w:t>PM10</w:t>
      </w:r>
      <w:r>
        <w:rPr>
          <w:rFonts w:hint="eastAsia"/>
        </w:rPr>
        <w:t>年平均质量浓度超标倍数为</w:t>
      </w:r>
      <w:r>
        <w:rPr>
          <w:rFonts w:hint="eastAsia"/>
        </w:rPr>
        <w:t>594.29</w:t>
      </w:r>
      <w:r>
        <w:rPr>
          <w:rFonts w:hint="eastAsia"/>
        </w:rPr>
        <w:t>倍，超标率为</w:t>
      </w:r>
      <w:r>
        <w:rPr>
          <w:rFonts w:hint="eastAsia"/>
        </w:rPr>
        <w:t>99.08%</w:t>
      </w:r>
      <w:r>
        <w:rPr>
          <w:rFonts w:hint="eastAsia"/>
        </w:rPr>
        <w:t>；</w:t>
      </w:r>
      <w:r>
        <w:rPr>
          <w:rFonts w:hint="eastAsia"/>
        </w:rPr>
        <w:t>PM</w:t>
      </w:r>
      <w:r>
        <w:rPr>
          <w:rFonts w:hint="eastAsia"/>
          <w:vertAlign w:val="subscript"/>
        </w:rPr>
        <w:t>2.5</w:t>
      </w:r>
      <w:r>
        <w:rPr>
          <w:rFonts w:hint="eastAsia"/>
        </w:rPr>
        <w:t>第</w:t>
      </w:r>
      <w:r>
        <w:rPr>
          <w:rFonts w:hint="eastAsia"/>
        </w:rPr>
        <w:t>90</w:t>
      </w:r>
      <w:r>
        <w:rPr>
          <w:rFonts w:hint="eastAsia"/>
        </w:rPr>
        <w:t>百分位数日平均浓度超标倍数为</w:t>
      </w:r>
      <w:r>
        <w:rPr>
          <w:rFonts w:hint="eastAsia"/>
        </w:rPr>
        <w:t>166.67</w:t>
      </w:r>
      <w:r>
        <w:rPr>
          <w:rFonts w:hint="eastAsia"/>
        </w:rPr>
        <w:t>倍，超标率为</w:t>
      </w:r>
      <w:r>
        <w:rPr>
          <w:rFonts w:hint="eastAsia"/>
        </w:rPr>
        <w:t>31.5%</w:t>
      </w:r>
      <w:r>
        <w:rPr>
          <w:rFonts w:hint="eastAsia"/>
        </w:rPr>
        <w:t>，</w:t>
      </w:r>
      <w:r>
        <w:rPr>
          <w:rFonts w:hint="eastAsia"/>
        </w:rPr>
        <w:t>PM</w:t>
      </w:r>
      <w:r>
        <w:rPr>
          <w:rFonts w:hint="eastAsia"/>
          <w:vertAlign w:val="subscript"/>
        </w:rPr>
        <w:t>2.5</w:t>
      </w:r>
      <w:r>
        <w:rPr>
          <w:rFonts w:hint="eastAsia"/>
        </w:rPr>
        <w:t>年平均质量浓度超标倍数为</w:t>
      </w:r>
      <w:r>
        <w:rPr>
          <w:rFonts w:hint="eastAsia"/>
        </w:rPr>
        <w:t>197.14</w:t>
      </w:r>
      <w:r>
        <w:rPr>
          <w:rFonts w:hint="eastAsia"/>
        </w:rPr>
        <w:t>倍，超标率为</w:t>
      </w:r>
      <w:r>
        <w:rPr>
          <w:rFonts w:hint="eastAsia"/>
        </w:rPr>
        <w:t>77.86%</w:t>
      </w:r>
      <w:r>
        <w:rPr>
          <w:rFonts w:hint="eastAsia"/>
        </w:rPr>
        <w:t>。</w:t>
      </w:r>
    </w:p>
    <w:p w14:paraId="69B87D28" w14:textId="77777777" w:rsidR="005A1A44" w:rsidRDefault="0008059E">
      <w:pPr>
        <w:ind w:firstLine="480"/>
      </w:pPr>
      <w:r>
        <w:t>工程所在区域</w:t>
      </w:r>
      <w:r>
        <w:t>PM</w:t>
      </w:r>
      <w:r>
        <w:rPr>
          <w:vertAlign w:val="subscript"/>
        </w:rPr>
        <w:t>10</w:t>
      </w:r>
      <w:r>
        <w:rPr>
          <w:rFonts w:hint="eastAsia"/>
        </w:rPr>
        <w:t>、</w:t>
      </w:r>
      <w:r>
        <w:t>PM</w:t>
      </w:r>
      <w:r>
        <w:rPr>
          <w:rFonts w:hint="eastAsia"/>
        </w:rPr>
        <w:t>2.5</w:t>
      </w:r>
      <w:r>
        <w:t>年平均浓度均超过《环境空气质量标准》</w:t>
      </w:r>
      <w:r>
        <w:rPr>
          <w:rFonts w:hint="eastAsia"/>
        </w:rPr>
        <w:t>（</w:t>
      </w:r>
      <w:r>
        <w:t>GB3095-2012</w:t>
      </w:r>
      <w:r>
        <w:rPr>
          <w:rFonts w:hint="eastAsia"/>
        </w:rPr>
        <w:t>）</w:t>
      </w:r>
      <w:r>
        <w:t>的二级标准要求</w:t>
      </w:r>
      <w:r>
        <w:rPr>
          <w:rFonts w:hint="eastAsia"/>
        </w:rPr>
        <w:t>；其余指标均</w:t>
      </w:r>
      <w:r>
        <w:t>满足《环境空气质量标准》</w:t>
      </w:r>
      <w:r>
        <w:rPr>
          <w:rFonts w:hint="eastAsia"/>
        </w:rPr>
        <w:t>（</w:t>
      </w:r>
      <w:r>
        <w:t>GB3095-2012</w:t>
      </w:r>
      <w:r>
        <w:rPr>
          <w:rFonts w:hint="eastAsia"/>
        </w:rPr>
        <w:t>）</w:t>
      </w:r>
      <w:r>
        <w:t>的二级标准要求</w:t>
      </w:r>
      <w:r>
        <w:rPr>
          <w:rFonts w:hint="eastAsia"/>
        </w:rPr>
        <w:t>，</w:t>
      </w:r>
      <w:r>
        <w:t>本项目所在区域为非达标区域</w:t>
      </w:r>
      <w:r>
        <w:rPr>
          <w:rFonts w:hint="eastAsia"/>
        </w:rPr>
        <w:t>，主要污染物为</w:t>
      </w:r>
      <w:r>
        <w:t>PM</w:t>
      </w:r>
      <w:r>
        <w:rPr>
          <w:vertAlign w:val="subscript"/>
        </w:rPr>
        <w:t>10</w:t>
      </w:r>
      <w:r>
        <w:rPr>
          <w:rFonts w:hint="eastAsia"/>
        </w:rPr>
        <w:t>、</w:t>
      </w:r>
      <w:r>
        <w:t>PM</w:t>
      </w:r>
      <w:r>
        <w:rPr>
          <w:rFonts w:hint="eastAsia"/>
          <w:vertAlign w:val="subscript"/>
        </w:rPr>
        <w:t>2.5</w:t>
      </w:r>
      <w:r>
        <w:t>。</w:t>
      </w:r>
      <w:r>
        <w:rPr>
          <w:rFonts w:ascii="黑体" w:eastAsia="黑体" w:hAnsi="黑体" w:cs="黑体" w:hint="eastAsia"/>
        </w:rPr>
        <w:tab/>
      </w:r>
    </w:p>
    <w:p w14:paraId="65A64DA8" w14:textId="77777777" w:rsidR="005A1A44" w:rsidRDefault="0008059E">
      <w:pPr>
        <w:pStyle w:val="2"/>
        <w:numPr>
          <w:ilvl w:val="1"/>
          <w:numId w:val="2"/>
        </w:numPr>
      </w:pPr>
      <w:bookmarkStart w:id="160" w:name="_Toc21036_WPSOffice_Level2"/>
      <w:r>
        <w:rPr>
          <w:rFonts w:hint="eastAsia"/>
        </w:rPr>
        <w:t xml:space="preserve"> </w:t>
      </w:r>
      <w:bookmarkStart w:id="161" w:name="_Toc25192_WPSOffice_Level2"/>
      <w:bookmarkStart w:id="162" w:name="_Toc12288_WPSOffice_Level2"/>
      <w:r>
        <w:rPr>
          <w:rFonts w:hint="eastAsia"/>
        </w:rPr>
        <w:t>地表水环境现状调查与评价</w:t>
      </w:r>
      <w:bookmarkEnd w:id="160"/>
      <w:bookmarkEnd w:id="161"/>
      <w:bookmarkEnd w:id="162"/>
    </w:p>
    <w:p w14:paraId="37FE15FA" w14:textId="77777777" w:rsidR="005A1A44" w:rsidRDefault="0008059E">
      <w:pPr>
        <w:pStyle w:val="3"/>
        <w:numPr>
          <w:ilvl w:val="2"/>
          <w:numId w:val="2"/>
        </w:numPr>
      </w:pPr>
      <w:r>
        <w:rPr>
          <w:rFonts w:hint="eastAsia"/>
        </w:rPr>
        <w:t xml:space="preserve"> </w:t>
      </w:r>
      <w:r>
        <w:rPr>
          <w:rFonts w:hint="eastAsia"/>
        </w:rPr>
        <w:t>监测布点</w:t>
      </w:r>
    </w:p>
    <w:p w14:paraId="299DD989"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结合玉龙喀什河段的工程特点，本次评价收集了2016年和田地区环境监测站关于玉龙喀什河同古孜洛克站、玉河渠首站两个断面常规水质监测资料，对两断面水质现状监测资料分别进行评价。</w:t>
      </w:r>
    </w:p>
    <w:p w14:paraId="27AF1BB6" w14:textId="77777777" w:rsidR="005A1A44" w:rsidRDefault="0008059E">
      <w:pPr>
        <w:pStyle w:val="3"/>
        <w:numPr>
          <w:ilvl w:val="2"/>
          <w:numId w:val="2"/>
        </w:numPr>
      </w:pPr>
      <w:r>
        <w:rPr>
          <w:rFonts w:hint="eastAsia"/>
        </w:rPr>
        <w:t xml:space="preserve"> </w:t>
      </w:r>
      <w:r>
        <w:rPr>
          <w:rFonts w:hint="eastAsia"/>
        </w:rPr>
        <w:t>监测因子</w:t>
      </w:r>
    </w:p>
    <w:p w14:paraId="03C6DEC7"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根据工程影响河段水质污染特性及水体功能，选择pH、溶解氧、高锰酸盐指数、BOD、氨氮、石油类、挥发酚、汞、铅、COD、铜、锌、氟化物、砷、镉、六价铬、氰化物等19个监测因子。</w:t>
      </w:r>
    </w:p>
    <w:p w14:paraId="7F5D1A9B" w14:textId="77777777" w:rsidR="005A1A44" w:rsidRDefault="0008059E">
      <w:pPr>
        <w:pStyle w:val="3"/>
        <w:numPr>
          <w:ilvl w:val="2"/>
          <w:numId w:val="2"/>
        </w:numPr>
      </w:pPr>
      <w:r>
        <w:rPr>
          <w:rFonts w:hint="eastAsia"/>
        </w:rPr>
        <w:lastRenderedPageBreak/>
        <w:t xml:space="preserve"> </w:t>
      </w:r>
      <w:r>
        <w:rPr>
          <w:rFonts w:hint="eastAsia"/>
        </w:rPr>
        <w:t>评价标准</w:t>
      </w:r>
    </w:p>
    <w:p w14:paraId="31D2B3DB"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辖区水质达到或高于国家水体功能要求，玉龙喀什河河流水质达到《地表水环境质量标准》中的Ⅱ类标准。</w:t>
      </w:r>
    </w:p>
    <w:p w14:paraId="7B4AA2A9" w14:textId="77777777" w:rsidR="005A1A44" w:rsidRDefault="0008059E">
      <w:pPr>
        <w:pStyle w:val="3"/>
        <w:numPr>
          <w:ilvl w:val="2"/>
          <w:numId w:val="2"/>
        </w:numPr>
      </w:pPr>
      <w:r>
        <w:rPr>
          <w:rFonts w:hint="eastAsia"/>
        </w:rPr>
        <w:t xml:space="preserve"> </w:t>
      </w:r>
      <w:r>
        <w:rPr>
          <w:rFonts w:hint="eastAsia"/>
        </w:rPr>
        <w:t>评价方法</w:t>
      </w:r>
    </w:p>
    <w:p w14:paraId="794F1FE2"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采用标准指数法，计算公式为：</w:t>
      </w:r>
    </w:p>
    <w:p w14:paraId="6B870FEB" w14:textId="77777777" w:rsidR="005A1A44" w:rsidRDefault="0008059E">
      <w:pPr>
        <w:ind w:firstLineChars="0" w:firstLine="0"/>
        <w:jc w:val="center"/>
        <w:rPr>
          <w:rFonts w:ascii="Times New Roman" w:eastAsia="宋体" w:hAnsi="Times New Roman"/>
          <w:color w:val="000000"/>
          <w:sz w:val="16"/>
        </w:rPr>
      </w:pPr>
      <w:r>
        <w:rPr>
          <w:rFonts w:ascii="Times New Roman" w:eastAsia="Times New Roman" w:hAnsi="Times New Roman" w:hint="eastAsia"/>
          <w:color w:val="000000"/>
        </w:rPr>
        <w:t>S</w:t>
      </w:r>
      <w:r>
        <w:rPr>
          <w:rFonts w:ascii="Times New Roman" w:eastAsia="Times New Roman" w:hAnsi="Times New Roman" w:hint="eastAsia"/>
          <w:color w:val="000000"/>
          <w:sz w:val="16"/>
        </w:rPr>
        <w:t>i,j</w:t>
      </w:r>
      <w:r>
        <w:rPr>
          <w:rFonts w:ascii="Times New Roman" w:eastAsia="Times New Roman" w:hAnsi="Times New Roman" w:hint="eastAsia"/>
          <w:color w:val="000000"/>
        </w:rPr>
        <w:t>=C</w:t>
      </w:r>
      <w:r>
        <w:rPr>
          <w:rFonts w:ascii="Times New Roman" w:eastAsia="Times New Roman" w:hAnsi="Times New Roman" w:hint="eastAsia"/>
          <w:color w:val="000000"/>
          <w:sz w:val="16"/>
        </w:rPr>
        <w:t>i,j</w:t>
      </w:r>
      <w:r>
        <w:rPr>
          <w:rFonts w:ascii="Times New Roman" w:eastAsia="Times New Roman" w:hAnsi="Times New Roman" w:hint="eastAsia"/>
          <w:color w:val="000000"/>
        </w:rPr>
        <w:t>/C</w:t>
      </w:r>
      <w:r>
        <w:rPr>
          <w:rFonts w:ascii="Times New Roman" w:eastAsia="Times New Roman" w:hAnsi="Times New Roman" w:hint="eastAsia"/>
          <w:color w:val="000000"/>
          <w:sz w:val="16"/>
        </w:rPr>
        <w:t>si</w:t>
      </w:r>
    </w:p>
    <w:p w14:paraId="377A9D16"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式中：</w:t>
      </w:r>
      <w:r>
        <w:rPr>
          <w:rFonts w:ascii="Times New Roman" w:eastAsia="Times New Roman" w:hAnsi="Times New Roman" w:hint="eastAsia"/>
          <w:color w:val="000000"/>
        </w:rPr>
        <w:t>S</w:t>
      </w:r>
      <w:r>
        <w:rPr>
          <w:rFonts w:ascii="Times New Roman" w:eastAsia="Times New Roman" w:hAnsi="Times New Roman" w:hint="eastAsia"/>
          <w:color w:val="000000"/>
          <w:sz w:val="16"/>
        </w:rPr>
        <w:t>i,j</w:t>
      </w:r>
      <w:r>
        <w:rPr>
          <w:rFonts w:ascii="Times New Roman" w:eastAsia="Times New Roman" w:hAnsi="Times New Roman"/>
          <w:color w:val="000000"/>
        </w:rPr>
        <w:t>—</w:t>
      </w:r>
      <w:r>
        <w:rPr>
          <w:rFonts w:ascii="宋体" w:eastAsia="宋体" w:hAnsi="宋体" w:hint="eastAsia"/>
          <w:color w:val="000000"/>
        </w:rPr>
        <w:t>单项水质参数</w:t>
      </w:r>
      <w:r>
        <w:rPr>
          <w:rFonts w:ascii="Times New Roman" w:eastAsia="Times New Roman" w:hAnsi="Times New Roman" w:hint="eastAsia"/>
          <w:color w:val="000000"/>
        </w:rPr>
        <w:t>i</w:t>
      </w:r>
      <w:r>
        <w:rPr>
          <w:rFonts w:ascii="宋体" w:eastAsia="宋体" w:hAnsi="宋体" w:hint="eastAsia"/>
          <w:color w:val="000000"/>
        </w:rPr>
        <w:t>在</w:t>
      </w:r>
      <w:r>
        <w:rPr>
          <w:rFonts w:ascii="Times New Roman" w:eastAsia="Times New Roman" w:hAnsi="Times New Roman" w:hint="eastAsia"/>
          <w:color w:val="000000"/>
        </w:rPr>
        <w:t>j</w:t>
      </w:r>
      <w:r>
        <w:rPr>
          <w:rFonts w:ascii="宋体" w:eastAsia="宋体" w:hAnsi="宋体" w:hint="eastAsia"/>
          <w:color w:val="000000"/>
        </w:rPr>
        <w:t>点的标准指数；</w:t>
      </w:r>
      <w:r>
        <w:rPr>
          <w:rFonts w:ascii="Times New Roman" w:eastAsia="Times New Roman" w:hAnsi="Times New Roman" w:hint="eastAsia"/>
          <w:color w:val="000000"/>
        </w:rPr>
        <w:t>C</w:t>
      </w:r>
      <w:r>
        <w:rPr>
          <w:rFonts w:ascii="Times New Roman" w:eastAsia="Times New Roman" w:hAnsi="Times New Roman" w:hint="eastAsia"/>
          <w:color w:val="000000"/>
          <w:sz w:val="16"/>
        </w:rPr>
        <w:t>i,j</w:t>
      </w:r>
      <w:r>
        <w:rPr>
          <w:rFonts w:ascii="Times New Roman" w:eastAsia="Times New Roman" w:hAnsi="Times New Roman"/>
          <w:color w:val="000000"/>
        </w:rPr>
        <w:t>—</w:t>
      </w:r>
      <w:r>
        <w:rPr>
          <w:rFonts w:ascii="宋体" w:eastAsia="宋体" w:hAnsi="宋体" w:hint="eastAsia"/>
          <w:color w:val="000000"/>
        </w:rPr>
        <w:t>水质参数</w:t>
      </w:r>
      <w:r>
        <w:rPr>
          <w:rFonts w:ascii="Times New Roman" w:eastAsia="Times New Roman" w:hAnsi="Times New Roman" w:hint="eastAsia"/>
          <w:color w:val="000000"/>
        </w:rPr>
        <w:t>i</w:t>
      </w:r>
      <w:r>
        <w:rPr>
          <w:rFonts w:ascii="宋体" w:eastAsia="宋体" w:hAnsi="宋体" w:hint="eastAsia"/>
          <w:color w:val="000000"/>
        </w:rPr>
        <w:t>在</w:t>
      </w:r>
      <w:r>
        <w:rPr>
          <w:rFonts w:ascii="Times New Roman" w:eastAsia="Times New Roman" w:hAnsi="Times New Roman" w:hint="eastAsia"/>
          <w:color w:val="000000"/>
        </w:rPr>
        <w:t>j</w:t>
      </w:r>
      <w:r>
        <w:rPr>
          <w:rFonts w:ascii="宋体" w:eastAsia="宋体" w:hAnsi="宋体" w:hint="eastAsia"/>
          <w:color w:val="000000"/>
        </w:rPr>
        <w:t>点的监测浓度，</w:t>
      </w:r>
      <w:r>
        <w:rPr>
          <w:rFonts w:ascii="Times New Roman" w:eastAsia="Times New Roman" w:hAnsi="Times New Roman" w:hint="eastAsia"/>
          <w:color w:val="000000"/>
        </w:rPr>
        <w:t>mg/L</w:t>
      </w:r>
      <w:r>
        <w:rPr>
          <w:rFonts w:ascii="宋体" w:eastAsia="宋体" w:hAnsi="宋体" w:hint="eastAsia"/>
          <w:color w:val="000000"/>
        </w:rPr>
        <w:t>；</w:t>
      </w:r>
      <w:r>
        <w:rPr>
          <w:rFonts w:ascii="Times New Roman" w:eastAsia="Times New Roman" w:hAnsi="Times New Roman" w:hint="eastAsia"/>
          <w:color w:val="000000"/>
        </w:rPr>
        <w:t>C</w:t>
      </w:r>
      <w:r>
        <w:rPr>
          <w:rFonts w:ascii="Times New Roman" w:eastAsia="Times New Roman" w:hAnsi="Times New Roman" w:hint="eastAsia"/>
          <w:color w:val="000000"/>
          <w:sz w:val="16"/>
        </w:rPr>
        <w:t>si</w:t>
      </w:r>
      <w:r>
        <w:rPr>
          <w:rFonts w:ascii="Times New Roman" w:eastAsia="Times New Roman" w:hAnsi="Times New Roman"/>
          <w:color w:val="000000"/>
        </w:rPr>
        <w:t>—</w:t>
      </w:r>
      <w:r>
        <w:rPr>
          <w:rFonts w:ascii="宋体" w:eastAsia="宋体" w:hAnsi="宋体" w:hint="eastAsia"/>
          <w:color w:val="000000"/>
        </w:rPr>
        <w:t>水质参数</w:t>
      </w:r>
      <w:r>
        <w:rPr>
          <w:rFonts w:ascii="Times New Roman" w:eastAsia="Times New Roman" w:hAnsi="Times New Roman" w:hint="eastAsia"/>
          <w:color w:val="000000"/>
        </w:rPr>
        <w:t>i</w:t>
      </w:r>
      <w:r>
        <w:rPr>
          <w:rFonts w:ascii="宋体" w:eastAsia="宋体" w:hAnsi="宋体" w:hint="eastAsia"/>
          <w:color w:val="000000"/>
        </w:rPr>
        <w:t>的地面水水质标准，</w:t>
      </w:r>
      <w:r>
        <w:rPr>
          <w:rFonts w:ascii="Times New Roman" w:eastAsia="Times New Roman" w:hAnsi="Times New Roman" w:hint="eastAsia"/>
          <w:color w:val="000000"/>
        </w:rPr>
        <w:t>mg/L</w:t>
      </w:r>
      <w:r>
        <w:rPr>
          <w:rFonts w:ascii="宋体" w:eastAsia="宋体" w:hAnsi="宋体" w:hint="eastAsia"/>
          <w:color w:val="000000"/>
        </w:rPr>
        <w:t>。</w:t>
      </w:r>
    </w:p>
    <w:p w14:paraId="75E9326D" w14:textId="77777777" w:rsidR="005A1A44" w:rsidRDefault="0008059E">
      <w:pPr>
        <w:ind w:firstLine="480"/>
        <w:jc w:val="left"/>
        <w:rPr>
          <w:rFonts w:ascii="宋体" w:eastAsia="宋体" w:hAnsi="宋体" w:hint="eastAsia"/>
          <w:color w:val="000000"/>
        </w:rPr>
      </w:pPr>
      <w:r>
        <w:rPr>
          <w:rFonts w:ascii="Times New Roman" w:eastAsia="Times New Roman" w:hAnsi="Times New Roman" w:hint="eastAsia"/>
          <w:color w:val="000000"/>
        </w:rPr>
        <w:t>pH</w:t>
      </w:r>
      <w:r>
        <w:rPr>
          <w:rFonts w:ascii="宋体" w:eastAsia="宋体" w:hAnsi="宋体" w:hint="eastAsia"/>
          <w:color w:val="000000"/>
        </w:rPr>
        <w:t>的标准指数计算公式为：</w:t>
      </w:r>
    </w:p>
    <w:p w14:paraId="0E406CD9" w14:textId="77777777" w:rsidR="005A1A44" w:rsidRDefault="0008059E">
      <w:pPr>
        <w:ind w:firstLineChars="0" w:firstLine="0"/>
        <w:jc w:val="center"/>
        <w:rPr>
          <w:rFonts w:ascii="Times New Roman" w:eastAsia="宋体" w:hAnsi="Times New Roman"/>
          <w:color w:val="000000"/>
        </w:rPr>
      </w:pPr>
      <w:r>
        <w:rPr>
          <w:rFonts w:ascii="Times New Roman" w:eastAsia="Times New Roman" w:hAnsi="Times New Roman" w:hint="eastAsia"/>
          <w:color w:val="000000"/>
        </w:rPr>
        <w:t>S</w:t>
      </w:r>
      <w:r>
        <w:rPr>
          <w:rFonts w:ascii="Times New Roman" w:eastAsia="Times New Roman" w:hAnsi="Times New Roman" w:hint="eastAsia"/>
          <w:color w:val="000000"/>
          <w:sz w:val="16"/>
        </w:rPr>
        <w:t>pHj</w:t>
      </w:r>
      <w:r>
        <w:rPr>
          <w:rFonts w:ascii="Times New Roman" w:eastAsia="Times New Roman" w:hAnsi="Times New Roman" w:hint="eastAsia"/>
          <w:color w:val="000000"/>
        </w:rPr>
        <w:t>=(7.0-pH</w:t>
      </w:r>
      <w:r>
        <w:rPr>
          <w:rFonts w:ascii="Times New Roman" w:eastAsia="Times New Roman" w:hAnsi="Times New Roman" w:hint="eastAsia"/>
          <w:color w:val="000000"/>
          <w:sz w:val="16"/>
        </w:rPr>
        <w:t>j</w:t>
      </w:r>
      <w:r>
        <w:rPr>
          <w:rFonts w:ascii="Times New Roman" w:eastAsia="Times New Roman" w:hAnsi="Times New Roman" w:hint="eastAsia"/>
          <w:color w:val="000000"/>
        </w:rPr>
        <w:t>)/(7.0-pH</w:t>
      </w:r>
      <w:r>
        <w:rPr>
          <w:rFonts w:ascii="Times New Roman" w:eastAsia="Times New Roman" w:hAnsi="Times New Roman" w:hint="eastAsia"/>
          <w:color w:val="000000"/>
          <w:sz w:val="16"/>
        </w:rPr>
        <w:t>sd</w:t>
      </w:r>
      <w:r>
        <w:rPr>
          <w:rFonts w:ascii="Times New Roman" w:eastAsia="Times New Roman" w:hAnsi="Times New Roman" w:hint="eastAsia"/>
          <w:color w:val="000000"/>
        </w:rPr>
        <w:t>)</w:t>
      </w:r>
      <w:r>
        <w:rPr>
          <w:rFonts w:ascii="Times New Roman" w:eastAsia="宋体" w:hAnsi="Times New Roman" w:hint="eastAsia"/>
          <w:color w:val="000000"/>
        </w:rPr>
        <w:t xml:space="preserve">  </w:t>
      </w:r>
      <w:r>
        <w:rPr>
          <w:rFonts w:ascii="Times New Roman" w:eastAsia="Times New Roman" w:hAnsi="Times New Roman" w:hint="eastAsia"/>
          <w:color w:val="000000"/>
        </w:rPr>
        <w:t>pHj≤7.0</w:t>
      </w:r>
    </w:p>
    <w:p w14:paraId="589C6E03" w14:textId="77777777" w:rsidR="005A1A44" w:rsidRDefault="0008059E">
      <w:pPr>
        <w:ind w:firstLineChars="0" w:firstLine="0"/>
        <w:jc w:val="center"/>
        <w:rPr>
          <w:rFonts w:ascii="Times New Roman" w:eastAsia="宋体" w:hAnsi="Times New Roman"/>
          <w:color w:val="000000"/>
        </w:rPr>
      </w:pPr>
      <w:r>
        <w:rPr>
          <w:rFonts w:ascii="Times New Roman" w:eastAsia="Times New Roman" w:hAnsi="Times New Roman" w:hint="eastAsia"/>
          <w:color w:val="000000"/>
        </w:rPr>
        <w:t>S</w:t>
      </w:r>
      <w:r>
        <w:rPr>
          <w:rFonts w:ascii="Times New Roman" w:eastAsia="Times New Roman" w:hAnsi="Times New Roman" w:hint="eastAsia"/>
          <w:color w:val="000000"/>
          <w:sz w:val="16"/>
        </w:rPr>
        <w:t>pHj</w:t>
      </w:r>
      <w:r>
        <w:rPr>
          <w:rFonts w:ascii="Times New Roman" w:eastAsia="Times New Roman" w:hAnsi="Times New Roman" w:hint="eastAsia"/>
          <w:color w:val="000000"/>
        </w:rPr>
        <w:t>=(pH</w:t>
      </w:r>
      <w:r>
        <w:rPr>
          <w:rFonts w:ascii="Times New Roman" w:eastAsia="Times New Roman" w:hAnsi="Times New Roman" w:hint="eastAsia"/>
          <w:color w:val="000000"/>
          <w:sz w:val="16"/>
        </w:rPr>
        <w:t>j</w:t>
      </w:r>
      <w:r>
        <w:rPr>
          <w:rFonts w:ascii="Times New Roman" w:eastAsia="Times New Roman" w:hAnsi="Times New Roman" w:hint="eastAsia"/>
          <w:color w:val="000000"/>
        </w:rPr>
        <w:t>-7.0)/(pH</w:t>
      </w:r>
      <w:r>
        <w:rPr>
          <w:rFonts w:ascii="Times New Roman" w:eastAsia="Times New Roman" w:hAnsi="Times New Roman" w:hint="eastAsia"/>
          <w:color w:val="000000"/>
          <w:sz w:val="16"/>
        </w:rPr>
        <w:t>su</w:t>
      </w:r>
      <w:r>
        <w:rPr>
          <w:rFonts w:ascii="Times New Roman" w:eastAsia="Times New Roman" w:hAnsi="Times New Roman" w:hint="eastAsia"/>
          <w:color w:val="000000"/>
        </w:rPr>
        <w:t>-7.0)</w:t>
      </w:r>
      <w:r>
        <w:rPr>
          <w:rFonts w:ascii="Times New Roman" w:eastAsia="宋体" w:hAnsi="Times New Roman" w:hint="eastAsia"/>
          <w:color w:val="000000"/>
        </w:rPr>
        <w:t xml:space="preserve">   </w:t>
      </w:r>
      <w:r>
        <w:rPr>
          <w:rFonts w:ascii="Times New Roman" w:eastAsia="Times New Roman" w:hAnsi="Times New Roman" w:hint="eastAsia"/>
          <w:color w:val="000000"/>
        </w:rPr>
        <w:t>pHj</w:t>
      </w:r>
      <w:r>
        <w:rPr>
          <w:rFonts w:ascii="宋体" w:eastAsia="宋体" w:hAnsi="宋体" w:hint="eastAsia"/>
          <w:color w:val="000000"/>
        </w:rPr>
        <w:t>＞</w:t>
      </w:r>
      <w:r>
        <w:rPr>
          <w:rFonts w:ascii="Times New Roman" w:eastAsia="Times New Roman" w:hAnsi="Times New Roman" w:hint="eastAsia"/>
          <w:color w:val="000000"/>
        </w:rPr>
        <w:t>7.0</w:t>
      </w:r>
    </w:p>
    <w:p w14:paraId="0435573D"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式中：</w:t>
      </w:r>
      <w:r>
        <w:rPr>
          <w:rFonts w:ascii="Times New Roman" w:eastAsia="Times New Roman" w:hAnsi="Times New Roman" w:hint="eastAsia"/>
          <w:color w:val="000000"/>
        </w:rPr>
        <w:t>S</w:t>
      </w:r>
      <w:r>
        <w:rPr>
          <w:rFonts w:ascii="Times New Roman" w:eastAsia="Times New Roman" w:hAnsi="Times New Roman" w:hint="eastAsia"/>
          <w:color w:val="000000"/>
          <w:sz w:val="16"/>
        </w:rPr>
        <w:t>pHj</w:t>
      </w:r>
      <w:r>
        <w:rPr>
          <w:rFonts w:ascii="Times New Roman" w:eastAsia="Times New Roman" w:hAnsi="Times New Roman"/>
          <w:color w:val="000000"/>
        </w:rPr>
        <w:t>—</w:t>
      </w:r>
      <w:r>
        <w:rPr>
          <w:rFonts w:ascii="Times New Roman" w:eastAsia="Times New Roman" w:hAnsi="Times New Roman" w:hint="eastAsia"/>
          <w:color w:val="000000"/>
        </w:rPr>
        <w:t>pH</w:t>
      </w:r>
      <w:r>
        <w:rPr>
          <w:rFonts w:ascii="宋体" w:eastAsia="宋体" w:hAnsi="宋体" w:hint="eastAsia"/>
          <w:color w:val="000000"/>
        </w:rPr>
        <w:t>在</w:t>
      </w:r>
      <w:r>
        <w:rPr>
          <w:rFonts w:ascii="Times New Roman" w:eastAsia="Times New Roman" w:hAnsi="Times New Roman" w:hint="eastAsia"/>
          <w:color w:val="000000"/>
        </w:rPr>
        <w:t>j</w:t>
      </w:r>
      <w:r>
        <w:rPr>
          <w:rFonts w:ascii="宋体" w:eastAsia="宋体" w:hAnsi="宋体" w:hint="eastAsia"/>
          <w:color w:val="000000"/>
        </w:rPr>
        <w:t>点的标准指数；</w:t>
      </w:r>
      <w:r>
        <w:rPr>
          <w:rFonts w:ascii="Times New Roman" w:eastAsia="Times New Roman" w:hAnsi="Times New Roman" w:hint="eastAsia"/>
          <w:color w:val="000000"/>
        </w:rPr>
        <w:t>pH</w:t>
      </w:r>
      <w:r>
        <w:rPr>
          <w:rFonts w:ascii="Times New Roman" w:eastAsia="Times New Roman" w:hAnsi="Times New Roman" w:hint="eastAsia"/>
          <w:color w:val="000000"/>
          <w:sz w:val="16"/>
        </w:rPr>
        <w:t>j</w:t>
      </w:r>
      <w:r>
        <w:rPr>
          <w:rFonts w:ascii="Times New Roman" w:eastAsia="Times New Roman" w:hAnsi="Times New Roman"/>
          <w:color w:val="000000"/>
        </w:rPr>
        <w:t>—</w:t>
      </w:r>
      <w:r>
        <w:rPr>
          <w:rFonts w:ascii="Times New Roman" w:eastAsia="Times New Roman" w:hAnsi="Times New Roman" w:hint="eastAsia"/>
          <w:color w:val="000000"/>
        </w:rPr>
        <w:t>pH</w:t>
      </w:r>
      <w:r>
        <w:rPr>
          <w:rFonts w:ascii="宋体" w:eastAsia="宋体" w:hAnsi="宋体" w:hint="eastAsia"/>
          <w:color w:val="000000"/>
        </w:rPr>
        <w:t>在</w:t>
      </w:r>
      <w:r>
        <w:rPr>
          <w:rFonts w:ascii="Times New Roman" w:eastAsia="Times New Roman" w:hAnsi="Times New Roman" w:hint="eastAsia"/>
          <w:color w:val="000000"/>
        </w:rPr>
        <w:t>j</w:t>
      </w:r>
      <w:r>
        <w:rPr>
          <w:rFonts w:ascii="宋体" w:eastAsia="宋体" w:hAnsi="宋体" w:hint="eastAsia"/>
          <w:color w:val="000000"/>
        </w:rPr>
        <w:t>点的监测值；</w:t>
      </w:r>
      <w:r>
        <w:rPr>
          <w:rFonts w:ascii="Times New Roman" w:eastAsia="Times New Roman" w:hAnsi="Times New Roman" w:hint="eastAsia"/>
          <w:color w:val="000000"/>
        </w:rPr>
        <w:t>pH</w:t>
      </w:r>
      <w:r>
        <w:rPr>
          <w:rFonts w:ascii="Times New Roman" w:eastAsia="Times New Roman" w:hAnsi="Times New Roman" w:hint="eastAsia"/>
          <w:color w:val="000000"/>
          <w:sz w:val="16"/>
        </w:rPr>
        <w:t>sd</w:t>
      </w:r>
      <w:r>
        <w:rPr>
          <w:rFonts w:ascii="Times New Roman" w:eastAsia="Times New Roman" w:hAnsi="Times New Roman"/>
          <w:color w:val="000000"/>
        </w:rPr>
        <w:t>—</w:t>
      </w:r>
      <w:r>
        <w:rPr>
          <w:rFonts w:ascii="宋体" w:eastAsia="宋体" w:hAnsi="宋体" w:hint="eastAsia"/>
          <w:color w:val="000000"/>
        </w:rPr>
        <w:t>地面水水质标准中规定的</w:t>
      </w:r>
      <w:r>
        <w:rPr>
          <w:rFonts w:ascii="Times New Roman" w:eastAsia="Times New Roman" w:hAnsi="Times New Roman" w:hint="eastAsia"/>
          <w:color w:val="000000"/>
        </w:rPr>
        <w:t>pH</w:t>
      </w:r>
      <w:r>
        <w:rPr>
          <w:rFonts w:ascii="宋体" w:eastAsia="宋体" w:hAnsi="宋体" w:hint="eastAsia"/>
          <w:color w:val="000000"/>
        </w:rPr>
        <w:t>下限；</w:t>
      </w:r>
      <w:r>
        <w:rPr>
          <w:rFonts w:ascii="Times New Roman" w:eastAsia="Times New Roman" w:hAnsi="Times New Roman" w:hint="eastAsia"/>
          <w:color w:val="000000"/>
        </w:rPr>
        <w:t>pH</w:t>
      </w:r>
      <w:r>
        <w:rPr>
          <w:rFonts w:ascii="Times New Roman" w:eastAsia="Times New Roman" w:hAnsi="Times New Roman" w:hint="eastAsia"/>
          <w:color w:val="000000"/>
          <w:sz w:val="16"/>
        </w:rPr>
        <w:t>su</w:t>
      </w:r>
      <w:r>
        <w:rPr>
          <w:rFonts w:ascii="Times New Roman" w:eastAsia="Times New Roman" w:hAnsi="Times New Roman"/>
          <w:color w:val="000000"/>
        </w:rPr>
        <w:t>—</w:t>
      </w:r>
      <w:r>
        <w:rPr>
          <w:rFonts w:ascii="宋体" w:eastAsia="宋体" w:hAnsi="宋体" w:hint="eastAsia"/>
          <w:color w:val="000000"/>
        </w:rPr>
        <w:t>地面水水质标准中规定的</w:t>
      </w:r>
      <w:r>
        <w:rPr>
          <w:rFonts w:ascii="Times New Roman" w:eastAsia="Times New Roman" w:hAnsi="Times New Roman" w:hint="eastAsia"/>
          <w:color w:val="000000"/>
        </w:rPr>
        <w:t>pH</w:t>
      </w:r>
      <w:r>
        <w:rPr>
          <w:rFonts w:ascii="宋体" w:eastAsia="宋体" w:hAnsi="宋体" w:hint="eastAsia"/>
          <w:color w:val="000000"/>
        </w:rPr>
        <w:t>上限。</w:t>
      </w:r>
    </w:p>
    <w:p w14:paraId="0D607317"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水质参数的标准指数＞</w:t>
      </w:r>
      <w:r>
        <w:rPr>
          <w:rFonts w:ascii="Times New Roman" w:eastAsia="Times New Roman" w:hAnsi="Times New Roman" w:hint="eastAsia"/>
          <w:color w:val="000000"/>
        </w:rPr>
        <w:t>1</w:t>
      </w:r>
      <w:r>
        <w:rPr>
          <w:rFonts w:ascii="宋体" w:eastAsia="宋体" w:hAnsi="宋体" w:hint="eastAsia"/>
          <w:color w:val="000000"/>
        </w:rPr>
        <w:t>，表明该水质参数超过了规定的水质标准。</w:t>
      </w:r>
    </w:p>
    <w:p w14:paraId="482BE81C" w14:textId="77777777" w:rsidR="005A1A44" w:rsidRDefault="0008059E">
      <w:pPr>
        <w:pStyle w:val="3"/>
        <w:numPr>
          <w:ilvl w:val="2"/>
          <w:numId w:val="2"/>
        </w:numPr>
      </w:pPr>
      <w:r>
        <w:rPr>
          <w:rFonts w:hint="eastAsia"/>
        </w:rPr>
        <w:t xml:space="preserve"> </w:t>
      </w:r>
      <w:r>
        <w:rPr>
          <w:rFonts w:hint="eastAsia"/>
        </w:rPr>
        <w:t>监测及评价结果</w:t>
      </w:r>
    </w:p>
    <w:p w14:paraId="57746132" w14:textId="77777777" w:rsidR="005A1A44" w:rsidRDefault="0008059E">
      <w:pPr>
        <w:ind w:firstLine="480"/>
        <w:jc w:val="left"/>
        <w:rPr>
          <w:rFonts w:ascii="宋体" w:eastAsia="宋体" w:hAnsi="宋体" w:hint="eastAsia"/>
          <w:color w:val="000000"/>
        </w:rPr>
      </w:pPr>
      <w:r>
        <w:rPr>
          <w:rFonts w:ascii="宋体" w:eastAsia="宋体" w:hAnsi="宋体" w:hint="eastAsia"/>
          <w:color w:val="000000"/>
        </w:rPr>
        <w:t>各监测站点水质监测及评价结果见表</w:t>
      </w:r>
      <w:r>
        <w:rPr>
          <w:rFonts w:ascii="Times New Roman" w:eastAsia="宋体" w:hAnsi="Times New Roman" w:hint="eastAsia"/>
          <w:color w:val="000000"/>
        </w:rPr>
        <w:t>4.3-1</w:t>
      </w:r>
      <w:r>
        <w:rPr>
          <w:rFonts w:ascii="Times New Roman" w:eastAsia="宋体" w:hAnsi="Times New Roman" w:hint="eastAsia"/>
          <w:color w:val="000000"/>
        </w:rPr>
        <w:t>。</w:t>
      </w:r>
    </w:p>
    <w:p w14:paraId="26C1B201" w14:textId="77777777" w:rsidR="005A1A44" w:rsidRDefault="0008059E">
      <w:pPr>
        <w:ind w:firstLineChars="0" w:firstLine="0"/>
        <w:jc w:val="center"/>
        <w:rPr>
          <w:rFonts w:ascii="黑体" w:eastAsia="黑体" w:hAnsi="黑体" w:cs="黑体" w:hint="eastAsia"/>
          <w:color w:val="000000"/>
        </w:rPr>
      </w:pPr>
      <w:r>
        <w:rPr>
          <w:rFonts w:ascii="黑体" w:eastAsia="黑体" w:hAnsi="黑体" w:cs="黑体" w:hint="eastAsia"/>
          <w:color w:val="000000"/>
        </w:rPr>
        <w:t>表4.3-1  玉龙喀什河评价河段2016年水质监测与评价结果表  单位：mg/L</w:t>
      </w:r>
    </w:p>
    <w:tbl>
      <w:tblPr>
        <w:tblStyle w:val="af"/>
        <w:tblW w:w="8850" w:type="dxa"/>
        <w:tblLayout w:type="fixed"/>
        <w:tblLook w:val="04A0" w:firstRow="1" w:lastRow="0" w:firstColumn="1" w:lastColumn="0" w:noHBand="0" w:noVBand="1"/>
      </w:tblPr>
      <w:tblGrid>
        <w:gridCol w:w="2071"/>
        <w:gridCol w:w="1187"/>
        <w:gridCol w:w="954"/>
        <w:gridCol w:w="1350"/>
        <w:gridCol w:w="1228"/>
        <w:gridCol w:w="1213"/>
        <w:gridCol w:w="847"/>
      </w:tblGrid>
      <w:tr w:rsidR="005A1A44" w14:paraId="6517EF50" w14:textId="77777777">
        <w:trPr>
          <w:trHeight w:val="312"/>
          <w:tblHeader/>
        </w:trPr>
        <w:tc>
          <w:tcPr>
            <w:tcW w:w="2071" w:type="dxa"/>
            <w:vMerge w:val="restart"/>
            <w:vAlign w:val="center"/>
          </w:tcPr>
          <w:p w14:paraId="6FD686FC" w14:textId="77777777" w:rsidR="005A1A44" w:rsidRDefault="0008059E">
            <w:pPr>
              <w:spacing w:line="240" w:lineRule="auto"/>
              <w:ind w:firstLineChars="0" w:firstLine="0"/>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指标</w:t>
            </w:r>
          </w:p>
        </w:tc>
        <w:tc>
          <w:tcPr>
            <w:tcW w:w="3491" w:type="dxa"/>
            <w:gridSpan w:val="3"/>
            <w:vAlign w:val="center"/>
          </w:tcPr>
          <w:p w14:paraId="14055B59" w14:textId="77777777" w:rsidR="005A1A44" w:rsidRDefault="0008059E">
            <w:pPr>
              <w:spacing w:line="240" w:lineRule="auto"/>
              <w:ind w:firstLineChars="0" w:firstLine="0"/>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坝址断面</w:t>
            </w:r>
          </w:p>
        </w:tc>
        <w:tc>
          <w:tcPr>
            <w:tcW w:w="3288" w:type="dxa"/>
            <w:gridSpan w:val="3"/>
            <w:vAlign w:val="center"/>
          </w:tcPr>
          <w:p w14:paraId="2C8E2B17" w14:textId="77777777" w:rsidR="005A1A44" w:rsidRDefault="0008059E">
            <w:pPr>
              <w:spacing w:line="240" w:lineRule="auto"/>
              <w:ind w:firstLineChars="0" w:firstLine="0"/>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同古孜克站</w:t>
            </w:r>
          </w:p>
        </w:tc>
      </w:tr>
      <w:tr w:rsidR="005A1A44" w14:paraId="3EDF3DD3" w14:textId="77777777">
        <w:trPr>
          <w:tblHeader/>
        </w:trPr>
        <w:tc>
          <w:tcPr>
            <w:tcW w:w="2071" w:type="dxa"/>
            <w:vMerge/>
            <w:vAlign w:val="center"/>
          </w:tcPr>
          <w:p w14:paraId="6244C7B9" w14:textId="77777777" w:rsidR="005A1A44" w:rsidRDefault="005A1A44">
            <w:pPr>
              <w:spacing w:line="240" w:lineRule="auto"/>
              <w:ind w:firstLineChars="0" w:firstLine="0"/>
              <w:jc w:val="center"/>
              <w:rPr>
                <w:rFonts w:ascii="宋体" w:eastAsia="宋体" w:hAnsi="宋体" w:cs="宋体" w:hint="eastAsia"/>
                <w:b/>
                <w:bCs/>
                <w:color w:val="000000"/>
                <w:sz w:val="21"/>
                <w:szCs w:val="21"/>
              </w:rPr>
            </w:pPr>
          </w:p>
        </w:tc>
        <w:tc>
          <w:tcPr>
            <w:tcW w:w="1187" w:type="dxa"/>
            <w:vAlign w:val="center"/>
          </w:tcPr>
          <w:p w14:paraId="03AEE11F" w14:textId="77777777" w:rsidR="005A1A44" w:rsidRDefault="0008059E">
            <w:pPr>
              <w:spacing w:line="240" w:lineRule="auto"/>
              <w:ind w:firstLineChars="0" w:firstLine="0"/>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监测值</w:t>
            </w:r>
          </w:p>
        </w:tc>
        <w:tc>
          <w:tcPr>
            <w:tcW w:w="954" w:type="dxa"/>
            <w:vAlign w:val="center"/>
          </w:tcPr>
          <w:p w14:paraId="66FF1EBA" w14:textId="77777777" w:rsidR="005A1A44" w:rsidRDefault="0008059E">
            <w:pPr>
              <w:spacing w:line="240" w:lineRule="auto"/>
              <w:ind w:firstLineChars="0" w:firstLine="0"/>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标准</w:t>
            </w:r>
          </w:p>
        </w:tc>
        <w:tc>
          <w:tcPr>
            <w:tcW w:w="1350" w:type="dxa"/>
            <w:vAlign w:val="center"/>
          </w:tcPr>
          <w:p w14:paraId="644AB5D0" w14:textId="77777777" w:rsidR="005A1A44" w:rsidRDefault="0008059E">
            <w:pPr>
              <w:spacing w:line="240" w:lineRule="auto"/>
              <w:ind w:firstLineChars="0" w:firstLine="0"/>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指数</w:t>
            </w:r>
          </w:p>
        </w:tc>
        <w:tc>
          <w:tcPr>
            <w:tcW w:w="1228" w:type="dxa"/>
            <w:vAlign w:val="center"/>
          </w:tcPr>
          <w:p w14:paraId="212DCA26" w14:textId="77777777" w:rsidR="005A1A44" w:rsidRDefault="0008059E">
            <w:pPr>
              <w:spacing w:line="240" w:lineRule="auto"/>
              <w:ind w:firstLineChars="0" w:firstLine="0"/>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监测值</w:t>
            </w:r>
          </w:p>
        </w:tc>
        <w:tc>
          <w:tcPr>
            <w:tcW w:w="1213" w:type="dxa"/>
            <w:vAlign w:val="center"/>
          </w:tcPr>
          <w:p w14:paraId="74B0E89F" w14:textId="77777777" w:rsidR="005A1A44" w:rsidRDefault="0008059E">
            <w:pPr>
              <w:spacing w:line="240" w:lineRule="auto"/>
              <w:ind w:firstLineChars="0" w:firstLine="0"/>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标准</w:t>
            </w:r>
          </w:p>
        </w:tc>
        <w:tc>
          <w:tcPr>
            <w:tcW w:w="847" w:type="dxa"/>
            <w:vAlign w:val="center"/>
          </w:tcPr>
          <w:p w14:paraId="41D90D47" w14:textId="77777777" w:rsidR="005A1A44" w:rsidRDefault="0008059E">
            <w:pPr>
              <w:spacing w:line="240" w:lineRule="auto"/>
              <w:ind w:firstLineChars="0" w:firstLine="0"/>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指数</w:t>
            </w:r>
          </w:p>
        </w:tc>
      </w:tr>
      <w:tr w:rsidR="005A1A44" w14:paraId="0DACFCE7" w14:textId="77777777">
        <w:trPr>
          <w:trHeight w:val="303"/>
        </w:trPr>
        <w:tc>
          <w:tcPr>
            <w:tcW w:w="2071" w:type="dxa"/>
            <w:vAlign w:val="center"/>
          </w:tcPr>
          <w:p w14:paraId="1553AA1C"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pH（无量纲）</w:t>
            </w:r>
          </w:p>
        </w:tc>
        <w:tc>
          <w:tcPr>
            <w:tcW w:w="1187" w:type="dxa"/>
            <w:vAlign w:val="center"/>
          </w:tcPr>
          <w:p w14:paraId="45B1C193"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7.3</w:t>
            </w:r>
          </w:p>
        </w:tc>
        <w:tc>
          <w:tcPr>
            <w:tcW w:w="954" w:type="dxa"/>
            <w:vAlign w:val="center"/>
          </w:tcPr>
          <w:p w14:paraId="4F5BF03B"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6-9</w:t>
            </w:r>
          </w:p>
        </w:tc>
        <w:tc>
          <w:tcPr>
            <w:tcW w:w="1350" w:type="dxa"/>
            <w:vAlign w:val="center"/>
          </w:tcPr>
          <w:p w14:paraId="151BDA62"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0.15</w:t>
            </w:r>
          </w:p>
        </w:tc>
        <w:tc>
          <w:tcPr>
            <w:tcW w:w="1228" w:type="dxa"/>
            <w:vAlign w:val="center"/>
          </w:tcPr>
          <w:p w14:paraId="689597FF"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7.1</w:t>
            </w:r>
          </w:p>
        </w:tc>
        <w:tc>
          <w:tcPr>
            <w:tcW w:w="1213" w:type="dxa"/>
            <w:vAlign w:val="center"/>
          </w:tcPr>
          <w:p w14:paraId="4DF50CE5"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6-9</w:t>
            </w:r>
          </w:p>
        </w:tc>
        <w:tc>
          <w:tcPr>
            <w:tcW w:w="847" w:type="dxa"/>
            <w:vAlign w:val="center"/>
          </w:tcPr>
          <w:p w14:paraId="4CFC7F50"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0.05</w:t>
            </w:r>
          </w:p>
        </w:tc>
      </w:tr>
      <w:tr w:rsidR="005A1A44" w14:paraId="2381BE9E" w14:textId="77777777">
        <w:tc>
          <w:tcPr>
            <w:tcW w:w="2071" w:type="dxa"/>
            <w:vAlign w:val="center"/>
          </w:tcPr>
          <w:p w14:paraId="406EDF6B"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溶解氧</w:t>
            </w:r>
          </w:p>
        </w:tc>
        <w:tc>
          <w:tcPr>
            <w:tcW w:w="1187" w:type="dxa"/>
            <w:vAlign w:val="center"/>
          </w:tcPr>
          <w:p w14:paraId="787DD9DE"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4.38</w:t>
            </w:r>
          </w:p>
        </w:tc>
        <w:tc>
          <w:tcPr>
            <w:tcW w:w="954" w:type="dxa"/>
            <w:vAlign w:val="center"/>
          </w:tcPr>
          <w:p w14:paraId="0F1C1D3A"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≥6</w:t>
            </w:r>
          </w:p>
        </w:tc>
        <w:tc>
          <w:tcPr>
            <w:tcW w:w="1350" w:type="dxa"/>
            <w:vAlign w:val="center"/>
          </w:tcPr>
          <w:p w14:paraId="4499EC0C"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0.73</w:t>
            </w:r>
          </w:p>
        </w:tc>
        <w:tc>
          <w:tcPr>
            <w:tcW w:w="1228" w:type="dxa"/>
            <w:vAlign w:val="center"/>
          </w:tcPr>
          <w:p w14:paraId="6001681E"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4.68</w:t>
            </w:r>
          </w:p>
        </w:tc>
        <w:tc>
          <w:tcPr>
            <w:tcW w:w="1213" w:type="dxa"/>
            <w:vAlign w:val="center"/>
          </w:tcPr>
          <w:p w14:paraId="310425FC"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≥6</w:t>
            </w:r>
          </w:p>
        </w:tc>
        <w:tc>
          <w:tcPr>
            <w:tcW w:w="847" w:type="dxa"/>
            <w:vAlign w:val="center"/>
          </w:tcPr>
          <w:p w14:paraId="0731FB48"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0.78</w:t>
            </w:r>
          </w:p>
        </w:tc>
      </w:tr>
      <w:tr w:rsidR="005A1A44" w14:paraId="25AA75CA" w14:textId="77777777">
        <w:trPr>
          <w:trHeight w:val="248"/>
        </w:trPr>
        <w:tc>
          <w:tcPr>
            <w:tcW w:w="2071" w:type="dxa"/>
            <w:vAlign w:val="center"/>
          </w:tcPr>
          <w:p w14:paraId="437A757C"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高锰酸盐指数</w:t>
            </w:r>
          </w:p>
        </w:tc>
        <w:tc>
          <w:tcPr>
            <w:tcW w:w="1187" w:type="dxa"/>
            <w:vAlign w:val="center"/>
          </w:tcPr>
          <w:p w14:paraId="4BF9F7D4"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1.20</w:t>
            </w:r>
          </w:p>
        </w:tc>
        <w:tc>
          <w:tcPr>
            <w:tcW w:w="954" w:type="dxa"/>
            <w:vAlign w:val="center"/>
          </w:tcPr>
          <w:p w14:paraId="4FA55B6D"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≤4</w:t>
            </w:r>
          </w:p>
        </w:tc>
        <w:tc>
          <w:tcPr>
            <w:tcW w:w="1350" w:type="dxa"/>
            <w:vAlign w:val="center"/>
          </w:tcPr>
          <w:p w14:paraId="15B15584"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0.30</w:t>
            </w:r>
          </w:p>
        </w:tc>
        <w:tc>
          <w:tcPr>
            <w:tcW w:w="1228" w:type="dxa"/>
            <w:vAlign w:val="center"/>
          </w:tcPr>
          <w:p w14:paraId="4F2A7887"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1.00</w:t>
            </w:r>
          </w:p>
        </w:tc>
        <w:tc>
          <w:tcPr>
            <w:tcW w:w="1213" w:type="dxa"/>
            <w:vAlign w:val="center"/>
          </w:tcPr>
          <w:p w14:paraId="2B5EA923"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≤4</w:t>
            </w:r>
          </w:p>
        </w:tc>
        <w:tc>
          <w:tcPr>
            <w:tcW w:w="847" w:type="dxa"/>
            <w:vAlign w:val="center"/>
          </w:tcPr>
          <w:p w14:paraId="698B723D"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0.25</w:t>
            </w:r>
          </w:p>
        </w:tc>
      </w:tr>
      <w:tr w:rsidR="005A1A44" w14:paraId="10BB573A" w14:textId="77777777">
        <w:tc>
          <w:tcPr>
            <w:tcW w:w="2071" w:type="dxa"/>
            <w:vAlign w:val="center"/>
          </w:tcPr>
          <w:p w14:paraId="177581E1"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化学需氧量</w:t>
            </w:r>
          </w:p>
        </w:tc>
        <w:tc>
          <w:tcPr>
            <w:tcW w:w="1187" w:type="dxa"/>
            <w:vAlign w:val="center"/>
          </w:tcPr>
          <w:p w14:paraId="120450C2"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7.20</w:t>
            </w:r>
          </w:p>
        </w:tc>
        <w:tc>
          <w:tcPr>
            <w:tcW w:w="954" w:type="dxa"/>
            <w:vAlign w:val="center"/>
          </w:tcPr>
          <w:p w14:paraId="4A9AE8E9"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≤15</w:t>
            </w:r>
          </w:p>
        </w:tc>
        <w:tc>
          <w:tcPr>
            <w:tcW w:w="1350" w:type="dxa"/>
            <w:vAlign w:val="center"/>
          </w:tcPr>
          <w:p w14:paraId="33E60298"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0.48</w:t>
            </w:r>
          </w:p>
        </w:tc>
        <w:tc>
          <w:tcPr>
            <w:tcW w:w="1228" w:type="dxa"/>
            <w:vAlign w:val="center"/>
          </w:tcPr>
          <w:p w14:paraId="19FE53CB"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10.35</w:t>
            </w:r>
          </w:p>
        </w:tc>
        <w:tc>
          <w:tcPr>
            <w:tcW w:w="1213" w:type="dxa"/>
            <w:vAlign w:val="center"/>
          </w:tcPr>
          <w:p w14:paraId="4CE14CAA"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≤15</w:t>
            </w:r>
          </w:p>
        </w:tc>
        <w:tc>
          <w:tcPr>
            <w:tcW w:w="847" w:type="dxa"/>
            <w:vAlign w:val="center"/>
          </w:tcPr>
          <w:p w14:paraId="7A46FF41"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0.69</w:t>
            </w:r>
          </w:p>
        </w:tc>
      </w:tr>
      <w:tr w:rsidR="005A1A44" w14:paraId="2AD8DDF2" w14:textId="77777777">
        <w:tc>
          <w:tcPr>
            <w:tcW w:w="2071" w:type="dxa"/>
            <w:vAlign w:val="center"/>
          </w:tcPr>
          <w:p w14:paraId="7E0E1439"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五日生化需氧量</w:t>
            </w:r>
          </w:p>
        </w:tc>
        <w:tc>
          <w:tcPr>
            <w:tcW w:w="1187" w:type="dxa"/>
            <w:vAlign w:val="center"/>
          </w:tcPr>
          <w:p w14:paraId="7D2ACBD5"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&lt;2.01</w:t>
            </w:r>
          </w:p>
        </w:tc>
        <w:tc>
          <w:tcPr>
            <w:tcW w:w="954" w:type="dxa"/>
            <w:vAlign w:val="center"/>
          </w:tcPr>
          <w:p w14:paraId="6DDAB7C4"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≤3</w:t>
            </w:r>
          </w:p>
        </w:tc>
        <w:tc>
          <w:tcPr>
            <w:tcW w:w="1350" w:type="dxa"/>
            <w:vAlign w:val="center"/>
          </w:tcPr>
          <w:p w14:paraId="7AC8D11C"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&lt;0.67</w:t>
            </w:r>
          </w:p>
        </w:tc>
        <w:tc>
          <w:tcPr>
            <w:tcW w:w="1228" w:type="dxa"/>
            <w:vAlign w:val="center"/>
          </w:tcPr>
          <w:p w14:paraId="050B2991"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&lt;2.01</w:t>
            </w:r>
          </w:p>
        </w:tc>
        <w:tc>
          <w:tcPr>
            <w:tcW w:w="1213" w:type="dxa"/>
            <w:vAlign w:val="center"/>
          </w:tcPr>
          <w:p w14:paraId="18466609"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≤3</w:t>
            </w:r>
          </w:p>
        </w:tc>
        <w:tc>
          <w:tcPr>
            <w:tcW w:w="847" w:type="dxa"/>
            <w:vAlign w:val="center"/>
          </w:tcPr>
          <w:p w14:paraId="5FC53040"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&lt;0.67</w:t>
            </w:r>
          </w:p>
        </w:tc>
      </w:tr>
      <w:tr w:rsidR="005A1A44" w14:paraId="691D0861" w14:textId="77777777">
        <w:tc>
          <w:tcPr>
            <w:tcW w:w="2071" w:type="dxa"/>
            <w:vAlign w:val="center"/>
          </w:tcPr>
          <w:p w14:paraId="5CC74675"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氨氮</w:t>
            </w:r>
          </w:p>
        </w:tc>
        <w:tc>
          <w:tcPr>
            <w:tcW w:w="1187" w:type="dxa"/>
            <w:vAlign w:val="center"/>
          </w:tcPr>
          <w:p w14:paraId="63E6E386"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0.44</w:t>
            </w:r>
          </w:p>
        </w:tc>
        <w:tc>
          <w:tcPr>
            <w:tcW w:w="954" w:type="dxa"/>
            <w:vAlign w:val="center"/>
          </w:tcPr>
          <w:p w14:paraId="2BB37089"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≤0.5</w:t>
            </w:r>
          </w:p>
        </w:tc>
        <w:tc>
          <w:tcPr>
            <w:tcW w:w="1350" w:type="dxa"/>
            <w:vAlign w:val="center"/>
          </w:tcPr>
          <w:p w14:paraId="1DF0FDFB"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0.88</w:t>
            </w:r>
          </w:p>
        </w:tc>
        <w:tc>
          <w:tcPr>
            <w:tcW w:w="1228" w:type="dxa"/>
            <w:vAlign w:val="center"/>
          </w:tcPr>
          <w:p w14:paraId="414C413A"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0.30</w:t>
            </w:r>
          </w:p>
        </w:tc>
        <w:tc>
          <w:tcPr>
            <w:tcW w:w="1213" w:type="dxa"/>
            <w:vAlign w:val="center"/>
          </w:tcPr>
          <w:p w14:paraId="256F2D02"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≤0.5</w:t>
            </w:r>
          </w:p>
        </w:tc>
        <w:tc>
          <w:tcPr>
            <w:tcW w:w="847" w:type="dxa"/>
            <w:vAlign w:val="center"/>
          </w:tcPr>
          <w:p w14:paraId="351E5E86"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0.59</w:t>
            </w:r>
          </w:p>
        </w:tc>
      </w:tr>
      <w:tr w:rsidR="005A1A44" w14:paraId="725D076D" w14:textId="77777777">
        <w:tc>
          <w:tcPr>
            <w:tcW w:w="2071" w:type="dxa"/>
            <w:vAlign w:val="center"/>
          </w:tcPr>
          <w:p w14:paraId="19D758F1"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铜</w:t>
            </w:r>
          </w:p>
        </w:tc>
        <w:tc>
          <w:tcPr>
            <w:tcW w:w="1187" w:type="dxa"/>
            <w:vAlign w:val="center"/>
          </w:tcPr>
          <w:p w14:paraId="757BD802"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&lt;0.10</w:t>
            </w:r>
          </w:p>
        </w:tc>
        <w:tc>
          <w:tcPr>
            <w:tcW w:w="954" w:type="dxa"/>
            <w:vAlign w:val="center"/>
          </w:tcPr>
          <w:p w14:paraId="2B1AC95A"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≤1.0</w:t>
            </w:r>
          </w:p>
        </w:tc>
        <w:tc>
          <w:tcPr>
            <w:tcW w:w="1350" w:type="dxa"/>
            <w:vAlign w:val="center"/>
          </w:tcPr>
          <w:p w14:paraId="3DAB48A7"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&lt;0.10</w:t>
            </w:r>
          </w:p>
        </w:tc>
        <w:tc>
          <w:tcPr>
            <w:tcW w:w="1228" w:type="dxa"/>
            <w:vAlign w:val="center"/>
          </w:tcPr>
          <w:p w14:paraId="6F0F0907"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&lt;0.10</w:t>
            </w:r>
          </w:p>
        </w:tc>
        <w:tc>
          <w:tcPr>
            <w:tcW w:w="1213" w:type="dxa"/>
            <w:vAlign w:val="center"/>
          </w:tcPr>
          <w:p w14:paraId="2EDA53FF"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≤1.0</w:t>
            </w:r>
          </w:p>
        </w:tc>
        <w:tc>
          <w:tcPr>
            <w:tcW w:w="847" w:type="dxa"/>
            <w:vAlign w:val="center"/>
          </w:tcPr>
          <w:p w14:paraId="08D51A42"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&lt;0.10</w:t>
            </w:r>
          </w:p>
        </w:tc>
      </w:tr>
      <w:tr w:rsidR="005A1A44" w14:paraId="413612DC" w14:textId="77777777">
        <w:tc>
          <w:tcPr>
            <w:tcW w:w="2071" w:type="dxa"/>
            <w:vAlign w:val="center"/>
          </w:tcPr>
          <w:p w14:paraId="75F2DC4D"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锌</w:t>
            </w:r>
          </w:p>
        </w:tc>
        <w:tc>
          <w:tcPr>
            <w:tcW w:w="1187" w:type="dxa"/>
            <w:vAlign w:val="center"/>
          </w:tcPr>
          <w:p w14:paraId="00FA71FC"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&lt;1.00</w:t>
            </w:r>
          </w:p>
        </w:tc>
        <w:tc>
          <w:tcPr>
            <w:tcW w:w="954" w:type="dxa"/>
            <w:vAlign w:val="center"/>
          </w:tcPr>
          <w:p w14:paraId="22F37557"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≤1.0</w:t>
            </w:r>
          </w:p>
        </w:tc>
        <w:tc>
          <w:tcPr>
            <w:tcW w:w="1350" w:type="dxa"/>
            <w:vAlign w:val="center"/>
          </w:tcPr>
          <w:p w14:paraId="70E94533"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&lt;1.00</w:t>
            </w:r>
          </w:p>
        </w:tc>
        <w:tc>
          <w:tcPr>
            <w:tcW w:w="1228" w:type="dxa"/>
            <w:vAlign w:val="center"/>
          </w:tcPr>
          <w:p w14:paraId="40109C84"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&lt;1.00</w:t>
            </w:r>
          </w:p>
        </w:tc>
        <w:tc>
          <w:tcPr>
            <w:tcW w:w="1213" w:type="dxa"/>
            <w:vAlign w:val="center"/>
          </w:tcPr>
          <w:p w14:paraId="5851543C"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≤1.0</w:t>
            </w:r>
          </w:p>
        </w:tc>
        <w:tc>
          <w:tcPr>
            <w:tcW w:w="847" w:type="dxa"/>
            <w:vAlign w:val="center"/>
          </w:tcPr>
          <w:p w14:paraId="43196B4C"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&lt;1.00</w:t>
            </w:r>
          </w:p>
        </w:tc>
      </w:tr>
      <w:tr w:rsidR="005A1A44" w14:paraId="3B9BCAA1" w14:textId="77777777">
        <w:tc>
          <w:tcPr>
            <w:tcW w:w="2071" w:type="dxa"/>
            <w:vAlign w:val="center"/>
          </w:tcPr>
          <w:p w14:paraId="527E4A01"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氟化物（以F-计）</w:t>
            </w:r>
          </w:p>
        </w:tc>
        <w:tc>
          <w:tcPr>
            <w:tcW w:w="1187" w:type="dxa"/>
            <w:vAlign w:val="center"/>
          </w:tcPr>
          <w:p w14:paraId="51E9D829"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0.52</w:t>
            </w:r>
          </w:p>
        </w:tc>
        <w:tc>
          <w:tcPr>
            <w:tcW w:w="954" w:type="dxa"/>
            <w:vAlign w:val="center"/>
          </w:tcPr>
          <w:p w14:paraId="131687E5"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≤1.0</w:t>
            </w:r>
          </w:p>
        </w:tc>
        <w:tc>
          <w:tcPr>
            <w:tcW w:w="1350" w:type="dxa"/>
            <w:vAlign w:val="center"/>
          </w:tcPr>
          <w:p w14:paraId="62681E5A"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0.52</w:t>
            </w:r>
          </w:p>
        </w:tc>
        <w:tc>
          <w:tcPr>
            <w:tcW w:w="1228" w:type="dxa"/>
            <w:vAlign w:val="center"/>
          </w:tcPr>
          <w:p w14:paraId="4F614B72"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0.57</w:t>
            </w:r>
          </w:p>
        </w:tc>
        <w:tc>
          <w:tcPr>
            <w:tcW w:w="1213" w:type="dxa"/>
            <w:vAlign w:val="center"/>
          </w:tcPr>
          <w:p w14:paraId="62982BB4"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≤1.0</w:t>
            </w:r>
          </w:p>
        </w:tc>
        <w:tc>
          <w:tcPr>
            <w:tcW w:w="847" w:type="dxa"/>
            <w:vAlign w:val="center"/>
          </w:tcPr>
          <w:p w14:paraId="02D189B0"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0.57</w:t>
            </w:r>
          </w:p>
        </w:tc>
      </w:tr>
      <w:tr w:rsidR="005A1A44" w14:paraId="1A424B06" w14:textId="77777777">
        <w:tc>
          <w:tcPr>
            <w:tcW w:w="2071" w:type="dxa"/>
            <w:vAlign w:val="center"/>
          </w:tcPr>
          <w:p w14:paraId="62B943FA"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lastRenderedPageBreak/>
              <w:t>硒</w:t>
            </w:r>
          </w:p>
        </w:tc>
        <w:tc>
          <w:tcPr>
            <w:tcW w:w="1187" w:type="dxa"/>
            <w:vAlign w:val="center"/>
          </w:tcPr>
          <w:p w14:paraId="7871B538"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&lt;0.0005</w:t>
            </w:r>
          </w:p>
        </w:tc>
        <w:tc>
          <w:tcPr>
            <w:tcW w:w="954" w:type="dxa"/>
            <w:vAlign w:val="center"/>
          </w:tcPr>
          <w:p w14:paraId="3D4218A9"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≤0.01</w:t>
            </w:r>
          </w:p>
        </w:tc>
        <w:tc>
          <w:tcPr>
            <w:tcW w:w="1350" w:type="dxa"/>
            <w:vAlign w:val="center"/>
          </w:tcPr>
          <w:p w14:paraId="2BB8D3DA"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&lt;0.05</w:t>
            </w:r>
          </w:p>
        </w:tc>
        <w:tc>
          <w:tcPr>
            <w:tcW w:w="1228" w:type="dxa"/>
            <w:vAlign w:val="center"/>
          </w:tcPr>
          <w:p w14:paraId="6CA41E78"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&lt;0.0005</w:t>
            </w:r>
          </w:p>
        </w:tc>
        <w:tc>
          <w:tcPr>
            <w:tcW w:w="1213" w:type="dxa"/>
            <w:vAlign w:val="center"/>
          </w:tcPr>
          <w:p w14:paraId="6F31DE59"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≤0.01</w:t>
            </w:r>
          </w:p>
        </w:tc>
        <w:tc>
          <w:tcPr>
            <w:tcW w:w="847" w:type="dxa"/>
            <w:vAlign w:val="center"/>
          </w:tcPr>
          <w:p w14:paraId="672BE6CE"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&lt;0.05</w:t>
            </w:r>
          </w:p>
        </w:tc>
      </w:tr>
      <w:tr w:rsidR="005A1A44" w14:paraId="369359C7" w14:textId="77777777">
        <w:tc>
          <w:tcPr>
            <w:tcW w:w="2071" w:type="dxa"/>
            <w:vAlign w:val="center"/>
          </w:tcPr>
          <w:p w14:paraId="7C44E504"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砷</w:t>
            </w:r>
          </w:p>
        </w:tc>
        <w:tc>
          <w:tcPr>
            <w:tcW w:w="1187" w:type="dxa"/>
            <w:vAlign w:val="center"/>
          </w:tcPr>
          <w:p w14:paraId="7A12C15C"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&lt;0.0005</w:t>
            </w:r>
          </w:p>
        </w:tc>
        <w:tc>
          <w:tcPr>
            <w:tcW w:w="954" w:type="dxa"/>
            <w:vAlign w:val="center"/>
          </w:tcPr>
          <w:p w14:paraId="3C90F0D1"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≤0.05</w:t>
            </w:r>
          </w:p>
        </w:tc>
        <w:tc>
          <w:tcPr>
            <w:tcW w:w="1350" w:type="dxa"/>
            <w:vAlign w:val="center"/>
          </w:tcPr>
          <w:p w14:paraId="1F734849"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&lt;0.01</w:t>
            </w:r>
          </w:p>
        </w:tc>
        <w:tc>
          <w:tcPr>
            <w:tcW w:w="1228" w:type="dxa"/>
            <w:vAlign w:val="center"/>
          </w:tcPr>
          <w:p w14:paraId="24A8E180"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&lt;0.0005</w:t>
            </w:r>
          </w:p>
        </w:tc>
        <w:tc>
          <w:tcPr>
            <w:tcW w:w="1213" w:type="dxa"/>
            <w:vAlign w:val="center"/>
          </w:tcPr>
          <w:p w14:paraId="7DDFC230"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≤0.05</w:t>
            </w:r>
          </w:p>
        </w:tc>
        <w:tc>
          <w:tcPr>
            <w:tcW w:w="847" w:type="dxa"/>
            <w:vAlign w:val="center"/>
          </w:tcPr>
          <w:p w14:paraId="0C29B1B6"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&lt;0.01</w:t>
            </w:r>
          </w:p>
        </w:tc>
      </w:tr>
      <w:tr w:rsidR="005A1A44" w14:paraId="30850A0B" w14:textId="77777777">
        <w:tc>
          <w:tcPr>
            <w:tcW w:w="2071" w:type="dxa"/>
            <w:vAlign w:val="center"/>
          </w:tcPr>
          <w:p w14:paraId="4DE7E5C8"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汞</w:t>
            </w:r>
          </w:p>
        </w:tc>
        <w:tc>
          <w:tcPr>
            <w:tcW w:w="1187" w:type="dxa"/>
            <w:vAlign w:val="center"/>
          </w:tcPr>
          <w:p w14:paraId="5467163A"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&lt;0.000001</w:t>
            </w:r>
          </w:p>
        </w:tc>
        <w:tc>
          <w:tcPr>
            <w:tcW w:w="954" w:type="dxa"/>
            <w:vAlign w:val="center"/>
          </w:tcPr>
          <w:p w14:paraId="11CC907B"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≤0.00005</w:t>
            </w:r>
          </w:p>
        </w:tc>
        <w:tc>
          <w:tcPr>
            <w:tcW w:w="1350" w:type="dxa"/>
            <w:vAlign w:val="center"/>
          </w:tcPr>
          <w:p w14:paraId="6FCF7740"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&lt;0.20</w:t>
            </w:r>
          </w:p>
        </w:tc>
        <w:tc>
          <w:tcPr>
            <w:tcW w:w="1228" w:type="dxa"/>
            <w:vAlign w:val="center"/>
          </w:tcPr>
          <w:p w14:paraId="051ED7C7"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&lt;0.000001</w:t>
            </w:r>
          </w:p>
        </w:tc>
        <w:tc>
          <w:tcPr>
            <w:tcW w:w="1213" w:type="dxa"/>
            <w:vAlign w:val="center"/>
          </w:tcPr>
          <w:p w14:paraId="0B4894C9"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≤0.00005</w:t>
            </w:r>
          </w:p>
        </w:tc>
        <w:tc>
          <w:tcPr>
            <w:tcW w:w="847" w:type="dxa"/>
            <w:vAlign w:val="center"/>
          </w:tcPr>
          <w:p w14:paraId="7A808BED"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&lt;0.20</w:t>
            </w:r>
          </w:p>
        </w:tc>
      </w:tr>
      <w:tr w:rsidR="005A1A44" w14:paraId="00F84695" w14:textId="77777777">
        <w:tc>
          <w:tcPr>
            <w:tcW w:w="2071" w:type="dxa"/>
            <w:vAlign w:val="center"/>
          </w:tcPr>
          <w:p w14:paraId="7ADF2714"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镉</w:t>
            </w:r>
          </w:p>
        </w:tc>
        <w:tc>
          <w:tcPr>
            <w:tcW w:w="1187" w:type="dxa"/>
            <w:vAlign w:val="center"/>
          </w:tcPr>
          <w:p w14:paraId="5DEB175C"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&lt;0.0025</w:t>
            </w:r>
          </w:p>
        </w:tc>
        <w:tc>
          <w:tcPr>
            <w:tcW w:w="954" w:type="dxa"/>
            <w:vAlign w:val="center"/>
          </w:tcPr>
          <w:p w14:paraId="1EEC103F"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≤0.005</w:t>
            </w:r>
          </w:p>
        </w:tc>
        <w:tc>
          <w:tcPr>
            <w:tcW w:w="1350" w:type="dxa"/>
            <w:vAlign w:val="center"/>
          </w:tcPr>
          <w:p w14:paraId="613802F9"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&lt;0.50</w:t>
            </w:r>
          </w:p>
        </w:tc>
        <w:tc>
          <w:tcPr>
            <w:tcW w:w="1228" w:type="dxa"/>
            <w:vAlign w:val="center"/>
          </w:tcPr>
          <w:p w14:paraId="3CD6EC3D"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&lt;0.0025</w:t>
            </w:r>
          </w:p>
        </w:tc>
        <w:tc>
          <w:tcPr>
            <w:tcW w:w="1213" w:type="dxa"/>
            <w:vAlign w:val="center"/>
          </w:tcPr>
          <w:p w14:paraId="1C31BB93"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≤0.005</w:t>
            </w:r>
          </w:p>
        </w:tc>
        <w:tc>
          <w:tcPr>
            <w:tcW w:w="847" w:type="dxa"/>
            <w:vAlign w:val="center"/>
          </w:tcPr>
          <w:p w14:paraId="3AF5C0F5"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&lt;0.50</w:t>
            </w:r>
          </w:p>
        </w:tc>
      </w:tr>
      <w:tr w:rsidR="005A1A44" w14:paraId="0CEADEA8" w14:textId="77777777">
        <w:tc>
          <w:tcPr>
            <w:tcW w:w="2071" w:type="dxa"/>
            <w:vAlign w:val="center"/>
          </w:tcPr>
          <w:p w14:paraId="4FB871DC"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六价铬</w:t>
            </w:r>
          </w:p>
        </w:tc>
        <w:tc>
          <w:tcPr>
            <w:tcW w:w="1187" w:type="dxa"/>
            <w:vAlign w:val="center"/>
          </w:tcPr>
          <w:p w14:paraId="71F4D372"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&lt;0.02</w:t>
            </w:r>
          </w:p>
        </w:tc>
        <w:tc>
          <w:tcPr>
            <w:tcW w:w="954" w:type="dxa"/>
            <w:vAlign w:val="center"/>
          </w:tcPr>
          <w:p w14:paraId="5860AF81"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≤0.05</w:t>
            </w:r>
          </w:p>
        </w:tc>
        <w:tc>
          <w:tcPr>
            <w:tcW w:w="1350" w:type="dxa"/>
            <w:vAlign w:val="center"/>
          </w:tcPr>
          <w:p w14:paraId="1039C1B5"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&lt;0.40</w:t>
            </w:r>
          </w:p>
        </w:tc>
        <w:tc>
          <w:tcPr>
            <w:tcW w:w="1228" w:type="dxa"/>
            <w:vAlign w:val="center"/>
          </w:tcPr>
          <w:p w14:paraId="12C8E811"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&lt;0.02</w:t>
            </w:r>
          </w:p>
        </w:tc>
        <w:tc>
          <w:tcPr>
            <w:tcW w:w="1213" w:type="dxa"/>
            <w:vAlign w:val="center"/>
          </w:tcPr>
          <w:p w14:paraId="407B8734"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≤0.05</w:t>
            </w:r>
          </w:p>
        </w:tc>
        <w:tc>
          <w:tcPr>
            <w:tcW w:w="847" w:type="dxa"/>
            <w:vAlign w:val="center"/>
          </w:tcPr>
          <w:p w14:paraId="5DFEA41D"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&lt;0.40</w:t>
            </w:r>
          </w:p>
        </w:tc>
      </w:tr>
      <w:tr w:rsidR="005A1A44" w14:paraId="13BE9973" w14:textId="77777777">
        <w:tc>
          <w:tcPr>
            <w:tcW w:w="2071" w:type="dxa"/>
            <w:vAlign w:val="center"/>
          </w:tcPr>
          <w:p w14:paraId="296C78A6"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铅</w:t>
            </w:r>
          </w:p>
        </w:tc>
        <w:tc>
          <w:tcPr>
            <w:tcW w:w="1187" w:type="dxa"/>
            <w:vAlign w:val="center"/>
          </w:tcPr>
          <w:p w14:paraId="415D32D3"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&lt;0.001</w:t>
            </w:r>
          </w:p>
        </w:tc>
        <w:tc>
          <w:tcPr>
            <w:tcW w:w="954" w:type="dxa"/>
            <w:vAlign w:val="center"/>
          </w:tcPr>
          <w:p w14:paraId="2F739D2C"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≤0.01</w:t>
            </w:r>
          </w:p>
        </w:tc>
        <w:tc>
          <w:tcPr>
            <w:tcW w:w="1350" w:type="dxa"/>
            <w:vAlign w:val="center"/>
          </w:tcPr>
          <w:p w14:paraId="016176A2"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&lt;0.10</w:t>
            </w:r>
          </w:p>
        </w:tc>
        <w:tc>
          <w:tcPr>
            <w:tcW w:w="1228" w:type="dxa"/>
            <w:vAlign w:val="center"/>
          </w:tcPr>
          <w:p w14:paraId="1310C992"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&lt;0.001</w:t>
            </w:r>
          </w:p>
        </w:tc>
        <w:tc>
          <w:tcPr>
            <w:tcW w:w="1213" w:type="dxa"/>
            <w:vAlign w:val="center"/>
          </w:tcPr>
          <w:p w14:paraId="061199AB"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≤0.01</w:t>
            </w:r>
          </w:p>
        </w:tc>
        <w:tc>
          <w:tcPr>
            <w:tcW w:w="847" w:type="dxa"/>
            <w:vAlign w:val="center"/>
          </w:tcPr>
          <w:p w14:paraId="6C40F9DE"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&lt;0.10</w:t>
            </w:r>
          </w:p>
        </w:tc>
      </w:tr>
      <w:tr w:rsidR="005A1A44" w14:paraId="56D57EC1" w14:textId="77777777">
        <w:tc>
          <w:tcPr>
            <w:tcW w:w="2071" w:type="dxa"/>
            <w:vAlign w:val="center"/>
          </w:tcPr>
          <w:p w14:paraId="121179EB"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氰化物</w:t>
            </w:r>
          </w:p>
        </w:tc>
        <w:tc>
          <w:tcPr>
            <w:tcW w:w="1187" w:type="dxa"/>
            <w:vAlign w:val="center"/>
          </w:tcPr>
          <w:p w14:paraId="437ED522"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&lt;0.04</w:t>
            </w:r>
          </w:p>
        </w:tc>
        <w:tc>
          <w:tcPr>
            <w:tcW w:w="954" w:type="dxa"/>
            <w:vAlign w:val="center"/>
          </w:tcPr>
          <w:p w14:paraId="73C34BFF"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≤0.05</w:t>
            </w:r>
          </w:p>
        </w:tc>
        <w:tc>
          <w:tcPr>
            <w:tcW w:w="1350" w:type="dxa"/>
            <w:vAlign w:val="center"/>
          </w:tcPr>
          <w:p w14:paraId="26475CE4"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&lt;0.80</w:t>
            </w:r>
          </w:p>
        </w:tc>
        <w:tc>
          <w:tcPr>
            <w:tcW w:w="1228" w:type="dxa"/>
            <w:vAlign w:val="center"/>
          </w:tcPr>
          <w:p w14:paraId="1AC355FF"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&lt;0.04</w:t>
            </w:r>
          </w:p>
        </w:tc>
        <w:tc>
          <w:tcPr>
            <w:tcW w:w="1213" w:type="dxa"/>
            <w:vAlign w:val="center"/>
          </w:tcPr>
          <w:p w14:paraId="52C6CFD5"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≤0.05</w:t>
            </w:r>
          </w:p>
        </w:tc>
        <w:tc>
          <w:tcPr>
            <w:tcW w:w="847" w:type="dxa"/>
            <w:vAlign w:val="center"/>
          </w:tcPr>
          <w:p w14:paraId="30200110"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&lt;0.80</w:t>
            </w:r>
          </w:p>
        </w:tc>
      </w:tr>
      <w:tr w:rsidR="005A1A44" w14:paraId="0374DF7E" w14:textId="77777777">
        <w:tc>
          <w:tcPr>
            <w:tcW w:w="2071" w:type="dxa"/>
            <w:vAlign w:val="center"/>
          </w:tcPr>
          <w:p w14:paraId="576C97F1"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挥发酚</w:t>
            </w:r>
          </w:p>
        </w:tc>
        <w:tc>
          <w:tcPr>
            <w:tcW w:w="1187" w:type="dxa"/>
            <w:vAlign w:val="center"/>
          </w:tcPr>
          <w:p w14:paraId="7C0DCC9E"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&lt;0.0003</w:t>
            </w:r>
          </w:p>
        </w:tc>
        <w:tc>
          <w:tcPr>
            <w:tcW w:w="954" w:type="dxa"/>
            <w:vAlign w:val="center"/>
          </w:tcPr>
          <w:p w14:paraId="386FC1F5"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≤0.002</w:t>
            </w:r>
          </w:p>
        </w:tc>
        <w:tc>
          <w:tcPr>
            <w:tcW w:w="1350" w:type="dxa"/>
            <w:vAlign w:val="center"/>
          </w:tcPr>
          <w:p w14:paraId="3270B7E2"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&lt;0.15</w:t>
            </w:r>
          </w:p>
        </w:tc>
        <w:tc>
          <w:tcPr>
            <w:tcW w:w="1228" w:type="dxa"/>
            <w:vAlign w:val="center"/>
          </w:tcPr>
          <w:p w14:paraId="294B37D0"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&lt;0.0003</w:t>
            </w:r>
          </w:p>
        </w:tc>
        <w:tc>
          <w:tcPr>
            <w:tcW w:w="1213" w:type="dxa"/>
            <w:vAlign w:val="center"/>
          </w:tcPr>
          <w:p w14:paraId="45A8F0D1"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≤0.002</w:t>
            </w:r>
          </w:p>
        </w:tc>
        <w:tc>
          <w:tcPr>
            <w:tcW w:w="847" w:type="dxa"/>
            <w:vAlign w:val="center"/>
          </w:tcPr>
          <w:p w14:paraId="7D2B5BFC"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&lt;0.15</w:t>
            </w:r>
          </w:p>
        </w:tc>
      </w:tr>
      <w:tr w:rsidR="005A1A44" w14:paraId="3073F5F4" w14:textId="77777777">
        <w:trPr>
          <w:trHeight w:val="90"/>
        </w:trPr>
        <w:tc>
          <w:tcPr>
            <w:tcW w:w="2071" w:type="dxa"/>
            <w:vAlign w:val="center"/>
          </w:tcPr>
          <w:p w14:paraId="35AE8B83"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石油类</w:t>
            </w:r>
          </w:p>
        </w:tc>
        <w:tc>
          <w:tcPr>
            <w:tcW w:w="1187" w:type="dxa"/>
            <w:vAlign w:val="center"/>
          </w:tcPr>
          <w:p w14:paraId="042AF6E9"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&lt;0.01</w:t>
            </w:r>
          </w:p>
        </w:tc>
        <w:tc>
          <w:tcPr>
            <w:tcW w:w="954" w:type="dxa"/>
            <w:vAlign w:val="center"/>
          </w:tcPr>
          <w:p w14:paraId="7F4F05B5"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≤0.05</w:t>
            </w:r>
          </w:p>
        </w:tc>
        <w:tc>
          <w:tcPr>
            <w:tcW w:w="1350" w:type="dxa"/>
            <w:vAlign w:val="center"/>
          </w:tcPr>
          <w:p w14:paraId="159AF262"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&lt;0.20</w:t>
            </w:r>
          </w:p>
        </w:tc>
        <w:tc>
          <w:tcPr>
            <w:tcW w:w="1228" w:type="dxa"/>
            <w:vAlign w:val="center"/>
          </w:tcPr>
          <w:p w14:paraId="7451565E"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&lt;0.01</w:t>
            </w:r>
          </w:p>
        </w:tc>
        <w:tc>
          <w:tcPr>
            <w:tcW w:w="1213" w:type="dxa"/>
            <w:vAlign w:val="center"/>
          </w:tcPr>
          <w:p w14:paraId="6F6B39E6"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≤0.05</w:t>
            </w:r>
          </w:p>
        </w:tc>
        <w:tc>
          <w:tcPr>
            <w:tcW w:w="847" w:type="dxa"/>
            <w:vAlign w:val="center"/>
          </w:tcPr>
          <w:p w14:paraId="7F99202A"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&lt;0.20</w:t>
            </w:r>
          </w:p>
        </w:tc>
      </w:tr>
      <w:tr w:rsidR="005A1A44" w14:paraId="0A4D4812" w14:textId="77777777">
        <w:tc>
          <w:tcPr>
            <w:tcW w:w="2071" w:type="dxa"/>
            <w:vAlign w:val="center"/>
          </w:tcPr>
          <w:p w14:paraId="6BAF4D82"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阴离子表面活性剂</w:t>
            </w:r>
          </w:p>
        </w:tc>
        <w:tc>
          <w:tcPr>
            <w:tcW w:w="1187" w:type="dxa"/>
            <w:vAlign w:val="center"/>
          </w:tcPr>
          <w:p w14:paraId="3F3D5316"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&lt;0.05</w:t>
            </w:r>
          </w:p>
        </w:tc>
        <w:tc>
          <w:tcPr>
            <w:tcW w:w="954" w:type="dxa"/>
            <w:vAlign w:val="center"/>
          </w:tcPr>
          <w:p w14:paraId="2EA94B56"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≤0.2</w:t>
            </w:r>
          </w:p>
        </w:tc>
        <w:tc>
          <w:tcPr>
            <w:tcW w:w="1350" w:type="dxa"/>
            <w:vAlign w:val="center"/>
          </w:tcPr>
          <w:p w14:paraId="2FBBDBA3"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&lt;0.25</w:t>
            </w:r>
          </w:p>
        </w:tc>
        <w:tc>
          <w:tcPr>
            <w:tcW w:w="1228" w:type="dxa"/>
            <w:vAlign w:val="center"/>
          </w:tcPr>
          <w:p w14:paraId="54E5DB4C"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&lt;0.05</w:t>
            </w:r>
          </w:p>
        </w:tc>
        <w:tc>
          <w:tcPr>
            <w:tcW w:w="1213" w:type="dxa"/>
            <w:vAlign w:val="center"/>
          </w:tcPr>
          <w:p w14:paraId="111ADFB5"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≤0.2</w:t>
            </w:r>
          </w:p>
        </w:tc>
        <w:tc>
          <w:tcPr>
            <w:tcW w:w="847" w:type="dxa"/>
            <w:vAlign w:val="center"/>
          </w:tcPr>
          <w:p w14:paraId="4F04E836" w14:textId="77777777" w:rsidR="005A1A44" w:rsidRDefault="0008059E">
            <w:pPr>
              <w:spacing w:line="240" w:lineRule="auto"/>
              <w:ind w:firstLineChars="0" w:firstLine="0"/>
              <w:jc w:val="center"/>
              <w:rPr>
                <w:rFonts w:ascii="宋体" w:eastAsia="宋体" w:hAnsi="宋体" w:cs="宋体" w:hint="eastAsia"/>
                <w:color w:val="000000"/>
                <w:sz w:val="21"/>
                <w:szCs w:val="21"/>
              </w:rPr>
            </w:pPr>
            <w:r>
              <w:rPr>
                <w:rFonts w:ascii="宋体" w:eastAsia="宋体" w:hAnsi="宋体" w:cs="宋体" w:hint="eastAsia"/>
                <w:color w:val="000000"/>
                <w:sz w:val="21"/>
                <w:szCs w:val="21"/>
              </w:rPr>
              <w:t>&lt;0.25</w:t>
            </w:r>
          </w:p>
        </w:tc>
      </w:tr>
    </w:tbl>
    <w:p w14:paraId="51D295F5" w14:textId="77777777" w:rsidR="005A1A44" w:rsidRDefault="005A1A44">
      <w:pPr>
        <w:spacing w:line="240" w:lineRule="auto"/>
        <w:ind w:firstLineChars="0" w:firstLine="0"/>
        <w:jc w:val="left"/>
        <w:rPr>
          <w:rFonts w:ascii="宋体" w:eastAsia="宋体" w:hAnsi="宋体" w:hint="eastAsia"/>
          <w:color w:val="000000"/>
        </w:rPr>
      </w:pPr>
    </w:p>
    <w:p w14:paraId="16CFB36B" w14:textId="77777777" w:rsidR="005A1A44" w:rsidRDefault="0008059E">
      <w:pPr>
        <w:ind w:firstLine="480"/>
      </w:pPr>
      <w:r>
        <w:rPr>
          <w:rFonts w:hint="eastAsia"/>
        </w:rPr>
        <w:t>由表中的结果分析可知</w:t>
      </w:r>
      <w:r>
        <w:rPr>
          <w:rFonts w:hint="eastAsia"/>
        </w:rPr>
        <w:t>2016</w:t>
      </w:r>
      <w:r>
        <w:rPr>
          <w:rFonts w:hint="eastAsia"/>
        </w:rPr>
        <w:t>年玉龙喀什河各监测断面水质较好，各断面均满足河段水环境功能区划确定的水质目标要求。</w:t>
      </w:r>
    </w:p>
    <w:p w14:paraId="3922DA6D" w14:textId="77777777" w:rsidR="005A1A44" w:rsidRDefault="0008059E">
      <w:pPr>
        <w:pStyle w:val="2"/>
        <w:numPr>
          <w:ilvl w:val="1"/>
          <w:numId w:val="2"/>
        </w:numPr>
      </w:pPr>
      <w:bookmarkStart w:id="163" w:name="_Toc5032_WPSOffice_Level2"/>
      <w:r>
        <w:rPr>
          <w:rFonts w:hint="eastAsia"/>
        </w:rPr>
        <w:t xml:space="preserve"> </w:t>
      </w:r>
      <w:bookmarkStart w:id="164" w:name="_Toc24321_WPSOffice_Level2"/>
      <w:bookmarkStart w:id="165" w:name="_Toc11201_WPSOffice_Level2"/>
      <w:r>
        <w:rPr>
          <w:rFonts w:hint="eastAsia"/>
        </w:rPr>
        <w:t>地下水环境现状调查与评价</w:t>
      </w:r>
      <w:bookmarkEnd w:id="163"/>
      <w:bookmarkEnd w:id="164"/>
      <w:bookmarkEnd w:id="165"/>
    </w:p>
    <w:p w14:paraId="0922572D" w14:textId="77777777" w:rsidR="005A1A44" w:rsidRDefault="0008059E">
      <w:pPr>
        <w:pStyle w:val="3"/>
        <w:numPr>
          <w:ilvl w:val="2"/>
          <w:numId w:val="2"/>
        </w:numPr>
      </w:pPr>
      <w:r>
        <w:rPr>
          <w:rFonts w:hint="eastAsia"/>
        </w:rPr>
        <w:t xml:space="preserve"> </w:t>
      </w:r>
      <w:r>
        <w:rPr>
          <w:rFonts w:hint="eastAsia"/>
        </w:rPr>
        <w:t>监测布点</w:t>
      </w:r>
    </w:p>
    <w:p w14:paraId="05770915" w14:textId="77777777" w:rsidR="005A1A44" w:rsidRDefault="0008059E">
      <w:pPr>
        <w:ind w:firstLine="480"/>
      </w:pPr>
      <w:r>
        <w:rPr>
          <w:rFonts w:hint="eastAsia"/>
        </w:rPr>
        <w:t>采用项目区内和田市项目区附近地下水水源水水质进行评价，监测点位分别位于和田市吐沙拉乡厂水源地、和田市玉河东部一乡一镇水厂水源地内。</w:t>
      </w:r>
    </w:p>
    <w:p w14:paraId="42A412CA" w14:textId="77777777" w:rsidR="005A1A44" w:rsidRDefault="0008059E">
      <w:pPr>
        <w:pStyle w:val="3"/>
        <w:numPr>
          <w:ilvl w:val="2"/>
          <w:numId w:val="2"/>
        </w:numPr>
      </w:pPr>
      <w:r>
        <w:rPr>
          <w:rFonts w:hint="eastAsia"/>
        </w:rPr>
        <w:t xml:space="preserve"> </w:t>
      </w:r>
      <w:r>
        <w:rPr>
          <w:rFonts w:hint="eastAsia"/>
        </w:rPr>
        <w:t>监测因子</w:t>
      </w:r>
    </w:p>
    <w:p w14:paraId="2B71B703" w14:textId="77777777" w:rsidR="005A1A44" w:rsidRDefault="0008059E">
      <w:pPr>
        <w:ind w:firstLine="480"/>
        <w:rPr>
          <w:rFonts w:ascii="宋体" w:hAnsi="宋体" w:hint="eastAsia"/>
        </w:rPr>
      </w:pPr>
      <w:r>
        <w:rPr>
          <w:rFonts w:ascii="宋体" w:hAnsi="宋体" w:hint="eastAsia"/>
        </w:rPr>
        <w:t>根据《地下水质量标准（GB/T14848-2017）要求，对评价区地下水水质进行评价，选择评价因子包括：色度、味和嗅、浑浊度、肉眼可见物、PH值、SO</w:t>
      </w:r>
      <w:r>
        <w:rPr>
          <w:rFonts w:ascii="宋体" w:hAnsi="宋体" w:hint="eastAsia"/>
          <w:vertAlign w:val="subscript"/>
        </w:rPr>
        <w:t>4</w:t>
      </w:r>
      <w:r>
        <w:rPr>
          <w:rFonts w:ascii="宋体" w:hAnsi="宋体" w:hint="eastAsia"/>
          <w:vertAlign w:val="superscript"/>
        </w:rPr>
        <w:t>2-</w:t>
      </w:r>
      <w:r>
        <w:rPr>
          <w:rFonts w:ascii="宋体" w:hAnsi="宋体" w:hint="eastAsia"/>
        </w:rPr>
        <w:t>、CL</w:t>
      </w:r>
      <w:r>
        <w:rPr>
          <w:rFonts w:ascii="宋体" w:hAnsi="宋体" w:hint="eastAsia"/>
          <w:vertAlign w:val="superscript"/>
        </w:rPr>
        <w:t>-</w:t>
      </w:r>
      <w:r>
        <w:rPr>
          <w:rFonts w:ascii="宋体" w:hAnsi="宋体" w:hint="eastAsia"/>
        </w:rPr>
        <w:t>、铝、铁、铜、F</w:t>
      </w:r>
      <w:r>
        <w:rPr>
          <w:rFonts w:ascii="宋体" w:hAnsi="宋体" w:hint="eastAsia"/>
          <w:vertAlign w:val="superscript"/>
        </w:rPr>
        <w:t>-</w:t>
      </w:r>
      <w:r>
        <w:rPr>
          <w:rFonts w:ascii="宋体" w:hAnsi="宋体" w:hint="eastAsia"/>
        </w:rPr>
        <w:t>、汞、砷、镉、总硬度、溶解性总固体、硝酸盐氮、菌落总数、总大肠菌群等21项。</w:t>
      </w:r>
    </w:p>
    <w:p w14:paraId="4486A995" w14:textId="77777777" w:rsidR="005A1A44" w:rsidRDefault="0008059E">
      <w:pPr>
        <w:pStyle w:val="3"/>
        <w:numPr>
          <w:ilvl w:val="2"/>
          <w:numId w:val="2"/>
        </w:numPr>
      </w:pPr>
      <w:r>
        <w:rPr>
          <w:rFonts w:hint="eastAsia"/>
        </w:rPr>
        <w:t xml:space="preserve"> </w:t>
      </w:r>
      <w:r>
        <w:rPr>
          <w:rFonts w:hint="eastAsia"/>
        </w:rPr>
        <w:t>评价标准</w:t>
      </w:r>
    </w:p>
    <w:p w14:paraId="7D249B82" w14:textId="77777777" w:rsidR="005A1A44" w:rsidRDefault="0008059E">
      <w:pPr>
        <w:ind w:firstLine="480"/>
        <w:rPr>
          <w:rFonts w:ascii="宋体" w:hAnsi="宋体" w:hint="eastAsia"/>
        </w:rPr>
      </w:pPr>
      <w:r>
        <w:rPr>
          <w:rFonts w:ascii="宋体" w:hAnsi="宋体" w:hint="eastAsia"/>
        </w:rPr>
        <w:t>项目区所在区域地下水水质执行《地下水质量标准（GB/T14848-2017）的Ⅲ类标准限值，具体见表4.4-1。</w:t>
      </w:r>
    </w:p>
    <w:p w14:paraId="006EB707" w14:textId="77777777" w:rsidR="005A1A44" w:rsidRDefault="0008059E">
      <w:pPr>
        <w:pStyle w:val="3"/>
        <w:numPr>
          <w:ilvl w:val="2"/>
          <w:numId w:val="2"/>
        </w:numPr>
      </w:pPr>
      <w:bookmarkStart w:id="166" w:name="_Toc16619_WPSOffice_Level2"/>
      <w:r>
        <w:rPr>
          <w:rFonts w:hint="eastAsia"/>
        </w:rPr>
        <w:lastRenderedPageBreak/>
        <w:t xml:space="preserve"> </w:t>
      </w:r>
      <w:r>
        <w:rPr>
          <w:rFonts w:hint="eastAsia"/>
        </w:rPr>
        <w:t>评价方法</w:t>
      </w:r>
    </w:p>
    <w:p w14:paraId="32703121" w14:textId="77777777" w:rsidR="005A1A44" w:rsidRDefault="0008059E">
      <w:pPr>
        <w:ind w:firstLine="480"/>
      </w:pPr>
      <w:r>
        <w:rPr>
          <w:rFonts w:hint="eastAsia"/>
        </w:rPr>
        <w:t>与地表水质量评价方法相同。</w:t>
      </w:r>
    </w:p>
    <w:p w14:paraId="15199190" w14:textId="77777777" w:rsidR="005A1A44" w:rsidRDefault="0008059E">
      <w:pPr>
        <w:pStyle w:val="3"/>
        <w:numPr>
          <w:ilvl w:val="2"/>
          <w:numId w:val="2"/>
        </w:numPr>
      </w:pPr>
      <w:r>
        <w:rPr>
          <w:rFonts w:hint="eastAsia"/>
        </w:rPr>
        <w:t xml:space="preserve"> </w:t>
      </w:r>
      <w:r>
        <w:rPr>
          <w:rFonts w:hint="eastAsia"/>
        </w:rPr>
        <w:t>监测及评价结果</w:t>
      </w:r>
    </w:p>
    <w:p w14:paraId="10F206BD" w14:textId="77777777" w:rsidR="005A1A44" w:rsidRDefault="0008059E">
      <w:pPr>
        <w:ind w:firstLine="480"/>
      </w:pPr>
      <w:r>
        <w:rPr>
          <w:rFonts w:hint="eastAsia"/>
        </w:rPr>
        <w:t>地下水监测数值为</w:t>
      </w:r>
      <w:r>
        <w:rPr>
          <w:rFonts w:hint="eastAsia"/>
        </w:rPr>
        <w:t>2018</w:t>
      </w:r>
      <w:r>
        <w:rPr>
          <w:rFonts w:hint="eastAsia"/>
        </w:rPr>
        <w:t>年监测数据，其评价结果见表</w:t>
      </w:r>
      <w:r>
        <w:rPr>
          <w:rFonts w:hint="eastAsia"/>
        </w:rPr>
        <w:t>4.4-2</w:t>
      </w:r>
      <w:r>
        <w:rPr>
          <w:rFonts w:hint="eastAsia"/>
        </w:rPr>
        <w:t>。可以看出两个水源地地下水水质均达到《地下水质量标准》（</w:t>
      </w:r>
      <w:r>
        <w:rPr>
          <w:rFonts w:ascii="宋体" w:hAnsi="宋体" w:hint="eastAsia"/>
        </w:rPr>
        <w:t>GB/T14848-2017</w:t>
      </w:r>
      <w:r>
        <w:rPr>
          <w:rFonts w:hint="eastAsia"/>
        </w:rPr>
        <w:t>）的Ⅲ类水平。</w:t>
      </w:r>
    </w:p>
    <w:p w14:paraId="2FF92C15"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t>表4.4-1   项目区地下水环境质量现状评价表（和田市吐沙拉乡厂水源地）</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9"/>
        <w:gridCol w:w="922"/>
        <w:gridCol w:w="1798"/>
        <w:gridCol w:w="1529"/>
        <w:gridCol w:w="2096"/>
      </w:tblGrid>
      <w:tr w:rsidR="005A1A44" w14:paraId="57A11401" w14:textId="77777777">
        <w:trPr>
          <w:trHeight w:val="340"/>
          <w:tblHeader/>
          <w:jc w:val="center"/>
        </w:trPr>
        <w:tc>
          <w:tcPr>
            <w:tcW w:w="2319" w:type="dxa"/>
            <w:tcMar>
              <w:top w:w="15" w:type="dxa"/>
              <w:left w:w="15" w:type="dxa"/>
              <w:bottom w:w="0" w:type="dxa"/>
              <w:right w:w="15" w:type="dxa"/>
            </w:tcMar>
            <w:vAlign w:val="center"/>
          </w:tcPr>
          <w:p w14:paraId="051CF24B" w14:textId="77777777" w:rsidR="005A1A44" w:rsidRDefault="0008059E">
            <w:pPr>
              <w:spacing w:line="240" w:lineRule="auto"/>
              <w:ind w:firstLineChars="0" w:firstLine="0"/>
              <w:jc w:val="center"/>
              <w:rPr>
                <w:rFonts w:ascii="宋体" w:eastAsia="宋体" w:hAnsi="宋体" w:cs="宋体" w:hint="eastAsia"/>
                <w:b/>
                <w:bCs/>
                <w:sz w:val="21"/>
                <w:szCs w:val="21"/>
              </w:rPr>
            </w:pPr>
            <w:r>
              <w:rPr>
                <w:rFonts w:ascii="宋体" w:eastAsia="宋体" w:hAnsi="宋体" w:cs="宋体" w:hint="eastAsia"/>
                <w:b/>
                <w:bCs/>
                <w:sz w:val="21"/>
                <w:szCs w:val="21"/>
              </w:rPr>
              <w:t>指标</w:t>
            </w:r>
          </w:p>
        </w:tc>
        <w:tc>
          <w:tcPr>
            <w:tcW w:w="922" w:type="dxa"/>
            <w:tcMar>
              <w:top w:w="15" w:type="dxa"/>
              <w:left w:w="15" w:type="dxa"/>
              <w:bottom w:w="0" w:type="dxa"/>
              <w:right w:w="15" w:type="dxa"/>
            </w:tcMar>
            <w:vAlign w:val="center"/>
          </w:tcPr>
          <w:p w14:paraId="4287DC1C" w14:textId="77777777" w:rsidR="005A1A44" w:rsidRDefault="0008059E">
            <w:pPr>
              <w:spacing w:line="240" w:lineRule="auto"/>
              <w:ind w:firstLineChars="0" w:firstLine="0"/>
              <w:jc w:val="center"/>
              <w:rPr>
                <w:rFonts w:ascii="宋体" w:eastAsia="宋体" w:hAnsi="宋体" w:cs="宋体" w:hint="eastAsia"/>
                <w:b/>
                <w:bCs/>
                <w:sz w:val="21"/>
                <w:szCs w:val="21"/>
              </w:rPr>
            </w:pPr>
            <w:r>
              <w:rPr>
                <w:rFonts w:ascii="宋体" w:eastAsia="宋体" w:hAnsi="宋体" w:cs="宋体" w:hint="eastAsia"/>
                <w:b/>
                <w:bCs/>
                <w:sz w:val="21"/>
                <w:szCs w:val="21"/>
              </w:rPr>
              <w:t>监测值</w:t>
            </w:r>
          </w:p>
        </w:tc>
        <w:tc>
          <w:tcPr>
            <w:tcW w:w="1798" w:type="dxa"/>
            <w:noWrap/>
            <w:tcMar>
              <w:top w:w="15" w:type="dxa"/>
              <w:left w:w="15" w:type="dxa"/>
              <w:bottom w:w="0" w:type="dxa"/>
              <w:right w:w="15" w:type="dxa"/>
            </w:tcMar>
            <w:vAlign w:val="center"/>
          </w:tcPr>
          <w:p w14:paraId="7113EA7C" w14:textId="77777777" w:rsidR="005A1A44" w:rsidRDefault="0008059E">
            <w:pPr>
              <w:spacing w:line="240" w:lineRule="auto"/>
              <w:ind w:firstLineChars="0" w:firstLine="0"/>
              <w:jc w:val="center"/>
              <w:rPr>
                <w:rFonts w:ascii="宋体" w:eastAsia="宋体" w:hAnsi="宋体" w:cs="宋体" w:hint="eastAsia"/>
                <w:b/>
                <w:bCs/>
                <w:sz w:val="21"/>
                <w:szCs w:val="21"/>
              </w:rPr>
            </w:pPr>
            <w:r>
              <w:rPr>
                <w:rFonts w:ascii="宋体" w:eastAsia="宋体" w:hAnsi="宋体" w:cs="宋体" w:hint="eastAsia"/>
                <w:b/>
                <w:bCs/>
                <w:sz w:val="21"/>
                <w:szCs w:val="21"/>
              </w:rPr>
              <w:t>标准值</w:t>
            </w:r>
          </w:p>
        </w:tc>
        <w:tc>
          <w:tcPr>
            <w:tcW w:w="1529" w:type="dxa"/>
            <w:noWrap/>
            <w:tcMar>
              <w:top w:w="15" w:type="dxa"/>
              <w:left w:w="15" w:type="dxa"/>
              <w:bottom w:w="0" w:type="dxa"/>
              <w:right w:w="15" w:type="dxa"/>
            </w:tcMar>
            <w:vAlign w:val="center"/>
          </w:tcPr>
          <w:p w14:paraId="24178425" w14:textId="77777777" w:rsidR="005A1A44" w:rsidRDefault="0008059E">
            <w:pPr>
              <w:spacing w:line="240" w:lineRule="auto"/>
              <w:ind w:firstLineChars="0" w:firstLine="0"/>
              <w:jc w:val="center"/>
              <w:rPr>
                <w:rFonts w:ascii="宋体" w:eastAsia="宋体" w:hAnsi="宋体" w:cs="宋体" w:hint="eastAsia"/>
                <w:b/>
                <w:bCs/>
                <w:sz w:val="21"/>
                <w:szCs w:val="21"/>
              </w:rPr>
            </w:pPr>
            <w:r>
              <w:rPr>
                <w:rFonts w:ascii="宋体" w:eastAsia="宋体" w:hAnsi="宋体" w:cs="宋体" w:hint="eastAsia"/>
                <w:b/>
                <w:bCs/>
                <w:sz w:val="21"/>
                <w:szCs w:val="21"/>
              </w:rPr>
              <w:t>标准指数</w:t>
            </w:r>
          </w:p>
        </w:tc>
        <w:tc>
          <w:tcPr>
            <w:tcW w:w="2096" w:type="dxa"/>
            <w:noWrap/>
            <w:tcMar>
              <w:top w:w="15" w:type="dxa"/>
              <w:left w:w="15" w:type="dxa"/>
              <w:bottom w:w="0" w:type="dxa"/>
              <w:right w:w="15" w:type="dxa"/>
            </w:tcMar>
            <w:vAlign w:val="center"/>
          </w:tcPr>
          <w:p w14:paraId="353544E7" w14:textId="77777777" w:rsidR="005A1A44" w:rsidRDefault="0008059E">
            <w:pPr>
              <w:spacing w:line="240" w:lineRule="auto"/>
              <w:ind w:firstLineChars="0" w:firstLine="0"/>
              <w:jc w:val="center"/>
              <w:rPr>
                <w:rFonts w:ascii="宋体" w:eastAsia="宋体" w:hAnsi="宋体" w:cs="宋体" w:hint="eastAsia"/>
                <w:b/>
                <w:bCs/>
                <w:sz w:val="21"/>
                <w:szCs w:val="21"/>
              </w:rPr>
            </w:pPr>
            <w:r>
              <w:rPr>
                <w:rFonts w:ascii="宋体" w:eastAsia="宋体" w:hAnsi="宋体" w:cs="宋体" w:hint="eastAsia"/>
                <w:b/>
                <w:bCs/>
                <w:sz w:val="21"/>
                <w:szCs w:val="21"/>
              </w:rPr>
              <w:t>达标说明</w:t>
            </w:r>
          </w:p>
        </w:tc>
      </w:tr>
      <w:tr w:rsidR="005A1A44" w14:paraId="1CA81984" w14:textId="77777777">
        <w:trPr>
          <w:trHeight w:val="386"/>
          <w:jc w:val="center"/>
        </w:trPr>
        <w:tc>
          <w:tcPr>
            <w:tcW w:w="2319" w:type="dxa"/>
            <w:tcMar>
              <w:top w:w="15" w:type="dxa"/>
              <w:left w:w="15" w:type="dxa"/>
              <w:bottom w:w="0" w:type="dxa"/>
              <w:right w:w="15" w:type="dxa"/>
            </w:tcMar>
            <w:vAlign w:val="center"/>
          </w:tcPr>
          <w:p w14:paraId="59894C2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色（度）</w:t>
            </w:r>
          </w:p>
        </w:tc>
        <w:tc>
          <w:tcPr>
            <w:tcW w:w="922" w:type="dxa"/>
            <w:tcMar>
              <w:top w:w="15" w:type="dxa"/>
              <w:left w:w="15" w:type="dxa"/>
              <w:bottom w:w="0" w:type="dxa"/>
              <w:right w:w="15" w:type="dxa"/>
            </w:tcMar>
            <w:vAlign w:val="center"/>
          </w:tcPr>
          <w:p w14:paraId="033B02D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5</w:t>
            </w:r>
          </w:p>
        </w:tc>
        <w:tc>
          <w:tcPr>
            <w:tcW w:w="1798" w:type="dxa"/>
            <w:noWrap/>
            <w:tcMar>
              <w:top w:w="15" w:type="dxa"/>
              <w:left w:w="15" w:type="dxa"/>
              <w:bottom w:w="0" w:type="dxa"/>
              <w:right w:w="15" w:type="dxa"/>
            </w:tcMar>
            <w:vAlign w:val="center"/>
          </w:tcPr>
          <w:p w14:paraId="09E9561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≤15</w:t>
            </w:r>
          </w:p>
        </w:tc>
        <w:tc>
          <w:tcPr>
            <w:tcW w:w="1529" w:type="dxa"/>
            <w:noWrap/>
            <w:tcMar>
              <w:top w:w="15" w:type="dxa"/>
              <w:left w:w="15" w:type="dxa"/>
              <w:bottom w:w="0" w:type="dxa"/>
              <w:right w:w="15" w:type="dxa"/>
            </w:tcMar>
            <w:vAlign w:val="center"/>
          </w:tcPr>
          <w:p w14:paraId="5799661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0.33</w:t>
            </w:r>
          </w:p>
        </w:tc>
        <w:tc>
          <w:tcPr>
            <w:tcW w:w="2096" w:type="dxa"/>
            <w:noWrap/>
            <w:tcMar>
              <w:top w:w="15" w:type="dxa"/>
              <w:left w:w="15" w:type="dxa"/>
              <w:bottom w:w="0" w:type="dxa"/>
              <w:right w:w="15" w:type="dxa"/>
            </w:tcMar>
            <w:vAlign w:val="center"/>
          </w:tcPr>
          <w:p w14:paraId="32EF2D4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4393687E" w14:textId="77777777">
        <w:trPr>
          <w:trHeight w:val="340"/>
          <w:jc w:val="center"/>
        </w:trPr>
        <w:tc>
          <w:tcPr>
            <w:tcW w:w="2319" w:type="dxa"/>
            <w:tcMar>
              <w:top w:w="15" w:type="dxa"/>
              <w:left w:w="15" w:type="dxa"/>
              <w:bottom w:w="0" w:type="dxa"/>
              <w:right w:w="15" w:type="dxa"/>
            </w:tcMar>
            <w:vAlign w:val="center"/>
          </w:tcPr>
          <w:p w14:paraId="77E79CF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浑浊度（NUT）</w:t>
            </w:r>
          </w:p>
        </w:tc>
        <w:tc>
          <w:tcPr>
            <w:tcW w:w="922" w:type="dxa"/>
            <w:tcMar>
              <w:top w:w="15" w:type="dxa"/>
              <w:left w:w="15" w:type="dxa"/>
              <w:bottom w:w="0" w:type="dxa"/>
              <w:right w:w="15" w:type="dxa"/>
            </w:tcMar>
            <w:vAlign w:val="center"/>
          </w:tcPr>
          <w:p w14:paraId="0B7CA80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w:t>
            </w:r>
          </w:p>
        </w:tc>
        <w:tc>
          <w:tcPr>
            <w:tcW w:w="1798" w:type="dxa"/>
            <w:noWrap/>
            <w:tcMar>
              <w:top w:w="15" w:type="dxa"/>
              <w:left w:w="15" w:type="dxa"/>
              <w:bottom w:w="0" w:type="dxa"/>
              <w:right w:w="15" w:type="dxa"/>
            </w:tcMar>
            <w:vAlign w:val="center"/>
          </w:tcPr>
          <w:p w14:paraId="48473D0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w:t>
            </w:r>
          </w:p>
        </w:tc>
        <w:tc>
          <w:tcPr>
            <w:tcW w:w="1529" w:type="dxa"/>
            <w:noWrap/>
            <w:tcMar>
              <w:top w:w="15" w:type="dxa"/>
              <w:left w:w="15" w:type="dxa"/>
              <w:bottom w:w="0" w:type="dxa"/>
              <w:right w:w="15" w:type="dxa"/>
            </w:tcMar>
            <w:vAlign w:val="center"/>
          </w:tcPr>
          <w:p w14:paraId="6FFE2F7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0.33</w:t>
            </w:r>
          </w:p>
        </w:tc>
        <w:tc>
          <w:tcPr>
            <w:tcW w:w="2096" w:type="dxa"/>
            <w:noWrap/>
            <w:tcMar>
              <w:top w:w="15" w:type="dxa"/>
              <w:left w:w="15" w:type="dxa"/>
              <w:bottom w:w="0" w:type="dxa"/>
              <w:right w:w="15" w:type="dxa"/>
            </w:tcMar>
            <w:vAlign w:val="center"/>
          </w:tcPr>
          <w:p w14:paraId="0570630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7E9A5602" w14:textId="77777777">
        <w:trPr>
          <w:trHeight w:val="340"/>
          <w:jc w:val="center"/>
        </w:trPr>
        <w:tc>
          <w:tcPr>
            <w:tcW w:w="2319" w:type="dxa"/>
            <w:tcMar>
              <w:top w:w="15" w:type="dxa"/>
              <w:left w:w="15" w:type="dxa"/>
              <w:bottom w:w="0" w:type="dxa"/>
              <w:right w:w="15" w:type="dxa"/>
            </w:tcMar>
            <w:vAlign w:val="center"/>
          </w:tcPr>
          <w:p w14:paraId="091C940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肉眼可见度</w:t>
            </w:r>
          </w:p>
        </w:tc>
        <w:tc>
          <w:tcPr>
            <w:tcW w:w="922" w:type="dxa"/>
            <w:tcMar>
              <w:top w:w="15" w:type="dxa"/>
              <w:left w:w="15" w:type="dxa"/>
              <w:bottom w:w="0" w:type="dxa"/>
              <w:right w:w="15" w:type="dxa"/>
            </w:tcMar>
            <w:vAlign w:val="center"/>
          </w:tcPr>
          <w:p w14:paraId="2867736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无</w:t>
            </w:r>
          </w:p>
        </w:tc>
        <w:tc>
          <w:tcPr>
            <w:tcW w:w="1798" w:type="dxa"/>
            <w:noWrap/>
            <w:tcMar>
              <w:top w:w="15" w:type="dxa"/>
              <w:left w:w="15" w:type="dxa"/>
              <w:bottom w:w="0" w:type="dxa"/>
              <w:right w:w="15" w:type="dxa"/>
            </w:tcMar>
            <w:vAlign w:val="center"/>
          </w:tcPr>
          <w:p w14:paraId="23C2623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无</w:t>
            </w:r>
          </w:p>
        </w:tc>
        <w:tc>
          <w:tcPr>
            <w:tcW w:w="1529" w:type="dxa"/>
            <w:noWrap/>
            <w:tcMar>
              <w:top w:w="15" w:type="dxa"/>
              <w:left w:w="15" w:type="dxa"/>
              <w:bottom w:w="0" w:type="dxa"/>
              <w:right w:w="15" w:type="dxa"/>
            </w:tcMar>
            <w:vAlign w:val="center"/>
          </w:tcPr>
          <w:p w14:paraId="733E121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w:t>
            </w:r>
          </w:p>
        </w:tc>
        <w:tc>
          <w:tcPr>
            <w:tcW w:w="2096" w:type="dxa"/>
            <w:noWrap/>
            <w:tcMar>
              <w:top w:w="15" w:type="dxa"/>
              <w:left w:w="15" w:type="dxa"/>
              <w:bottom w:w="0" w:type="dxa"/>
              <w:right w:w="15" w:type="dxa"/>
            </w:tcMar>
            <w:vAlign w:val="center"/>
          </w:tcPr>
          <w:p w14:paraId="2F482AA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58FC95E5" w14:textId="77777777">
        <w:trPr>
          <w:trHeight w:val="340"/>
          <w:jc w:val="center"/>
        </w:trPr>
        <w:tc>
          <w:tcPr>
            <w:tcW w:w="2319" w:type="dxa"/>
            <w:tcMar>
              <w:top w:w="15" w:type="dxa"/>
              <w:left w:w="15" w:type="dxa"/>
              <w:bottom w:w="0" w:type="dxa"/>
              <w:right w:w="15" w:type="dxa"/>
            </w:tcMar>
            <w:vAlign w:val="center"/>
          </w:tcPr>
          <w:p w14:paraId="01E2942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嗅和味</w:t>
            </w:r>
          </w:p>
        </w:tc>
        <w:tc>
          <w:tcPr>
            <w:tcW w:w="922" w:type="dxa"/>
            <w:tcMar>
              <w:top w:w="15" w:type="dxa"/>
              <w:left w:w="15" w:type="dxa"/>
              <w:bottom w:w="0" w:type="dxa"/>
              <w:right w:w="15" w:type="dxa"/>
            </w:tcMar>
            <w:vAlign w:val="center"/>
          </w:tcPr>
          <w:p w14:paraId="6C5A2E6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无</w:t>
            </w:r>
          </w:p>
        </w:tc>
        <w:tc>
          <w:tcPr>
            <w:tcW w:w="1798" w:type="dxa"/>
            <w:noWrap/>
            <w:tcMar>
              <w:top w:w="15" w:type="dxa"/>
              <w:left w:w="15" w:type="dxa"/>
              <w:bottom w:w="0" w:type="dxa"/>
              <w:right w:w="15" w:type="dxa"/>
            </w:tcMar>
            <w:vAlign w:val="center"/>
          </w:tcPr>
          <w:p w14:paraId="5AB1F80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无异臭、异味</w:t>
            </w:r>
          </w:p>
        </w:tc>
        <w:tc>
          <w:tcPr>
            <w:tcW w:w="1529" w:type="dxa"/>
            <w:noWrap/>
            <w:tcMar>
              <w:top w:w="15" w:type="dxa"/>
              <w:left w:w="15" w:type="dxa"/>
              <w:bottom w:w="0" w:type="dxa"/>
              <w:right w:w="15" w:type="dxa"/>
            </w:tcMar>
            <w:vAlign w:val="center"/>
          </w:tcPr>
          <w:p w14:paraId="7885560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w:t>
            </w:r>
          </w:p>
        </w:tc>
        <w:tc>
          <w:tcPr>
            <w:tcW w:w="2096" w:type="dxa"/>
            <w:noWrap/>
            <w:tcMar>
              <w:top w:w="15" w:type="dxa"/>
              <w:left w:w="15" w:type="dxa"/>
              <w:bottom w:w="0" w:type="dxa"/>
              <w:right w:w="15" w:type="dxa"/>
            </w:tcMar>
            <w:vAlign w:val="center"/>
          </w:tcPr>
          <w:p w14:paraId="2E42EFF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0888699D" w14:textId="77777777">
        <w:trPr>
          <w:trHeight w:val="340"/>
          <w:jc w:val="center"/>
        </w:trPr>
        <w:tc>
          <w:tcPr>
            <w:tcW w:w="2319" w:type="dxa"/>
            <w:tcMar>
              <w:top w:w="15" w:type="dxa"/>
              <w:left w:w="15" w:type="dxa"/>
              <w:bottom w:w="0" w:type="dxa"/>
              <w:right w:w="15" w:type="dxa"/>
            </w:tcMar>
            <w:vAlign w:val="center"/>
          </w:tcPr>
          <w:p w14:paraId="6D0F50C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pH</w:t>
            </w:r>
          </w:p>
        </w:tc>
        <w:tc>
          <w:tcPr>
            <w:tcW w:w="922" w:type="dxa"/>
            <w:tcMar>
              <w:top w:w="15" w:type="dxa"/>
              <w:left w:w="15" w:type="dxa"/>
              <w:bottom w:w="0" w:type="dxa"/>
              <w:right w:w="15" w:type="dxa"/>
            </w:tcMar>
            <w:vAlign w:val="center"/>
          </w:tcPr>
          <w:p w14:paraId="7F99B86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7.3</w:t>
            </w:r>
          </w:p>
        </w:tc>
        <w:tc>
          <w:tcPr>
            <w:tcW w:w="1798" w:type="dxa"/>
            <w:noWrap/>
            <w:tcMar>
              <w:top w:w="15" w:type="dxa"/>
              <w:left w:w="15" w:type="dxa"/>
              <w:bottom w:w="0" w:type="dxa"/>
              <w:right w:w="15" w:type="dxa"/>
            </w:tcMar>
            <w:vAlign w:val="center"/>
          </w:tcPr>
          <w:p w14:paraId="4745365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6.5</w:t>
            </w:r>
            <w:r>
              <w:rPr>
                <w:rFonts w:asciiTheme="majorHAnsi" w:eastAsia="宋体" w:hAnsi="宋体" w:cs="宋体" w:hint="eastAsia"/>
                <w:sz w:val="21"/>
                <w:szCs w:val="21"/>
              </w:rPr>
              <w:t>~</w:t>
            </w:r>
            <w:r>
              <w:rPr>
                <w:rFonts w:ascii="宋体" w:eastAsia="宋体" w:hAnsi="宋体" w:cs="宋体" w:hint="eastAsia"/>
                <w:sz w:val="21"/>
                <w:szCs w:val="21"/>
              </w:rPr>
              <w:t>8.5</w:t>
            </w:r>
          </w:p>
        </w:tc>
        <w:tc>
          <w:tcPr>
            <w:tcW w:w="1529" w:type="dxa"/>
            <w:noWrap/>
            <w:tcMar>
              <w:top w:w="15" w:type="dxa"/>
              <w:left w:w="15" w:type="dxa"/>
              <w:bottom w:w="0" w:type="dxa"/>
              <w:right w:w="15" w:type="dxa"/>
            </w:tcMar>
            <w:vAlign w:val="center"/>
          </w:tcPr>
          <w:p w14:paraId="4542947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0.4</w:t>
            </w:r>
          </w:p>
        </w:tc>
        <w:tc>
          <w:tcPr>
            <w:tcW w:w="2096" w:type="dxa"/>
            <w:noWrap/>
            <w:tcMar>
              <w:top w:w="15" w:type="dxa"/>
              <w:left w:w="15" w:type="dxa"/>
              <w:bottom w:w="0" w:type="dxa"/>
              <w:right w:w="15" w:type="dxa"/>
            </w:tcMar>
            <w:vAlign w:val="center"/>
          </w:tcPr>
          <w:p w14:paraId="2646E33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1830ADF9" w14:textId="77777777">
        <w:trPr>
          <w:trHeight w:val="340"/>
          <w:jc w:val="center"/>
        </w:trPr>
        <w:tc>
          <w:tcPr>
            <w:tcW w:w="2319" w:type="dxa"/>
            <w:tcMar>
              <w:top w:w="15" w:type="dxa"/>
              <w:left w:w="15" w:type="dxa"/>
              <w:bottom w:w="0" w:type="dxa"/>
              <w:right w:w="15" w:type="dxa"/>
            </w:tcMar>
            <w:vAlign w:val="center"/>
          </w:tcPr>
          <w:p w14:paraId="7448665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总硬度（CaCO</w:t>
            </w:r>
            <w:r>
              <w:rPr>
                <w:rFonts w:ascii="宋体" w:eastAsia="宋体" w:hAnsi="宋体" w:cs="宋体" w:hint="eastAsia"/>
                <w:sz w:val="21"/>
                <w:szCs w:val="21"/>
                <w:vertAlign w:val="subscript"/>
              </w:rPr>
              <w:t>3</w:t>
            </w:r>
            <w:r>
              <w:rPr>
                <w:rFonts w:ascii="宋体" w:eastAsia="宋体" w:hAnsi="宋体" w:cs="宋体" w:hint="eastAsia"/>
                <w:sz w:val="21"/>
                <w:szCs w:val="21"/>
              </w:rPr>
              <w:t>）(mg/L)</w:t>
            </w:r>
          </w:p>
        </w:tc>
        <w:tc>
          <w:tcPr>
            <w:tcW w:w="922" w:type="dxa"/>
            <w:tcMar>
              <w:top w:w="15" w:type="dxa"/>
              <w:left w:w="15" w:type="dxa"/>
              <w:bottom w:w="0" w:type="dxa"/>
              <w:right w:w="15" w:type="dxa"/>
            </w:tcMar>
            <w:vAlign w:val="center"/>
          </w:tcPr>
          <w:p w14:paraId="188A8A7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97</w:t>
            </w:r>
          </w:p>
        </w:tc>
        <w:tc>
          <w:tcPr>
            <w:tcW w:w="1798" w:type="dxa"/>
            <w:noWrap/>
            <w:tcMar>
              <w:top w:w="15" w:type="dxa"/>
              <w:left w:w="15" w:type="dxa"/>
              <w:bottom w:w="0" w:type="dxa"/>
              <w:right w:w="15" w:type="dxa"/>
            </w:tcMar>
            <w:vAlign w:val="center"/>
          </w:tcPr>
          <w:p w14:paraId="15EFE5D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≤450</w:t>
            </w:r>
          </w:p>
        </w:tc>
        <w:tc>
          <w:tcPr>
            <w:tcW w:w="1529" w:type="dxa"/>
            <w:noWrap/>
            <w:tcMar>
              <w:top w:w="15" w:type="dxa"/>
              <w:left w:w="15" w:type="dxa"/>
              <w:bottom w:w="0" w:type="dxa"/>
              <w:right w:w="15" w:type="dxa"/>
            </w:tcMar>
            <w:vAlign w:val="center"/>
          </w:tcPr>
          <w:p w14:paraId="2F51D37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0.22</w:t>
            </w:r>
          </w:p>
        </w:tc>
        <w:tc>
          <w:tcPr>
            <w:tcW w:w="2096" w:type="dxa"/>
            <w:noWrap/>
            <w:tcMar>
              <w:top w:w="15" w:type="dxa"/>
              <w:left w:w="15" w:type="dxa"/>
              <w:bottom w:w="0" w:type="dxa"/>
              <w:right w:w="15" w:type="dxa"/>
            </w:tcMar>
            <w:vAlign w:val="center"/>
          </w:tcPr>
          <w:p w14:paraId="712AF61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67D68E55" w14:textId="77777777">
        <w:trPr>
          <w:trHeight w:val="340"/>
          <w:jc w:val="center"/>
        </w:trPr>
        <w:tc>
          <w:tcPr>
            <w:tcW w:w="2319" w:type="dxa"/>
            <w:tcMar>
              <w:top w:w="15" w:type="dxa"/>
              <w:left w:w="15" w:type="dxa"/>
              <w:bottom w:w="0" w:type="dxa"/>
              <w:right w:w="15" w:type="dxa"/>
            </w:tcMar>
            <w:vAlign w:val="center"/>
          </w:tcPr>
          <w:p w14:paraId="1E8EF19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铁(mg/L)</w:t>
            </w:r>
          </w:p>
        </w:tc>
        <w:tc>
          <w:tcPr>
            <w:tcW w:w="922" w:type="dxa"/>
            <w:tcMar>
              <w:top w:w="15" w:type="dxa"/>
              <w:left w:w="15" w:type="dxa"/>
              <w:bottom w:w="0" w:type="dxa"/>
              <w:right w:w="15" w:type="dxa"/>
            </w:tcMar>
            <w:vAlign w:val="center"/>
          </w:tcPr>
          <w:p w14:paraId="6CD7EAC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&lt;0.3</w:t>
            </w:r>
          </w:p>
        </w:tc>
        <w:tc>
          <w:tcPr>
            <w:tcW w:w="1798" w:type="dxa"/>
            <w:noWrap/>
            <w:tcMar>
              <w:top w:w="15" w:type="dxa"/>
              <w:left w:w="15" w:type="dxa"/>
              <w:bottom w:w="0" w:type="dxa"/>
              <w:right w:w="15" w:type="dxa"/>
            </w:tcMar>
            <w:vAlign w:val="center"/>
          </w:tcPr>
          <w:p w14:paraId="3257A15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≤0.3</w:t>
            </w:r>
          </w:p>
        </w:tc>
        <w:tc>
          <w:tcPr>
            <w:tcW w:w="1529" w:type="dxa"/>
            <w:noWrap/>
            <w:tcMar>
              <w:top w:w="15" w:type="dxa"/>
              <w:left w:w="15" w:type="dxa"/>
              <w:bottom w:w="0" w:type="dxa"/>
              <w:right w:w="15" w:type="dxa"/>
            </w:tcMar>
            <w:vAlign w:val="center"/>
          </w:tcPr>
          <w:p w14:paraId="66D5BC4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＜1.0</w:t>
            </w:r>
          </w:p>
        </w:tc>
        <w:tc>
          <w:tcPr>
            <w:tcW w:w="2096" w:type="dxa"/>
            <w:noWrap/>
            <w:tcMar>
              <w:top w:w="15" w:type="dxa"/>
              <w:left w:w="15" w:type="dxa"/>
              <w:bottom w:w="0" w:type="dxa"/>
              <w:right w:w="15" w:type="dxa"/>
            </w:tcMar>
            <w:vAlign w:val="center"/>
          </w:tcPr>
          <w:p w14:paraId="30A5E88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26260034" w14:textId="77777777">
        <w:trPr>
          <w:trHeight w:val="90"/>
          <w:jc w:val="center"/>
        </w:trPr>
        <w:tc>
          <w:tcPr>
            <w:tcW w:w="2319" w:type="dxa"/>
            <w:tcMar>
              <w:top w:w="15" w:type="dxa"/>
              <w:left w:w="15" w:type="dxa"/>
              <w:bottom w:w="0" w:type="dxa"/>
              <w:right w:w="15" w:type="dxa"/>
            </w:tcMar>
            <w:vAlign w:val="center"/>
          </w:tcPr>
          <w:p w14:paraId="2D1F466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锰(mg/L)</w:t>
            </w:r>
          </w:p>
        </w:tc>
        <w:tc>
          <w:tcPr>
            <w:tcW w:w="922" w:type="dxa"/>
            <w:tcMar>
              <w:top w:w="15" w:type="dxa"/>
              <w:left w:w="15" w:type="dxa"/>
              <w:bottom w:w="0" w:type="dxa"/>
              <w:right w:w="15" w:type="dxa"/>
            </w:tcMar>
            <w:vAlign w:val="center"/>
          </w:tcPr>
          <w:p w14:paraId="23DD542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&lt;0.1</w:t>
            </w:r>
          </w:p>
        </w:tc>
        <w:tc>
          <w:tcPr>
            <w:tcW w:w="1798" w:type="dxa"/>
            <w:noWrap/>
            <w:tcMar>
              <w:top w:w="15" w:type="dxa"/>
              <w:left w:w="15" w:type="dxa"/>
              <w:bottom w:w="0" w:type="dxa"/>
              <w:right w:w="15" w:type="dxa"/>
            </w:tcMar>
            <w:vAlign w:val="center"/>
          </w:tcPr>
          <w:p w14:paraId="7CF261D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≤0.1</w:t>
            </w:r>
          </w:p>
        </w:tc>
        <w:tc>
          <w:tcPr>
            <w:tcW w:w="1529" w:type="dxa"/>
            <w:noWrap/>
            <w:tcMar>
              <w:top w:w="15" w:type="dxa"/>
              <w:left w:w="15" w:type="dxa"/>
              <w:bottom w:w="0" w:type="dxa"/>
              <w:right w:w="15" w:type="dxa"/>
            </w:tcMar>
            <w:vAlign w:val="center"/>
          </w:tcPr>
          <w:p w14:paraId="79A050B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＜1.0</w:t>
            </w:r>
          </w:p>
        </w:tc>
        <w:tc>
          <w:tcPr>
            <w:tcW w:w="2096" w:type="dxa"/>
            <w:noWrap/>
            <w:tcMar>
              <w:top w:w="15" w:type="dxa"/>
              <w:left w:w="15" w:type="dxa"/>
              <w:bottom w:w="0" w:type="dxa"/>
              <w:right w:w="15" w:type="dxa"/>
            </w:tcMar>
            <w:vAlign w:val="center"/>
          </w:tcPr>
          <w:p w14:paraId="1646688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7D7492D8" w14:textId="77777777">
        <w:trPr>
          <w:trHeight w:val="90"/>
          <w:jc w:val="center"/>
        </w:trPr>
        <w:tc>
          <w:tcPr>
            <w:tcW w:w="2319" w:type="dxa"/>
            <w:tcMar>
              <w:top w:w="15" w:type="dxa"/>
              <w:left w:w="15" w:type="dxa"/>
              <w:bottom w:w="0" w:type="dxa"/>
              <w:right w:w="15" w:type="dxa"/>
            </w:tcMar>
            <w:vAlign w:val="center"/>
          </w:tcPr>
          <w:p w14:paraId="1AE2A4F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铜(mg/L)</w:t>
            </w:r>
          </w:p>
        </w:tc>
        <w:tc>
          <w:tcPr>
            <w:tcW w:w="922" w:type="dxa"/>
            <w:tcMar>
              <w:top w:w="15" w:type="dxa"/>
              <w:left w:w="15" w:type="dxa"/>
              <w:bottom w:w="0" w:type="dxa"/>
              <w:right w:w="15" w:type="dxa"/>
            </w:tcMar>
            <w:vAlign w:val="center"/>
          </w:tcPr>
          <w:p w14:paraId="03DF0B3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&lt;0.2</w:t>
            </w:r>
          </w:p>
        </w:tc>
        <w:tc>
          <w:tcPr>
            <w:tcW w:w="1798" w:type="dxa"/>
            <w:noWrap/>
            <w:tcMar>
              <w:top w:w="15" w:type="dxa"/>
              <w:left w:w="15" w:type="dxa"/>
              <w:bottom w:w="0" w:type="dxa"/>
              <w:right w:w="15" w:type="dxa"/>
            </w:tcMar>
            <w:vAlign w:val="center"/>
          </w:tcPr>
          <w:p w14:paraId="1EBE305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≤1.0</w:t>
            </w:r>
          </w:p>
        </w:tc>
        <w:tc>
          <w:tcPr>
            <w:tcW w:w="1529" w:type="dxa"/>
            <w:noWrap/>
            <w:tcMar>
              <w:top w:w="15" w:type="dxa"/>
              <w:left w:w="15" w:type="dxa"/>
              <w:bottom w:w="0" w:type="dxa"/>
              <w:right w:w="15" w:type="dxa"/>
            </w:tcMar>
            <w:vAlign w:val="center"/>
          </w:tcPr>
          <w:p w14:paraId="01527BD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＜0.2</w:t>
            </w:r>
          </w:p>
        </w:tc>
        <w:tc>
          <w:tcPr>
            <w:tcW w:w="2096" w:type="dxa"/>
            <w:noWrap/>
            <w:tcMar>
              <w:top w:w="15" w:type="dxa"/>
              <w:left w:w="15" w:type="dxa"/>
              <w:bottom w:w="0" w:type="dxa"/>
              <w:right w:w="15" w:type="dxa"/>
            </w:tcMar>
            <w:vAlign w:val="center"/>
          </w:tcPr>
          <w:p w14:paraId="54668E7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7BD4ABA9" w14:textId="77777777">
        <w:trPr>
          <w:trHeight w:val="90"/>
          <w:jc w:val="center"/>
        </w:trPr>
        <w:tc>
          <w:tcPr>
            <w:tcW w:w="2319" w:type="dxa"/>
            <w:tcMar>
              <w:top w:w="15" w:type="dxa"/>
              <w:left w:w="15" w:type="dxa"/>
              <w:bottom w:w="0" w:type="dxa"/>
              <w:right w:w="15" w:type="dxa"/>
            </w:tcMar>
            <w:vAlign w:val="center"/>
          </w:tcPr>
          <w:p w14:paraId="7C325A6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锌(mg/L)</w:t>
            </w:r>
          </w:p>
        </w:tc>
        <w:tc>
          <w:tcPr>
            <w:tcW w:w="922" w:type="dxa"/>
            <w:tcMar>
              <w:top w:w="15" w:type="dxa"/>
              <w:left w:w="15" w:type="dxa"/>
              <w:bottom w:w="0" w:type="dxa"/>
              <w:right w:w="15" w:type="dxa"/>
            </w:tcMar>
            <w:vAlign w:val="center"/>
          </w:tcPr>
          <w:p w14:paraId="32C438C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&lt;0.05</w:t>
            </w:r>
          </w:p>
        </w:tc>
        <w:tc>
          <w:tcPr>
            <w:tcW w:w="1798" w:type="dxa"/>
            <w:noWrap/>
            <w:tcMar>
              <w:top w:w="15" w:type="dxa"/>
              <w:left w:w="15" w:type="dxa"/>
              <w:bottom w:w="0" w:type="dxa"/>
              <w:right w:w="15" w:type="dxa"/>
            </w:tcMar>
            <w:vAlign w:val="center"/>
          </w:tcPr>
          <w:p w14:paraId="2CC400A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≤1.0</w:t>
            </w:r>
          </w:p>
        </w:tc>
        <w:tc>
          <w:tcPr>
            <w:tcW w:w="1529" w:type="dxa"/>
            <w:noWrap/>
            <w:tcMar>
              <w:top w:w="15" w:type="dxa"/>
              <w:left w:w="15" w:type="dxa"/>
              <w:bottom w:w="0" w:type="dxa"/>
              <w:right w:w="15" w:type="dxa"/>
            </w:tcMar>
            <w:vAlign w:val="center"/>
          </w:tcPr>
          <w:p w14:paraId="76596A31"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＜0.05</w:t>
            </w:r>
          </w:p>
        </w:tc>
        <w:tc>
          <w:tcPr>
            <w:tcW w:w="2096" w:type="dxa"/>
            <w:noWrap/>
            <w:tcMar>
              <w:top w:w="15" w:type="dxa"/>
              <w:left w:w="15" w:type="dxa"/>
              <w:bottom w:w="0" w:type="dxa"/>
              <w:right w:w="15" w:type="dxa"/>
            </w:tcMar>
            <w:vAlign w:val="center"/>
          </w:tcPr>
          <w:p w14:paraId="5F4BD91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1D1965F5" w14:textId="77777777">
        <w:trPr>
          <w:trHeight w:val="90"/>
          <w:jc w:val="center"/>
        </w:trPr>
        <w:tc>
          <w:tcPr>
            <w:tcW w:w="2319" w:type="dxa"/>
            <w:tcMar>
              <w:top w:w="15" w:type="dxa"/>
              <w:left w:w="15" w:type="dxa"/>
              <w:bottom w:w="0" w:type="dxa"/>
              <w:right w:w="15" w:type="dxa"/>
            </w:tcMar>
            <w:vAlign w:val="center"/>
          </w:tcPr>
          <w:p w14:paraId="28CA5DD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氯化物(mg/L)</w:t>
            </w:r>
          </w:p>
        </w:tc>
        <w:tc>
          <w:tcPr>
            <w:tcW w:w="922" w:type="dxa"/>
            <w:tcMar>
              <w:top w:w="15" w:type="dxa"/>
              <w:left w:w="15" w:type="dxa"/>
              <w:bottom w:w="0" w:type="dxa"/>
              <w:right w:w="15" w:type="dxa"/>
            </w:tcMar>
            <w:vAlign w:val="center"/>
          </w:tcPr>
          <w:p w14:paraId="767EED3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33</w:t>
            </w:r>
          </w:p>
        </w:tc>
        <w:tc>
          <w:tcPr>
            <w:tcW w:w="1798" w:type="dxa"/>
            <w:noWrap/>
            <w:tcMar>
              <w:top w:w="15" w:type="dxa"/>
              <w:left w:w="15" w:type="dxa"/>
              <w:bottom w:w="0" w:type="dxa"/>
              <w:right w:w="15" w:type="dxa"/>
            </w:tcMar>
            <w:vAlign w:val="center"/>
          </w:tcPr>
          <w:p w14:paraId="7E5FA80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≤250</w:t>
            </w:r>
          </w:p>
        </w:tc>
        <w:tc>
          <w:tcPr>
            <w:tcW w:w="1529" w:type="dxa"/>
            <w:noWrap/>
            <w:tcMar>
              <w:top w:w="15" w:type="dxa"/>
              <w:left w:w="15" w:type="dxa"/>
              <w:bottom w:w="0" w:type="dxa"/>
              <w:right w:w="15" w:type="dxa"/>
            </w:tcMar>
            <w:vAlign w:val="center"/>
          </w:tcPr>
          <w:p w14:paraId="36BE0C5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0.132</w:t>
            </w:r>
          </w:p>
        </w:tc>
        <w:tc>
          <w:tcPr>
            <w:tcW w:w="2096" w:type="dxa"/>
            <w:noWrap/>
            <w:tcMar>
              <w:top w:w="15" w:type="dxa"/>
              <w:left w:w="15" w:type="dxa"/>
              <w:bottom w:w="0" w:type="dxa"/>
              <w:right w:w="15" w:type="dxa"/>
            </w:tcMar>
            <w:vAlign w:val="center"/>
          </w:tcPr>
          <w:p w14:paraId="33ECC39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36E91C1D" w14:textId="77777777">
        <w:trPr>
          <w:trHeight w:val="90"/>
          <w:jc w:val="center"/>
        </w:trPr>
        <w:tc>
          <w:tcPr>
            <w:tcW w:w="2319" w:type="dxa"/>
            <w:tcMar>
              <w:top w:w="15" w:type="dxa"/>
              <w:left w:w="15" w:type="dxa"/>
              <w:bottom w:w="0" w:type="dxa"/>
              <w:right w:w="15" w:type="dxa"/>
            </w:tcMar>
            <w:vAlign w:val="center"/>
          </w:tcPr>
          <w:p w14:paraId="72692E8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硫酸盐(mg/L)</w:t>
            </w:r>
          </w:p>
        </w:tc>
        <w:tc>
          <w:tcPr>
            <w:tcW w:w="922" w:type="dxa"/>
            <w:tcMar>
              <w:top w:w="15" w:type="dxa"/>
              <w:left w:w="15" w:type="dxa"/>
              <w:bottom w:w="0" w:type="dxa"/>
              <w:right w:w="15" w:type="dxa"/>
            </w:tcMar>
            <w:vAlign w:val="center"/>
          </w:tcPr>
          <w:p w14:paraId="482A2E8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54</w:t>
            </w:r>
          </w:p>
        </w:tc>
        <w:tc>
          <w:tcPr>
            <w:tcW w:w="1798" w:type="dxa"/>
            <w:noWrap/>
            <w:tcMar>
              <w:top w:w="15" w:type="dxa"/>
              <w:left w:w="15" w:type="dxa"/>
              <w:bottom w:w="0" w:type="dxa"/>
              <w:right w:w="15" w:type="dxa"/>
            </w:tcMar>
            <w:vAlign w:val="center"/>
          </w:tcPr>
          <w:p w14:paraId="1546FFA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≤250</w:t>
            </w:r>
          </w:p>
        </w:tc>
        <w:tc>
          <w:tcPr>
            <w:tcW w:w="1529" w:type="dxa"/>
            <w:noWrap/>
            <w:tcMar>
              <w:top w:w="15" w:type="dxa"/>
              <w:left w:w="15" w:type="dxa"/>
              <w:bottom w:w="0" w:type="dxa"/>
              <w:right w:w="15" w:type="dxa"/>
            </w:tcMar>
            <w:vAlign w:val="center"/>
          </w:tcPr>
          <w:p w14:paraId="5FCB7081"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0.216</w:t>
            </w:r>
          </w:p>
        </w:tc>
        <w:tc>
          <w:tcPr>
            <w:tcW w:w="2096" w:type="dxa"/>
            <w:noWrap/>
            <w:tcMar>
              <w:top w:w="15" w:type="dxa"/>
              <w:left w:w="15" w:type="dxa"/>
              <w:bottom w:w="0" w:type="dxa"/>
              <w:right w:w="15" w:type="dxa"/>
            </w:tcMar>
            <w:vAlign w:val="center"/>
          </w:tcPr>
          <w:p w14:paraId="1AA7EAD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055A6BB8" w14:textId="77777777">
        <w:trPr>
          <w:trHeight w:val="290"/>
          <w:jc w:val="center"/>
        </w:trPr>
        <w:tc>
          <w:tcPr>
            <w:tcW w:w="2319" w:type="dxa"/>
            <w:tcMar>
              <w:top w:w="15" w:type="dxa"/>
              <w:left w:w="15" w:type="dxa"/>
              <w:bottom w:w="0" w:type="dxa"/>
              <w:right w:w="15" w:type="dxa"/>
            </w:tcMar>
            <w:vAlign w:val="center"/>
          </w:tcPr>
          <w:p w14:paraId="27E84E7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溶解性总固体(mg/L)</w:t>
            </w:r>
          </w:p>
        </w:tc>
        <w:tc>
          <w:tcPr>
            <w:tcW w:w="922" w:type="dxa"/>
            <w:tcMar>
              <w:top w:w="15" w:type="dxa"/>
              <w:left w:w="15" w:type="dxa"/>
              <w:bottom w:w="0" w:type="dxa"/>
              <w:right w:w="15" w:type="dxa"/>
            </w:tcMar>
            <w:vAlign w:val="center"/>
          </w:tcPr>
          <w:p w14:paraId="1617F5F8" w14:textId="77777777" w:rsidR="005A1A44" w:rsidRDefault="0008059E">
            <w:pPr>
              <w:tabs>
                <w:tab w:val="left" w:pos="227"/>
                <w:tab w:val="center" w:pos="505"/>
              </w:tabs>
              <w:spacing w:line="240" w:lineRule="auto"/>
              <w:ind w:firstLineChars="0" w:firstLine="0"/>
              <w:jc w:val="left"/>
              <w:rPr>
                <w:rFonts w:ascii="宋体" w:eastAsia="宋体" w:hAnsi="宋体" w:cs="宋体" w:hint="eastAsia"/>
                <w:sz w:val="21"/>
                <w:szCs w:val="21"/>
              </w:rPr>
            </w:pPr>
            <w:r>
              <w:rPr>
                <w:rFonts w:ascii="宋体" w:eastAsia="宋体" w:hAnsi="宋体" w:cs="宋体" w:hint="eastAsia"/>
                <w:sz w:val="21"/>
                <w:szCs w:val="21"/>
              </w:rPr>
              <w:tab/>
              <w:t>238</w:t>
            </w:r>
          </w:p>
        </w:tc>
        <w:tc>
          <w:tcPr>
            <w:tcW w:w="1798" w:type="dxa"/>
            <w:noWrap/>
            <w:tcMar>
              <w:top w:w="15" w:type="dxa"/>
              <w:left w:w="15" w:type="dxa"/>
              <w:bottom w:w="0" w:type="dxa"/>
              <w:right w:w="15" w:type="dxa"/>
            </w:tcMar>
            <w:vAlign w:val="center"/>
          </w:tcPr>
          <w:p w14:paraId="3043D56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≤1000</w:t>
            </w:r>
          </w:p>
        </w:tc>
        <w:tc>
          <w:tcPr>
            <w:tcW w:w="1529" w:type="dxa"/>
            <w:noWrap/>
            <w:tcMar>
              <w:top w:w="15" w:type="dxa"/>
              <w:left w:w="15" w:type="dxa"/>
              <w:bottom w:w="0" w:type="dxa"/>
              <w:right w:w="15" w:type="dxa"/>
            </w:tcMar>
            <w:vAlign w:val="center"/>
          </w:tcPr>
          <w:p w14:paraId="355FA87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0.238</w:t>
            </w:r>
          </w:p>
        </w:tc>
        <w:tc>
          <w:tcPr>
            <w:tcW w:w="2096" w:type="dxa"/>
            <w:noWrap/>
            <w:tcMar>
              <w:top w:w="15" w:type="dxa"/>
              <w:left w:w="15" w:type="dxa"/>
              <w:bottom w:w="0" w:type="dxa"/>
              <w:right w:w="15" w:type="dxa"/>
            </w:tcMar>
            <w:vAlign w:val="center"/>
          </w:tcPr>
          <w:p w14:paraId="31CFA0D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746F3FF6" w14:textId="77777777">
        <w:trPr>
          <w:trHeight w:val="90"/>
          <w:jc w:val="center"/>
        </w:trPr>
        <w:tc>
          <w:tcPr>
            <w:tcW w:w="2319" w:type="dxa"/>
            <w:tcMar>
              <w:top w:w="15" w:type="dxa"/>
              <w:left w:w="15" w:type="dxa"/>
              <w:bottom w:w="0" w:type="dxa"/>
              <w:right w:w="15" w:type="dxa"/>
            </w:tcMar>
            <w:vAlign w:val="center"/>
          </w:tcPr>
          <w:p w14:paraId="78E31ED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氟化物(mg/L)</w:t>
            </w:r>
          </w:p>
        </w:tc>
        <w:tc>
          <w:tcPr>
            <w:tcW w:w="922" w:type="dxa"/>
            <w:tcMar>
              <w:top w:w="15" w:type="dxa"/>
              <w:left w:w="15" w:type="dxa"/>
              <w:bottom w:w="0" w:type="dxa"/>
              <w:right w:w="15" w:type="dxa"/>
            </w:tcMar>
            <w:vAlign w:val="center"/>
          </w:tcPr>
          <w:p w14:paraId="3C24579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0.3</w:t>
            </w:r>
          </w:p>
        </w:tc>
        <w:tc>
          <w:tcPr>
            <w:tcW w:w="1798" w:type="dxa"/>
            <w:noWrap/>
            <w:tcMar>
              <w:top w:w="15" w:type="dxa"/>
              <w:left w:w="15" w:type="dxa"/>
              <w:bottom w:w="0" w:type="dxa"/>
              <w:right w:w="15" w:type="dxa"/>
            </w:tcMar>
            <w:vAlign w:val="center"/>
          </w:tcPr>
          <w:p w14:paraId="5940D1A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≤1.0</w:t>
            </w:r>
          </w:p>
        </w:tc>
        <w:tc>
          <w:tcPr>
            <w:tcW w:w="1529" w:type="dxa"/>
            <w:noWrap/>
            <w:tcMar>
              <w:top w:w="15" w:type="dxa"/>
              <w:left w:w="15" w:type="dxa"/>
              <w:bottom w:w="0" w:type="dxa"/>
              <w:right w:w="15" w:type="dxa"/>
            </w:tcMar>
            <w:vAlign w:val="center"/>
          </w:tcPr>
          <w:p w14:paraId="26B814C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0.3</w:t>
            </w:r>
          </w:p>
        </w:tc>
        <w:tc>
          <w:tcPr>
            <w:tcW w:w="2096" w:type="dxa"/>
            <w:noWrap/>
            <w:tcMar>
              <w:top w:w="15" w:type="dxa"/>
              <w:left w:w="15" w:type="dxa"/>
              <w:bottom w:w="0" w:type="dxa"/>
              <w:right w:w="15" w:type="dxa"/>
            </w:tcMar>
            <w:vAlign w:val="center"/>
          </w:tcPr>
          <w:p w14:paraId="7F016AE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0687EE62" w14:textId="77777777">
        <w:trPr>
          <w:trHeight w:val="340"/>
          <w:jc w:val="center"/>
        </w:trPr>
        <w:tc>
          <w:tcPr>
            <w:tcW w:w="2319" w:type="dxa"/>
            <w:tcMar>
              <w:top w:w="15" w:type="dxa"/>
              <w:left w:w="15" w:type="dxa"/>
              <w:bottom w:w="0" w:type="dxa"/>
              <w:right w:w="15" w:type="dxa"/>
            </w:tcMar>
            <w:vAlign w:val="center"/>
          </w:tcPr>
          <w:p w14:paraId="6AF5BFF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砷(mg/L)</w:t>
            </w:r>
          </w:p>
        </w:tc>
        <w:tc>
          <w:tcPr>
            <w:tcW w:w="922" w:type="dxa"/>
            <w:tcMar>
              <w:top w:w="15" w:type="dxa"/>
              <w:left w:w="15" w:type="dxa"/>
              <w:bottom w:w="0" w:type="dxa"/>
              <w:right w:w="15" w:type="dxa"/>
            </w:tcMar>
            <w:vAlign w:val="center"/>
          </w:tcPr>
          <w:p w14:paraId="70D273D1"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&lt;0.001</w:t>
            </w:r>
          </w:p>
        </w:tc>
        <w:tc>
          <w:tcPr>
            <w:tcW w:w="1798" w:type="dxa"/>
            <w:noWrap/>
            <w:tcMar>
              <w:top w:w="15" w:type="dxa"/>
              <w:left w:w="15" w:type="dxa"/>
              <w:bottom w:w="0" w:type="dxa"/>
              <w:right w:w="15" w:type="dxa"/>
            </w:tcMar>
            <w:vAlign w:val="center"/>
          </w:tcPr>
          <w:p w14:paraId="54B21A5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≤0.01</w:t>
            </w:r>
          </w:p>
        </w:tc>
        <w:tc>
          <w:tcPr>
            <w:tcW w:w="1529" w:type="dxa"/>
            <w:noWrap/>
            <w:tcMar>
              <w:top w:w="15" w:type="dxa"/>
              <w:left w:w="15" w:type="dxa"/>
              <w:bottom w:w="0" w:type="dxa"/>
              <w:right w:w="15" w:type="dxa"/>
            </w:tcMar>
            <w:vAlign w:val="center"/>
          </w:tcPr>
          <w:p w14:paraId="4FA8D6A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＜0.1</w:t>
            </w:r>
          </w:p>
        </w:tc>
        <w:tc>
          <w:tcPr>
            <w:tcW w:w="2096" w:type="dxa"/>
            <w:noWrap/>
            <w:tcMar>
              <w:top w:w="15" w:type="dxa"/>
              <w:left w:w="15" w:type="dxa"/>
              <w:bottom w:w="0" w:type="dxa"/>
              <w:right w:w="15" w:type="dxa"/>
            </w:tcMar>
            <w:vAlign w:val="center"/>
          </w:tcPr>
          <w:p w14:paraId="1B4022E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6447BF10" w14:textId="77777777">
        <w:trPr>
          <w:trHeight w:val="340"/>
          <w:jc w:val="center"/>
        </w:trPr>
        <w:tc>
          <w:tcPr>
            <w:tcW w:w="2319" w:type="dxa"/>
            <w:tcMar>
              <w:top w:w="15" w:type="dxa"/>
              <w:left w:w="15" w:type="dxa"/>
              <w:bottom w:w="0" w:type="dxa"/>
              <w:right w:w="15" w:type="dxa"/>
            </w:tcMar>
            <w:vAlign w:val="center"/>
          </w:tcPr>
          <w:p w14:paraId="27D0DFB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汞(mg/L)</w:t>
            </w:r>
          </w:p>
        </w:tc>
        <w:tc>
          <w:tcPr>
            <w:tcW w:w="922" w:type="dxa"/>
            <w:tcMar>
              <w:top w:w="15" w:type="dxa"/>
              <w:left w:w="15" w:type="dxa"/>
              <w:bottom w:w="0" w:type="dxa"/>
              <w:right w:w="15" w:type="dxa"/>
            </w:tcMar>
            <w:vAlign w:val="center"/>
          </w:tcPr>
          <w:p w14:paraId="13247A6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&lt;0.0001</w:t>
            </w:r>
          </w:p>
        </w:tc>
        <w:tc>
          <w:tcPr>
            <w:tcW w:w="1798" w:type="dxa"/>
            <w:noWrap/>
            <w:tcMar>
              <w:top w:w="15" w:type="dxa"/>
              <w:left w:w="15" w:type="dxa"/>
              <w:bottom w:w="0" w:type="dxa"/>
              <w:right w:w="15" w:type="dxa"/>
            </w:tcMar>
            <w:vAlign w:val="center"/>
          </w:tcPr>
          <w:p w14:paraId="797991D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≤0.001</w:t>
            </w:r>
          </w:p>
        </w:tc>
        <w:tc>
          <w:tcPr>
            <w:tcW w:w="1529" w:type="dxa"/>
            <w:noWrap/>
            <w:tcMar>
              <w:top w:w="15" w:type="dxa"/>
              <w:left w:w="15" w:type="dxa"/>
              <w:bottom w:w="0" w:type="dxa"/>
              <w:right w:w="15" w:type="dxa"/>
            </w:tcMar>
            <w:vAlign w:val="center"/>
          </w:tcPr>
          <w:p w14:paraId="47DCFB0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＜0.1</w:t>
            </w:r>
          </w:p>
        </w:tc>
        <w:tc>
          <w:tcPr>
            <w:tcW w:w="2096" w:type="dxa"/>
            <w:noWrap/>
            <w:tcMar>
              <w:top w:w="15" w:type="dxa"/>
              <w:left w:w="15" w:type="dxa"/>
              <w:bottom w:w="0" w:type="dxa"/>
              <w:right w:w="15" w:type="dxa"/>
            </w:tcMar>
            <w:vAlign w:val="center"/>
          </w:tcPr>
          <w:p w14:paraId="039773F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1D7B0B4B" w14:textId="77777777">
        <w:trPr>
          <w:trHeight w:val="340"/>
          <w:jc w:val="center"/>
        </w:trPr>
        <w:tc>
          <w:tcPr>
            <w:tcW w:w="2319" w:type="dxa"/>
            <w:tcMar>
              <w:top w:w="15" w:type="dxa"/>
              <w:left w:w="15" w:type="dxa"/>
              <w:bottom w:w="0" w:type="dxa"/>
              <w:right w:w="15" w:type="dxa"/>
            </w:tcMar>
            <w:vAlign w:val="center"/>
          </w:tcPr>
          <w:p w14:paraId="2F79B2D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铅(mg/L)</w:t>
            </w:r>
          </w:p>
        </w:tc>
        <w:tc>
          <w:tcPr>
            <w:tcW w:w="922" w:type="dxa"/>
            <w:tcMar>
              <w:top w:w="15" w:type="dxa"/>
              <w:left w:w="15" w:type="dxa"/>
              <w:bottom w:w="0" w:type="dxa"/>
              <w:right w:w="15" w:type="dxa"/>
            </w:tcMar>
            <w:vAlign w:val="center"/>
          </w:tcPr>
          <w:p w14:paraId="6ACE966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&lt;0.0025</w:t>
            </w:r>
          </w:p>
        </w:tc>
        <w:tc>
          <w:tcPr>
            <w:tcW w:w="1798" w:type="dxa"/>
            <w:noWrap/>
            <w:tcMar>
              <w:top w:w="15" w:type="dxa"/>
              <w:left w:w="15" w:type="dxa"/>
              <w:bottom w:w="0" w:type="dxa"/>
              <w:right w:w="15" w:type="dxa"/>
            </w:tcMar>
            <w:vAlign w:val="center"/>
          </w:tcPr>
          <w:p w14:paraId="126CE56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≤0.01</w:t>
            </w:r>
          </w:p>
        </w:tc>
        <w:tc>
          <w:tcPr>
            <w:tcW w:w="1529" w:type="dxa"/>
            <w:noWrap/>
            <w:tcMar>
              <w:top w:w="15" w:type="dxa"/>
              <w:left w:w="15" w:type="dxa"/>
              <w:bottom w:w="0" w:type="dxa"/>
              <w:right w:w="15" w:type="dxa"/>
            </w:tcMar>
            <w:vAlign w:val="center"/>
          </w:tcPr>
          <w:p w14:paraId="76A88CB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＜0.25</w:t>
            </w:r>
          </w:p>
        </w:tc>
        <w:tc>
          <w:tcPr>
            <w:tcW w:w="2096" w:type="dxa"/>
            <w:noWrap/>
            <w:tcMar>
              <w:top w:w="15" w:type="dxa"/>
              <w:left w:w="15" w:type="dxa"/>
              <w:bottom w:w="0" w:type="dxa"/>
              <w:right w:w="15" w:type="dxa"/>
            </w:tcMar>
            <w:vAlign w:val="center"/>
          </w:tcPr>
          <w:p w14:paraId="3B2BE19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5E64CCF7" w14:textId="77777777">
        <w:trPr>
          <w:trHeight w:val="340"/>
          <w:jc w:val="center"/>
        </w:trPr>
        <w:tc>
          <w:tcPr>
            <w:tcW w:w="2319" w:type="dxa"/>
            <w:tcMar>
              <w:top w:w="15" w:type="dxa"/>
              <w:left w:w="15" w:type="dxa"/>
              <w:bottom w:w="0" w:type="dxa"/>
              <w:right w:w="15" w:type="dxa"/>
            </w:tcMar>
            <w:vAlign w:val="center"/>
          </w:tcPr>
          <w:p w14:paraId="146D0C1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六价铬(mg/L)</w:t>
            </w:r>
          </w:p>
        </w:tc>
        <w:tc>
          <w:tcPr>
            <w:tcW w:w="922" w:type="dxa"/>
            <w:tcMar>
              <w:top w:w="15" w:type="dxa"/>
              <w:left w:w="15" w:type="dxa"/>
              <w:bottom w:w="0" w:type="dxa"/>
              <w:right w:w="15" w:type="dxa"/>
            </w:tcMar>
            <w:vAlign w:val="center"/>
          </w:tcPr>
          <w:p w14:paraId="3676CCD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&lt;0.004</w:t>
            </w:r>
          </w:p>
        </w:tc>
        <w:tc>
          <w:tcPr>
            <w:tcW w:w="1798" w:type="dxa"/>
            <w:noWrap/>
            <w:tcMar>
              <w:top w:w="15" w:type="dxa"/>
              <w:left w:w="15" w:type="dxa"/>
              <w:bottom w:w="0" w:type="dxa"/>
              <w:right w:w="15" w:type="dxa"/>
            </w:tcMar>
            <w:vAlign w:val="center"/>
          </w:tcPr>
          <w:p w14:paraId="069E1EB1"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≤0.05</w:t>
            </w:r>
          </w:p>
        </w:tc>
        <w:tc>
          <w:tcPr>
            <w:tcW w:w="1529" w:type="dxa"/>
            <w:noWrap/>
            <w:tcMar>
              <w:top w:w="15" w:type="dxa"/>
              <w:left w:w="15" w:type="dxa"/>
              <w:bottom w:w="0" w:type="dxa"/>
              <w:right w:w="15" w:type="dxa"/>
            </w:tcMar>
            <w:vAlign w:val="center"/>
          </w:tcPr>
          <w:p w14:paraId="7B0C2F0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＜0.08</w:t>
            </w:r>
          </w:p>
        </w:tc>
        <w:tc>
          <w:tcPr>
            <w:tcW w:w="2096" w:type="dxa"/>
            <w:noWrap/>
            <w:tcMar>
              <w:top w:w="15" w:type="dxa"/>
              <w:left w:w="15" w:type="dxa"/>
              <w:bottom w:w="0" w:type="dxa"/>
              <w:right w:w="15" w:type="dxa"/>
            </w:tcMar>
            <w:vAlign w:val="center"/>
          </w:tcPr>
          <w:p w14:paraId="1D764C9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10DA47A5" w14:textId="77777777">
        <w:trPr>
          <w:trHeight w:val="340"/>
          <w:jc w:val="center"/>
        </w:trPr>
        <w:tc>
          <w:tcPr>
            <w:tcW w:w="2319" w:type="dxa"/>
            <w:tcMar>
              <w:top w:w="15" w:type="dxa"/>
              <w:left w:w="15" w:type="dxa"/>
              <w:bottom w:w="0" w:type="dxa"/>
              <w:right w:w="15" w:type="dxa"/>
            </w:tcMar>
            <w:vAlign w:val="center"/>
          </w:tcPr>
          <w:p w14:paraId="5C17FB9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硝酸盐氮(mg/L)</w:t>
            </w:r>
          </w:p>
        </w:tc>
        <w:tc>
          <w:tcPr>
            <w:tcW w:w="922" w:type="dxa"/>
            <w:tcMar>
              <w:top w:w="15" w:type="dxa"/>
              <w:left w:w="15" w:type="dxa"/>
              <w:bottom w:w="0" w:type="dxa"/>
              <w:right w:w="15" w:type="dxa"/>
            </w:tcMar>
            <w:vAlign w:val="center"/>
          </w:tcPr>
          <w:p w14:paraId="1F1BC43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6.9</w:t>
            </w:r>
          </w:p>
        </w:tc>
        <w:tc>
          <w:tcPr>
            <w:tcW w:w="1798" w:type="dxa"/>
            <w:noWrap/>
            <w:tcMar>
              <w:top w:w="15" w:type="dxa"/>
              <w:left w:w="15" w:type="dxa"/>
              <w:bottom w:w="0" w:type="dxa"/>
              <w:right w:w="15" w:type="dxa"/>
            </w:tcMar>
            <w:vAlign w:val="center"/>
          </w:tcPr>
          <w:p w14:paraId="0743758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≤20</w:t>
            </w:r>
          </w:p>
        </w:tc>
        <w:tc>
          <w:tcPr>
            <w:tcW w:w="1529" w:type="dxa"/>
            <w:noWrap/>
            <w:tcMar>
              <w:top w:w="15" w:type="dxa"/>
              <w:left w:w="15" w:type="dxa"/>
              <w:bottom w:w="0" w:type="dxa"/>
              <w:right w:w="15" w:type="dxa"/>
            </w:tcMar>
            <w:vAlign w:val="center"/>
          </w:tcPr>
          <w:p w14:paraId="4201A0E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0.345</w:t>
            </w:r>
          </w:p>
        </w:tc>
        <w:tc>
          <w:tcPr>
            <w:tcW w:w="2096" w:type="dxa"/>
            <w:noWrap/>
            <w:tcMar>
              <w:top w:w="15" w:type="dxa"/>
              <w:left w:w="15" w:type="dxa"/>
              <w:bottom w:w="0" w:type="dxa"/>
              <w:right w:w="15" w:type="dxa"/>
            </w:tcMar>
            <w:vAlign w:val="center"/>
          </w:tcPr>
          <w:p w14:paraId="538783D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15C0EF05" w14:textId="77777777">
        <w:trPr>
          <w:trHeight w:val="340"/>
          <w:jc w:val="center"/>
        </w:trPr>
        <w:tc>
          <w:tcPr>
            <w:tcW w:w="2319" w:type="dxa"/>
            <w:tcMar>
              <w:top w:w="15" w:type="dxa"/>
              <w:left w:w="15" w:type="dxa"/>
              <w:bottom w:w="0" w:type="dxa"/>
              <w:right w:w="15" w:type="dxa"/>
            </w:tcMar>
            <w:vAlign w:val="center"/>
          </w:tcPr>
          <w:p w14:paraId="20FB4BA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菌落总数（cfu/mL）</w:t>
            </w:r>
          </w:p>
        </w:tc>
        <w:tc>
          <w:tcPr>
            <w:tcW w:w="922" w:type="dxa"/>
            <w:tcMar>
              <w:top w:w="15" w:type="dxa"/>
              <w:left w:w="15" w:type="dxa"/>
              <w:bottom w:w="0" w:type="dxa"/>
              <w:right w:w="15" w:type="dxa"/>
            </w:tcMar>
            <w:vAlign w:val="center"/>
          </w:tcPr>
          <w:p w14:paraId="6392F14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&lt;10</w:t>
            </w:r>
          </w:p>
        </w:tc>
        <w:tc>
          <w:tcPr>
            <w:tcW w:w="1798" w:type="dxa"/>
            <w:noWrap/>
            <w:tcMar>
              <w:top w:w="15" w:type="dxa"/>
              <w:left w:w="15" w:type="dxa"/>
              <w:bottom w:w="0" w:type="dxa"/>
              <w:right w:w="15" w:type="dxa"/>
            </w:tcMar>
            <w:vAlign w:val="center"/>
          </w:tcPr>
          <w:p w14:paraId="174025C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≤100</w:t>
            </w:r>
          </w:p>
        </w:tc>
        <w:tc>
          <w:tcPr>
            <w:tcW w:w="1529" w:type="dxa"/>
            <w:noWrap/>
            <w:tcMar>
              <w:top w:w="15" w:type="dxa"/>
              <w:left w:w="15" w:type="dxa"/>
              <w:bottom w:w="0" w:type="dxa"/>
              <w:right w:w="15" w:type="dxa"/>
            </w:tcMar>
            <w:vAlign w:val="center"/>
          </w:tcPr>
          <w:p w14:paraId="12F671C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&lt;0.1</w:t>
            </w:r>
          </w:p>
        </w:tc>
        <w:tc>
          <w:tcPr>
            <w:tcW w:w="2096" w:type="dxa"/>
            <w:noWrap/>
            <w:tcMar>
              <w:top w:w="15" w:type="dxa"/>
              <w:left w:w="15" w:type="dxa"/>
              <w:bottom w:w="0" w:type="dxa"/>
              <w:right w:w="15" w:type="dxa"/>
            </w:tcMar>
            <w:vAlign w:val="center"/>
          </w:tcPr>
          <w:p w14:paraId="1378A0E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4C481E5B" w14:textId="77777777">
        <w:trPr>
          <w:trHeight w:val="340"/>
          <w:jc w:val="center"/>
        </w:trPr>
        <w:tc>
          <w:tcPr>
            <w:tcW w:w="2319" w:type="dxa"/>
            <w:tcMar>
              <w:top w:w="15" w:type="dxa"/>
              <w:left w:w="15" w:type="dxa"/>
              <w:bottom w:w="0" w:type="dxa"/>
              <w:right w:w="15" w:type="dxa"/>
            </w:tcMar>
            <w:vAlign w:val="center"/>
          </w:tcPr>
          <w:p w14:paraId="259E626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总大肠菌群（MPN/100mL）</w:t>
            </w:r>
          </w:p>
        </w:tc>
        <w:tc>
          <w:tcPr>
            <w:tcW w:w="922" w:type="dxa"/>
            <w:tcMar>
              <w:top w:w="15" w:type="dxa"/>
              <w:left w:w="15" w:type="dxa"/>
              <w:bottom w:w="0" w:type="dxa"/>
              <w:right w:w="15" w:type="dxa"/>
            </w:tcMar>
            <w:vAlign w:val="center"/>
          </w:tcPr>
          <w:p w14:paraId="48316C6C"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未检出</w:t>
            </w:r>
          </w:p>
        </w:tc>
        <w:tc>
          <w:tcPr>
            <w:tcW w:w="1798" w:type="dxa"/>
            <w:noWrap/>
            <w:tcMar>
              <w:top w:w="15" w:type="dxa"/>
              <w:left w:w="15" w:type="dxa"/>
              <w:bottom w:w="0" w:type="dxa"/>
              <w:right w:w="15" w:type="dxa"/>
            </w:tcMar>
            <w:vAlign w:val="center"/>
          </w:tcPr>
          <w:p w14:paraId="2B1939C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≤3.0</w:t>
            </w:r>
          </w:p>
        </w:tc>
        <w:tc>
          <w:tcPr>
            <w:tcW w:w="1529" w:type="dxa"/>
            <w:noWrap/>
            <w:tcMar>
              <w:top w:w="15" w:type="dxa"/>
              <w:left w:w="15" w:type="dxa"/>
              <w:bottom w:w="0" w:type="dxa"/>
              <w:right w:w="15" w:type="dxa"/>
            </w:tcMar>
            <w:vAlign w:val="center"/>
          </w:tcPr>
          <w:p w14:paraId="01C9AF1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w:t>
            </w:r>
          </w:p>
        </w:tc>
        <w:tc>
          <w:tcPr>
            <w:tcW w:w="2096" w:type="dxa"/>
            <w:noWrap/>
            <w:tcMar>
              <w:top w:w="15" w:type="dxa"/>
              <w:left w:w="15" w:type="dxa"/>
              <w:bottom w:w="0" w:type="dxa"/>
              <w:right w:w="15" w:type="dxa"/>
            </w:tcMar>
            <w:vAlign w:val="center"/>
          </w:tcPr>
          <w:p w14:paraId="314F5A4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bl>
    <w:p w14:paraId="05C16680" w14:textId="77777777" w:rsidR="005A1A44" w:rsidRDefault="005A1A44">
      <w:pPr>
        <w:ind w:firstLineChars="0" w:firstLine="0"/>
      </w:pPr>
    </w:p>
    <w:p w14:paraId="6785DD04" w14:textId="77777777" w:rsidR="005A1A44" w:rsidRDefault="005A1A44">
      <w:pPr>
        <w:ind w:firstLineChars="0" w:firstLine="0"/>
        <w:jc w:val="center"/>
        <w:rPr>
          <w:rFonts w:ascii="黑体" w:eastAsia="黑体" w:hAnsi="黑体" w:cs="黑体" w:hint="eastAsia"/>
        </w:rPr>
      </w:pPr>
    </w:p>
    <w:p w14:paraId="157CDC37" w14:textId="77777777" w:rsidR="005A1A44" w:rsidRDefault="005A1A44">
      <w:pPr>
        <w:ind w:firstLineChars="0" w:firstLine="0"/>
        <w:jc w:val="center"/>
        <w:rPr>
          <w:rFonts w:ascii="黑体" w:eastAsia="黑体" w:hAnsi="黑体" w:cs="黑体" w:hint="eastAsia"/>
        </w:rPr>
      </w:pPr>
    </w:p>
    <w:p w14:paraId="7218E3D3" w14:textId="77777777" w:rsidR="005A1A44" w:rsidRDefault="0008059E">
      <w:pPr>
        <w:ind w:firstLineChars="0" w:firstLine="0"/>
        <w:jc w:val="center"/>
        <w:rPr>
          <w:rFonts w:ascii="黑体" w:eastAsia="黑体" w:hAnsi="黑体" w:cs="黑体" w:hint="eastAsia"/>
        </w:rPr>
      </w:pPr>
      <w:r>
        <w:rPr>
          <w:rFonts w:ascii="黑体" w:eastAsia="黑体" w:hAnsi="黑体" w:cs="黑体" w:hint="eastAsia"/>
        </w:rPr>
        <w:lastRenderedPageBreak/>
        <w:t>表4.4-2  地下水环境质量现状评价表（和田市玉河东部一乡一镇水厂水源地）</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19"/>
        <w:gridCol w:w="922"/>
        <w:gridCol w:w="1798"/>
        <w:gridCol w:w="1529"/>
        <w:gridCol w:w="2096"/>
      </w:tblGrid>
      <w:tr w:rsidR="005A1A44" w14:paraId="327D5D2C" w14:textId="77777777">
        <w:trPr>
          <w:trHeight w:val="340"/>
          <w:jc w:val="center"/>
        </w:trPr>
        <w:tc>
          <w:tcPr>
            <w:tcW w:w="2319" w:type="dxa"/>
            <w:tcMar>
              <w:top w:w="15" w:type="dxa"/>
              <w:left w:w="15" w:type="dxa"/>
              <w:bottom w:w="0" w:type="dxa"/>
              <w:right w:w="15" w:type="dxa"/>
            </w:tcMar>
            <w:vAlign w:val="center"/>
          </w:tcPr>
          <w:p w14:paraId="3FE8F82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指标</w:t>
            </w:r>
          </w:p>
        </w:tc>
        <w:tc>
          <w:tcPr>
            <w:tcW w:w="922" w:type="dxa"/>
            <w:tcMar>
              <w:top w:w="15" w:type="dxa"/>
              <w:left w:w="15" w:type="dxa"/>
              <w:bottom w:w="0" w:type="dxa"/>
              <w:right w:w="15" w:type="dxa"/>
            </w:tcMar>
            <w:vAlign w:val="center"/>
          </w:tcPr>
          <w:p w14:paraId="6785F78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监测值</w:t>
            </w:r>
          </w:p>
        </w:tc>
        <w:tc>
          <w:tcPr>
            <w:tcW w:w="1798" w:type="dxa"/>
            <w:noWrap/>
            <w:tcMar>
              <w:top w:w="15" w:type="dxa"/>
              <w:left w:w="15" w:type="dxa"/>
              <w:bottom w:w="0" w:type="dxa"/>
              <w:right w:w="15" w:type="dxa"/>
            </w:tcMar>
            <w:vAlign w:val="center"/>
          </w:tcPr>
          <w:p w14:paraId="197577F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标准值</w:t>
            </w:r>
          </w:p>
        </w:tc>
        <w:tc>
          <w:tcPr>
            <w:tcW w:w="1529" w:type="dxa"/>
            <w:noWrap/>
            <w:tcMar>
              <w:top w:w="15" w:type="dxa"/>
              <w:left w:w="15" w:type="dxa"/>
              <w:bottom w:w="0" w:type="dxa"/>
              <w:right w:w="15" w:type="dxa"/>
            </w:tcMar>
            <w:vAlign w:val="center"/>
          </w:tcPr>
          <w:p w14:paraId="4A891A7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标准指数</w:t>
            </w:r>
          </w:p>
        </w:tc>
        <w:tc>
          <w:tcPr>
            <w:tcW w:w="2096" w:type="dxa"/>
            <w:noWrap/>
            <w:tcMar>
              <w:top w:w="15" w:type="dxa"/>
              <w:left w:w="15" w:type="dxa"/>
              <w:bottom w:w="0" w:type="dxa"/>
              <w:right w:w="15" w:type="dxa"/>
            </w:tcMar>
            <w:vAlign w:val="center"/>
          </w:tcPr>
          <w:p w14:paraId="08C96D9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达标说明</w:t>
            </w:r>
          </w:p>
        </w:tc>
      </w:tr>
      <w:tr w:rsidR="005A1A44" w14:paraId="6C291C85" w14:textId="77777777">
        <w:trPr>
          <w:trHeight w:val="386"/>
          <w:jc w:val="center"/>
        </w:trPr>
        <w:tc>
          <w:tcPr>
            <w:tcW w:w="2319" w:type="dxa"/>
            <w:tcMar>
              <w:top w:w="15" w:type="dxa"/>
              <w:left w:w="15" w:type="dxa"/>
              <w:bottom w:w="0" w:type="dxa"/>
              <w:right w:w="15" w:type="dxa"/>
            </w:tcMar>
            <w:vAlign w:val="center"/>
          </w:tcPr>
          <w:p w14:paraId="0E6C2061"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色（度）</w:t>
            </w:r>
          </w:p>
        </w:tc>
        <w:tc>
          <w:tcPr>
            <w:tcW w:w="922" w:type="dxa"/>
            <w:tcMar>
              <w:top w:w="15" w:type="dxa"/>
              <w:left w:w="15" w:type="dxa"/>
              <w:bottom w:w="0" w:type="dxa"/>
              <w:right w:w="15" w:type="dxa"/>
            </w:tcMar>
            <w:vAlign w:val="center"/>
          </w:tcPr>
          <w:p w14:paraId="6522CFF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5</w:t>
            </w:r>
          </w:p>
        </w:tc>
        <w:tc>
          <w:tcPr>
            <w:tcW w:w="1798" w:type="dxa"/>
            <w:noWrap/>
            <w:tcMar>
              <w:top w:w="15" w:type="dxa"/>
              <w:left w:w="15" w:type="dxa"/>
              <w:bottom w:w="0" w:type="dxa"/>
              <w:right w:w="15" w:type="dxa"/>
            </w:tcMar>
            <w:vAlign w:val="center"/>
          </w:tcPr>
          <w:p w14:paraId="0391802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≤15</w:t>
            </w:r>
          </w:p>
        </w:tc>
        <w:tc>
          <w:tcPr>
            <w:tcW w:w="1529" w:type="dxa"/>
            <w:noWrap/>
            <w:tcMar>
              <w:top w:w="15" w:type="dxa"/>
              <w:left w:w="15" w:type="dxa"/>
              <w:bottom w:w="0" w:type="dxa"/>
              <w:right w:w="15" w:type="dxa"/>
            </w:tcMar>
            <w:vAlign w:val="center"/>
          </w:tcPr>
          <w:p w14:paraId="7FEDA22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0.33</w:t>
            </w:r>
          </w:p>
        </w:tc>
        <w:tc>
          <w:tcPr>
            <w:tcW w:w="2096" w:type="dxa"/>
            <w:noWrap/>
            <w:tcMar>
              <w:top w:w="15" w:type="dxa"/>
              <w:left w:w="15" w:type="dxa"/>
              <w:bottom w:w="0" w:type="dxa"/>
              <w:right w:w="15" w:type="dxa"/>
            </w:tcMar>
            <w:vAlign w:val="center"/>
          </w:tcPr>
          <w:p w14:paraId="5A7240B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7D3B05E7" w14:textId="77777777">
        <w:trPr>
          <w:trHeight w:val="340"/>
          <w:jc w:val="center"/>
        </w:trPr>
        <w:tc>
          <w:tcPr>
            <w:tcW w:w="2319" w:type="dxa"/>
            <w:tcMar>
              <w:top w:w="15" w:type="dxa"/>
              <w:left w:w="15" w:type="dxa"/>
              <w:bottom w:w="0" w:type="dxa"/>
              <w:right w:w="15" w:type="dxa"/>
            </w:tcMar>
            <w:vAlign w:val="center"/>
          </w:tcPr>
          <w:p w14:paraId="0038001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浑浊度（NUT）</w:t>
            </w:r>
          </w:p>
        </w:tc>
        <w:tc>
          <w:tcPr>
            <w:tcW w:w="922" w:type="dxa"/>
            <w:tcMar>
              <w:top w:w="15" w:type="dxa"/>
              <w:left w:w="15" w:type="dxa"/>
              <w:bottom w:w="0" w:type="dxa"/>
              <w:right w:w="15" w:type="dxa"/>
            </w:tcMar>
            <w:vAlign w:val="center"/>
          </w:tcPr>
          <w:p w14:paraId="7F677FC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w:t>
            </w:r>
          </w:p>
        </w:tc>
        <w:tc>
          <w:tcPr>
            <w:tcW w:w="1798" w:type="dxa"/>
            <w:noWrap/>
            <w:tcMar>
              <w:top w:w="15" w:type="dxa"/>
              <w:left w:w="15" w:type="dxa"/>
              <w:bottom w:w="0" w:type="dxa"/>
              <w:right w:w="15" w:type="dxa"/>
            </w:tcMar>
            <w:vAlign w:val="center"/>
          </w:tcPr>
          <w:p w14:paraId="409E4CA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w:t>
            </w:r>
          </w:p>
        </w:tc>
        <w:tc>
          <w:tcPr>
            <w:tcW w:w="1529" w:type="dxa"/>
            <w:noWrap/>
            <w:tcMar>
              <w:top w:w="15" w:type="dxa"/>
              <w:left w:w="15" w:type="dxa"/>
              <w:bottom w:w="0" w:type="dxa"/>
              <w:right w:w="15" w:type="dxa"/>
            </w:tcMar>
            <w:vAlign w:val="center"/>
          </w:tcPr>
          <w:p w14:paraId="13EEF2C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0.33</w:t>
            </w:r>
          </w:p>
        </w:tc>
        <w:tc>
          <w:tcPr>
            <w:tcW w:w="2096" w:type="dxa"/>
            <w:noWrap/>
            <w:tcMar>
              <w:top w:w="15" w:type="dxa"/>
              <w:left w:w="15" w:type="dxa"/>
              <w:bottom w:w="0" w:type="dxa"/>
              <w:right w:w="15" w:type="dxa"/>
            </w:tcMar>
            <w:vAlign w:val="center"/>
          </w:tcPr>
          <w:p w14:paraId="50E5069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322F9083" w14:textId="77777777">
        <w:trPr>
          <w:trHeight w:val="340"/>
          <w:jc w:val="center"/>
        </w:trPr>
        <w:tc>
          <w:tcPr>
            <w:tcW w:w="2319" w:type="dxa"/>
            <w:tcMar>
              <w:top w:w="15" w:type="dxa"/>
              <w:left w:w="15" w:type="dxa"/>
              <w:bottom w:w="0" w:type="dxa"/>
              <w:right w:w="15" w:type="dxa"/>
            </w:tcMar>
            <w:vAlign w:val="center"/>
          </w:tcPr>
          <w:p w14:paraId="5C5E657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肉眼可见度</w:t>
            </w:r>
          </w:p>
        </w:tc>
        <w:tc>
          <w:tcPr>
            <w:tcW w:w="922" w:type="dxa"/>
            <w:tcMar>
              <w:top w:w="15" w:type="dxa"/>
              <w:left w:w="15" w:type="dxa"/>
              <w:bottom w:w="0" w:type="dxa"/>
              <w:right w:w="15" w:type="dxa"/>
            </w:tcMar>
            <w:vAlign w:val="center"/>
          </w:tcPr>
          <w:p w14:paraId="2C66FAC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无</w:t>
            </w:r>
          </w:p>
        </w:tc>
        <w:tc>
          <w:tcPr>
            <w:tcW w:w="1798" w:type="dxa"/>
            <w:noWrap/>
            <w:tcMar>
              <w:top w:w="15" w:type="dxa"/>
              <w:left w:w="15" w:type="dxa"/>
              <w:bottom w:w="0" w:type="dxa"/>
              <w:right w:w="15" w:type="dxa"/>
            </w:tcMar>
            <w:vAlign w:val="center"/>
          </w:tcPr>
          <w:p w14:paraId="05AF131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无</w:t>
            </w:r>
          </w:p>
        </w:tc>
        <w:tc>
          <w:tcPr>
            <w:tcW w:w="1529" w:type="dxa"/>
            <w:noWrap/>
            <w:tcMar>
              <w:top w:w="15" w:type="dxa"/>
              <w:left w:w="15" w:type="dxa"/>
              <w:bottom w:w="0" w:type="dxa"/>
              <w:right w:w="15" w:type="dxa"/>
            </w:tcMar>
            <w:vAlign w:val="center"/>
          </w:tcPr>
          <w:p w14:paraId="287B08D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w:t>
            </w:r>
          </w:p>
        </w:tc>
        <w:tc>
          <w:tcPr>
            <w:tcW w:w="2096" w:type="dxa"/>
            <w:noWrap/>
            <w:tcMar>
              <w:top w:w="15" w:type="dxa"/>
              <w:left w:w="15" w:type="dxa"/>
              <w:bottom w:w="0" w:type="dxa"/>
              <w:right w:w="15" w:type="dxa"/>
            </w:tcMar>
            <w:vAlign w:val="center"/>
          </w:tcPr>
          <w:p w14:paraId="130E99D1"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14BCB812" w14:textId="77777777">
        <w:trPr>
          <w:trHeight w:val="340"/>
          <w:jc w:val="center"/>
        </w:trPr>
        <w:tc>
          <w:tcPr>
            <w:tcW w:w="2319" w:type="dxa"/>
            <w:tcMar>
              <w:top w:w="15" w:type="dxa"/>
              <w:left w:w="15" w:type="dxa"/>
              <w:bottom w:w="0" w:type="dxa"/>
              <w:right w:w="15" w:type="dxa"/>
            </w:tcMar>
            <w:vAlign w:val="center"/>
          </w:tcPr>
          <w:p w14:paraId="65C7C42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嗅和味</w:t>
            </w:r>
          </w:p>
        </w:tc>
        <w:tc>
          <w:tcPr>
            <w:tcW w:w="922" w:type="dxa"/>
            <w:tcMar>
              <w:top w:w="15" w:type="dxa"/>
              <w:left w:w="15" w:type="dxa"/>
              <w:bottom w:w="0" w:type="dxa"/>
              <w:right w:w="15" w:type="dxa"/>
            </w:tcMar>
            <w:vAlign w:val="center"/>
          </w:tcPr>
          <w:p w14:paraId="3BBD392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无</w:t>
            </w:r>
          </w:p>
        </w:tc>
        <w:tc>
          <w:tcPr>
            <w:tcW w:w="1798" w:type="dxa"/>
            <w:noWrap/>
            <w:tcMar>
              <w:top w:w="15" w:type="dxa"/>
              <w:left w:w="15" w:type="dxa"/>
              <w:bottom w:w="0" w:type="dxa"/>
              <w:right w:w="15" w:type="dxa"/>
            </w:tcMar>
            <w:vAlign w:val="center"/>
          </w:tcPr>
          <w:p w14:paraId="65475CD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无异臭、异味</w:t>
            </w:r>
          </w:p>
        </w:tc>
        <w:tc>
          <w:tcPr>
            <w:tcW w:w="1529" w:type="dxa"/>
            <w:noWrap/>
            <w:tcMar>
              <w:top w:w="15" w:type="dxa"/>
              <w:left w:w="15" w:type="dxa"/>
              <w:bottom w:w="0" w:type="dxa"/>
              <w:right w:w="15" w:type="dxa"/>
            </w:tcMar>
            <w:vAlign w:val="center"/>
          </w:tcPr>
          <w:p w14:paraId="7DC1C11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w:t>
            </w:r>
          </w:p>
        </w:tc>
        <w:tc>
          <w:tcPr>
            <w:tcW w:w="2096" w:type="dxa"/>
            <w:noWrap/>
            <w:tcMar>
              <w:top w:w="15" w:type="dxa"/>
              <w:left w:w="15" w:type="dxa"/>
              <w:bottom w:w="0" w:type="dxa"/>
              <w:right w:w="15" w:type="dxa"/>
            </w:tcMar>
            <w:vAlign w:val="center"/>
          </w:tcPr>
          <w:p w14:paraId="0D190AB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196EF4C9" w14:textId="77777777">
        <w:trPr>
          <w:trHeight w:val="340"/>
          <w:jc w:val="center"/>
        </w:trPr>
        <w:tc>
          <w:tcPr>
            <w:tcW w:w="2319" w:type="dxa"/>
            <w:tcMar>
              <w:top w:w="15" w:type="dxa"/>
              <w:left w:w="15" w:type="dxa"/>
              <w:bottom w:w="0" w:type="dxa"/>
              <w:right w:w="15" w:type="dxa"/>
            </w:tcMar>
            <w:vAlign w:val="center"/>
          </w:tcPr>
          <w:p w14:paraId="26EE36C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pH</w:t>
            </w:r>
          </w:p>
        </w:tc>
        <w:tc>
          <w:tcPr>
            <w:tcW w:w="922" w:type="dxa"/>
            <w:tcMar>
              <w:top w:w="15" w:type="dxa"/>
              <w:left w:w="15" w:type="dxa"/>
              <w:bottom w:w="0" w:type="dxa"/>
              <w:right w:w="15" w:type="dxa"/>
            </w:tcMar>
            <w:vAlign w:val="center"/>
          </w:tcPr>
          <w:p w14:paraId="1BB71DA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7.2</w:t>
            </w:r>
          </w:p>
        </w:tc>
        <w:tc>
          <w:tcPr>
            <w:tcW w:w="1798" w:type="dxa"/>
            <w:noWrap/>
            <w:tcMar>
              <w:top w:w="15" w:type="dxa"/>
              <w:left w:w="15" w:type="dxa"/>
              <w:bottom w:w="0" w:type="dxa"/>
              <w:right w:w="15" w:type="dxa"/>
            </w:tcMar>
            <w:vAlign w:val="center"/>
          </w:tcPr>
          <w:p w14:paraId="5AFA129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6.5</w:t>
            </w:r>
            <w:r>
              <w:rPr>
                <w:rFonts w:asciiTheme="majorHAnsi" w:eastAsia="宋体" w:hAnsi="宋体" w:cs="宋体" w:hint="eastAsia"/>
                <w:sz w:val="21"/>
                <w:szCs w:val="21"/>
              </w:rPr>
              <w:t>~</w:t>
            </w:r>
            <w:r>
              <w:rPr>
                <w:rFonts w:ascii="宋体" w:eastAsia="宋体" w:hAnsi="宋体" w:cs="宋体" w:hint="eastAsia"/>
                <w:sz w:val="21"/>
                <w:szCs w:val="21"/>
              </w:rPr>
              <w:t>8.5</w:t>
            </w:r>
          </w:p>
        </w:tc>
        <w:tc>
          <w:tcPr>
            <w:tcW w:w="1529" w:type="dxa"/>
            <w:noWrap/>
            <w:tcMar>
              <w:top w:w="15" w:type="dxa"/>
              <w:left w:w="15" w:type="dxa"/>
              <w:bottom w:w="0" w:type="dxa"/>
              <w:right w:w="15" w:type="dxa"/>
            </w:tcMar>
            <w:vAlign w:val="center"/>
          </w:tcPr>
          <w:p w14:paraId="46A92E0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0.4</w:t>
            </w:r>
          </w:p>
        </w:tc>
        <w:tc>
          <w:tcPr>
            <w:tcW w:w="2096" w:type="dxa"/>
            <w:noWrap/>
            <w:tcMar>
              <w:top w:w="15" w:type="dxa"/>
              <w:left w:w="15" w:type="dxa"/>
              <w:bottom w:w="0" w:type="dxa"/>
              <w:right w:w="15" w:type="dxa"/>
            </w:tcMar>
            <w:vAlign w:val="center"/>
          </w:tcPr>
          <w:p w14:paraId="6356F12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7177C627" w14:textId="77777777">
        <w:trPr>
          <w:trHeight w:val="340"/>
          <w:jc w:val="center"/>
        </w:trPr>
        <w:tc>
          <w:tcPr>
            <w:tcW w:w="2319" w:type="dxa"/>
            <w:tcMar>
              <w:top w:w="15" w:type="dxa"/>
              <w:left w:w="15" w:type="dxa"/>
              <w:bottom w:w="0" w:type="dxa"/>
              <w:right w:w="15" w:type="dxa"/>
            </w:tcMar>
            <w:vAlign w:val="center"/>
          </w:tcPr>
          <w:p w14:paraId="50B187A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总硬度（CaCO</w:t>
            </w:r>
            <w:r>
              <w:rPr>
                <w:rFonts w:ascii="宋体" w:eastAsia="宋体" w:hAnsi="宋体" w:cs="宋体" w:hint="eastAsia"/>
                <w:sz w:val="21"/>
                <w:szCs w:val="21"/>
                <w:vertAlign w:val="subscript"/>
              </w:rPr>
              <w:t>3</w:t>
            </w:r>
            <w:r>
              <w:rPr>
                <w:rFonts w:ascii="宋体" w:eastAsia="宋体" w:hAnsi="宋体" w:cs="宋体" w:hint="eastAsia"/>
                <w:sz w:val="21"/>
                <w:szCs w:val="21"/>
              </w:rPr>
              <w:t>）(mg/L)</w:t>
            </w:r>
          </w:p>
        </w:tc>
        <w:tc>
          <w:tcPr>
            <w:tcW w:w="922" w:type="dxa"/>
            <w:tcMar>
              <w:top w:w="15" w:type="dxa"/>
              <w:left w:w="15" w:type="dxa"/>
              <w:bottom w:w="0" w:type="dxa"/>
              <w:right w:w="15" w:type="dxa"/>
            </w:tcMar>
            <w:vAlign w:val="center"/>
          </w:tcPr>
          <w:p w14:paraId="45ADFA31"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240</w:t>
            </w:r>
          </w:p>
        </w:tc>
        <w:tc>
          <w:tcPr>
            <w:tcW w:w="1798" w:type="dxa"/>
            <w:noWrap/>
            <w:tcMar>
              <w:top w:w="15" w:type="dxa"/>
              <w:left w:w="15" w:type="dxa"/>
              <w:bottom w:w="0" w:type="dxa"/>
              <w:right w:w="15" w:type="dxa"/>
            </w:tcMar>
            <w:vAlign w:val="center"/>
          </w:tcPr>
          <w:p w14:paraId="3E64128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≤450</w:t>
            </w:r>
          </w:p>
        </w:tc>
        <w:tc>
          <w:tcPr>
            <w:tcW w:w="1529" w:type="dxa"/>
            <w:noWrap/>
            <w:tcMar>
              <w:top w:w="15" w:type="dxa"/>
              <w:left w:w="15" w:type="dxa"/>
              <w:bottom w:w="0" w:type="dxa"/>
              <w:right w:w="15" w:type="dxa"/>
            </w:tcMar>
            <w:vAlign w:val="center"/>
          </w:tcPr>
          <w:p w14:paraId="2028828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0.53</w:t>
            </w:r>
          </w:p>
        </w:tc>
        <w:tc>
          <w:tcPr>
            <w:tcW w:w="2096" w:type="dxa"/>
            <w:noWrap/>
            <w:tcMar>
              <w:top w:w="15" w:type="dxa"/>
              <w:left w:w="15" w:type="dxa"/>
              <w:bottom w:w="0" w:type="dxa"/>
              <w:right w:w="15" w:type="dxa"/>
            </w:tcMar>
            <w:vAlign w:val="center"/>
          </w:tcPr>
          <w:p w14:paraId="4D23CCE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37D3F0E1" w14:textId="77777777">
        <w:trPr>
          <w:trHeight w:val="340"/>
          <w:jc w:val="center"/>
        </w:trPr>
        <w:tc>
          <w:tcPr>
            <w:tcW w:w="2319" w:type="dxa"/>
            <w:tcMar>
              <w:top w:w="15" w:type="dxa"/>
              <w:left w:w="15" w:type="dxa"/>
              <w:bottom w:w="0" w:type="dxa"/>
              <w:right w:w="15" w:type="dxa"/>
            </w:tcMar>
            <w:vAlign w:val="center"/>
          </w:tcPr>
          <w:p w14:paraId="1AF9AE0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铁(mg/L)</w:t>
            </w:r>
          </w:p>
        </w:tc>
        <w:tc>
          <w:tcPr>
            <w:tcW w:w="922" w:type="dxa"/>
            <w:tcMar>
              <w:top w:w="15" w:type="dxa"/>
              <w:left w:w="15" w:type="dxa"/>
              <w:bottom w:w="0" w:type="dxa"/>
              <w:right w:w="15" w:type="dxa"/>
            </w:tcMar>
            <w:vAlign w:val="center"/>
          </w:tcPr>
          <w:p w14:paraId="7795C65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&lt;0.3</w:t>
            </w:r>
          </w:p>
        </w:tc>
        <w:tc>
          <w:tcPr>
            <w:tcW w:w="1798" w:type="dxa"/>
            <w:noWrap/>
            <w:tcMar>
              <w:top w:w="15" w:type="dxa"/>
              <w:left w:w="15" w:type="dxa"/>
              <w:bottom w:w="0" w:type="dxa"/>
              <w:right w:w="15" w:type="dxa"/>
            </w:tcMar>
            <w:vAlign w:val="center"/>
          </w:tcPr>
          <w:p w14:paraId="47E7C1B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≤0.3</w:t>
            </w:r>
          </w:p>
        </w:tc>
        <w:tc>
          <w:tcPr>
            <w:tcW w:w="1529" w:type="dxa"/>
            <w:noWrap/>
            <w:tcMar>
              <w:top w:w="15" w:type="dxa"/>
              <w:left w:w="15" w:type="dxa"/>
              <w:bottom w:w="0" w:type="dxa"/>
              <w:right w:w="15" w:type="dxa"/>
            </w:tcMar>
            <w:vAlign w:val="center"/>
          </w:tcPr>
          <w:p w14:paraId="2100557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＜1.0</w:t>
            </w:r>
          </w:p>
        </w:tc>
        <w:tc>
          <w:tcPr>
            <w:tcW w:w="2096" w:type="dxa"/>
            <w:noWrap/>
            <w:tcMar>
              <w:top w:w="15" w:type="dxa"/>
              <w:left w:w="15" w:type="dxa"/>
              <w:bottom w:w="0" w:type="dxa"/>
              <w:right w:w="15" w:type="dxa"/>
            </w:tcMar>
            <w:vAlign w:val="center"/>
          </w:tcPr>
          <w:p w14:paraId="24DC707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34CC9D94" w14:textId="77777777">
        <w:trPr>
          <w:trHeight w:val="90"/>
          <w:jc w:val="center"/>
        </w:trPr>
        <w:tc>
          <w:tcPr>
            <w:tcW w:w="2319" w:type="dxa"/>
            <w:tcMar>
              <w:top w:w="15" w:type="dxa"/>
              <w:left w:w="15" w:type="dxa"/>
              <w:bottom w:w="0" w:type="dxa"/>
              <w:right w:w="15" w:type="dxa"/>
            </w:tcMar>
            <w:vAlign w:val="center"/>
          </w:tcPr>
          <w:p w14:paraId="58CCCB8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锰(mg/L)</w:t>
            </w:r>
          </w:p>
        </w:tc>
        <w:tc>
          <w:tcPr>
            <w:tcW w:w="922" w:type="dxa"/>
            <w:tcMar>
              <w:top w:w="15" w:type="dxa"/>
              <w:left w:w="15" w:type="dxa"/>
              <w:bottom w:w="0" w:type="dxa"/>
              <w:right w:w="15" w:type="dxa"/>
            </w:tcMar>
            <w:vAlign w:val="center"/>
          </w:tcPr>
          <w:p w14:paraId="43A96B3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&lt;0.1</w:t>
            </w:r>
          </w:p>
        </w:tc>
        <w:tc>
          <w:tcPr>
            <w:tcW w:w="1798" w:type="dxa"/>
            <w:noWrap/>
            <w:tcMar>
              <w:top w:w="15" w:type="dxa"/>
              <w:left w:w="15" w:type="dxa"/>
              <w:bottom w:w="0" w:type="dxa"/>
              <w:right w:w="15" w:type="dxa"/>
            </w:tcMar>
            <w:vAlign w:val="center"/>
          </w:tcPr>
          <w:p w14:paraId="5583D18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≤0.1</w:t>
            </w:r>
          </w:p>
        </w:tc>
        <w:tc>
          <w:tcPr>
            <w:tcW w:w="1529" w:type="dxa"/>
            <w:noWrap/>
            <w:tcMar>
              <w:top w:w="15" w:type="dxa"/>
              <w:left w:w="15" w:type="dxa"/>
              <w:bottom w:w="0" w:type="dxa"/>
              <w:right w:w="15" w:type="dxa"/>
            </w:tcMar>
            <w:vAlign w:val="center"/>
          </w:tcPr>
          <w:p w14:paraId="3D0A4E7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＜1.0</w:t>
            </w:r>
          </w:p>
        </w:tc>
        <w:tc>
          <w:tcPr>
            <w:tcW w:w="2096" w:type="dxa"/>
            <w:noWrap/>
            <w:tcMar>
              <w:top w:w="15" w:type="dxa"/>
              <w:left w:w="15" w:type="dxa"/>
              <w:bottom w:w="0" w:type="dxa"/>
              <w:right w:w="15" w:type="dxa"/>
            </w:tcMar>
            <w:vAlign w:val="center"/>
          </w:tcPr>
          <w:p w14:paraId="4F70C89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0B5EE8D0" w14:textId="77777777">
        <w:trPr>
          <w:trHeight w:val="90"/>
          <w:jc w:val="center"/>
        </w:trPr>
        <w:tc>
          <w:tcPr>
            <w:tcW w:w="2319" w:type="dxa"/>
            <w:tcMar>
              <w:top w:w="15" w:type="dxa"/>
              <w:left w:w="15" w:type="dxa"/>
              <w:bottom w:w="0" w:type="dxa"/>
              <w:right w:w="15" w:type="dxa"/>
            </w:tcMar>
            <w:vAlign w:val="center"/>
          </w:tcPr>
          <w:p w14:paraId="28C6043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铜(mg/L)</w:t>
            </w:r>
          </w:p>
        </w:tc>
        <w:tc>
          <w:tcPr>
            <w:tcW w:w="922" w:type="dxa"/>
            <w:tcMar>
              <w:top w:w="15" w:type="dxa"/>
              <w:left w:w="15" w:type="dxa"/>
              <w:bottom w:w="0" w:type="dxa"/>
              <w:right w:w="15" w:type="dxa"/>
            </w:tcMar>
            <w:vAlign w:val="center"/>
          </w:tcPr>
          <w:p w14:paraId="4F9D915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&lt;0.2</w:t>
            </w:r>
          </w:p>
        </w:tc>
        <w:tc>
          <w:tcPr>
            <w:tcW w:w="1798" w:type="dxa"/>
            <w:noWrap/>
            <w:tcMar>
              <w:top w:w="15" w:type="dxa"/>
              <w:left w:w="15" w:type="dxa"/>
              <w:bottom w:w="0" w:type="dxa"/>
              <w:right w:w="15" w:type="dxa"/>
            </w:tcMar>
            <w:vAlign w:val="center"/>
          </w:tcPr>
          <w:p w14:paraId="6ADCC59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≤1.0</w:t>
            </w:r>
          </w:p>
        </w:tc>
        <w:tc>
          <w:tcPr>
            <w:tcW w:w="1529" w:type="dxa"/>
            <w:noWrap/>
            <w:tcMar>
              <w:top w:w="15" w:type="dxa"/>
              <w:left w:w="15" w:type="dxa"/>
              <w:bottom w:w="0" w:type="dxa"/>
              <w:right w:w="15" w:type="dxa"/>
            </w:tcMar>
            <w:vAlign w:val="center"/>
          </w:tcPr>
          <w:p w14:paraId="3295F52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＜0.2</w:t>
            </w:r>
          </w:p>
        </w:tc>
        <w:tc>
          <w:tcPr>
            <w:tcW w:w="2096" w:type="dxa"/>
            <w:noWrap/>
            <w:tcMar>
              <w:top w:w="15" w:type="dxa"/>
              <w:left w:w="15" w:type="dxa"/>
              <w:bottom w:w="0" w:type="dxa"/>
              <w:right w:w="15" w:type="dxa"/>
            </w:tcMar>
            <w:vAlign w:val="center"/>
          </w:tcPr>
          <w:p w14:paraId="3DEB6A6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74540E53" w14:textId="77777777">
        <w:trPr>
          <w:trHeight w:val="90"/>
          <w:jc w:val="center"/>
        </w:trPr>
        <w:tc>
          <w:tcPr>
            <w:tcW w:w="2319" w:type="dxa"/>
            <w:tcMar>
              <w:top w:w="15" w:type="dxa"/>
              <w:left w:w="15" w:type="dxa"/>
              <w:bottom w:w="0" w:type="dxa"/>
              <w:right w:w="15" w:type="dxa"/>
            </w:tcMar>
            <w:vAlign w:val="center"/>
          </w:tcPr>
          <w:p w14:paraId="531627C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锌(mg/L)</w:t>
            </w:r>
          </w:p>
        </w:tc>
        <w:tc>
          <w:tcPr>
            <w:tcW w:w="922" w:type="dxa"/>
            <w:tcMar>
              <w:top w:w="15" w:type="dxa"/>
              <w:left w:w="15" w:type="dxa"/>
              <w:bottom w:w="0" w:type="dxa"/>
              <w:right w:w="15" w:type="dxa"/>
            </w:tcMar>
            <w:vAlign w:val="center"/>
          </w:tcPr>
          <w:p w14:paraId="14013B0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&lt;0.05</w:t>
            </w:r>
          </w:p>
        </w:tc>
        <w:tc>
          <w:tcPr>
            <w:tcW w:w="1798" w:type="dxa"/>
            <w:noWrap/>
            <w:tcMar>
              <w:top w:w="15" w:type="dxa"/>
              <w:left w:w="15" w:type="dxa"/>
              <w:bottom w:w="0" w:type="dxa"/>
              <w:right w:w="15" w:type="dxa"/>
            </w:tcMar>
            <w:vAlign w:val="center"/>
          </w:tcPr>
          <w:p w14:paraId="0E41B8A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≤1.0</w:t>
            </w:r>
          </w:p>
        </w:tc>
        <w:tc>
          <w:tcPr>
            <w:tcW w:w="1529" w:type="dxa"/>
            <w:noWrap/>
            <w:tcMar>
              <w:top w:w="15" w:type="dxa"/>
              <w:left w:w="15" w:type="dxa"/>
              <w:bottom w:w="0" w:type="dxa"/>
              <w:right w:w="15" w:type="dxa"/>
            </w:tcMar>
            <w:vAlign w:val="center"/>
          </w:tcPr>
          <w:p w14:paraId="0A54F0D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＜0.05</w:t>
            </w:r>
          </w:p>
        </w:tc>
        <w:tc>
          <w:tcPr>
            <w:tcW w:w="2096" w:type="dxa"/>
            <w:noWrap/>
            <w:tcMar>
              <w:top w:w="15" w:type="dxa"/>
              <w:left w:w="15" w:type="dxa"/>
              <w:bottom w:w="0" w:type="dxa"/>
              <w:right w:w="15" w:type="dxa"/>
            </w:tcMar>
            <w:vAlign w:val="center"/>
          </w:tcPr>
          <w:p w14:paraId="77A79D8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0C601A57" w14:textId="77777777">
        <w:trPr>
          <w:trHeight w:val="90"/>
          <w:jc w:val="center"/>
        </w:trPr>
        <w:tc>
          <w:tcPr>
            <w:tcW w:w="2319" w:type="dxa"/>
            <w:tcMar>
              <w:top w:w="15" w:type="dxa"/>
              <w:left w:w="15" w:type="dxa"/>
              <w:bottom w:w="0" w:type="dxa"/>
              <w:right w:w="15" w:type="dxa"/>
            </w:tcMar>
            <w:vAlign w:val="center"/>
          </w:tcPr>
          <w:p w14:paraId="57B679C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氯化物(mg/L)</w:t>
            </w:r>
          </w:p>
        </w:tc>
        <w:tc>
          <w:tcPr>
            <w:tcW w:w="922" w:type="dxa"/>
            <w:tcMar>
              <w:top w:w="15" w:type="dxa"/>
              <w:left w:w="15" w:type="dxa"/>
              <w:bottom w:w="0" w:type="dxa"/>
              <w:right w:w="15" w:type="dxa"/>
            </w:tcMar>
            <w:vAlign w:val="center"/>
          </w:tcPr>
          <w:p w14:paraId="0E6A388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71</w:t>
            </w:r>
          </w:p>
        </w:tc>
        <w:tc>
          <w:tcPr>
            <w:tcW w:w="1798" w:type="dxa"/>
            <w:noWrap/>
            <w:tcMar>
              <w:top w:w="15" w:type="dxa"/>
              <w:left w:w="15" w:type="dxa"/>
              <w:bottom w:w="0" w:type="dxa"/>
              <w:right w:w="15" w:type="dxa"/>
            </w:tcMar>
            <w:vAlign w:val="center"/>
          </w:tcPr>
          <w:p w14:paraId="1C079B91"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≤250</w:t>
            </w:r>
          </w:p>
        </w:tc>
        <w:tc>
          <w:tcPr>
            <w:tcW w:w="1529" w:type="dxa"/>
            <w:noWrap/>
            <w:tcMar>
              <w:top w:w="15" w:type="dxa"/>
              <w:left w:w="15" w:type="dxa"/>
              <w:bottom w:w="0" w:type="dxa"/>
              <w:right w:w="15" w:type="dxa"/>
            </w:tcMar>
            <w:vAlign w:val="center"/>
          </w:tcPr>
          <w:p w14:paraId="6AE7BB3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0.284</w:t>
            </w:r>
          </w:p>
        </w:tc>
        <w:tc>
          <w:tcPr>
            <w:tcW w:w="2096" w:type="dxa"/>
            <w:noWrap/>
            <w:tcMar>
              <w:top w:w="15" w:type="dxa"/>
              <w:left w:w="15" w:type="dxa"/>
              <w:bottom w:w="0" w:type="dxa"/>
              <w:right w:w="15" w:type="dxa"/>
            </w:tcMar>
            <w:vAlign w:val="center"/>
          </w:tcPr>
          <w:p w14:paraId="5705963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33814B36" w14:textId="77777777">
        <w:trPr>
          <w:trHeight w:val="90"/>
          <w:jc w:val="center"/>
        </w:trPr>
        <w:tc>
          <w:tcPr>
            <w:tcW w:w="2319" w:type="dxa"/>
            <w:tcMar>
              <w:top w:w="15" w:type="dxa"/>
              <w:left w:w="15" w:type="dxa"/>
              <w:bottom w:w="0" w:type="dxa"/>
              <w:right w:w="15" w:type="dxa"/>
            </w:tcMar>
            <w:vAlign w:val="center"/>
          </w:tcPr>
          <w:p w14:paraId="5DDF401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硫酸盐(mg/L)</w:t>
            </w:r>
          </w:p>
        </w:tc>
        <w:tc>
          <w:tcPr>
            <w:tcW w:w="922" w:type="dxa"/>
            <w:tcMar>
              <w:top w:w="15" w:type="dxa"/>
              <w:left w:w="15" w:type="dxa"/>
              <w:bottom w:w="0" w:type="dxa"/>
              <w:right w:w="15" w:type="dxa"/>
            </w:tcMar>
            <w:vAlign w:val="center"/>
          </w:tcPr>
          <w:p w14:paraId="58AA8CF1"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102</w:t>
            </w:r>
          </w:p>
        </w:tc>
        <w:tc>
          <w:tcPr>
            <w:tcW w:w="1798" w:type="dxa"/>
            <w:noWrap/>
            <w:tcMar>
              <w:top w:w="15" w:type="dxa"/>
              <w:left w:w="15" w:type="dxa"/>
              <w:bottom w:w="0" w:type="dxa"/>
              <w:right w:w="15" w:type="dxa"/>
            </w:tcMar>
            <w:vAlign w:val="center"/>
          </w:tcPr>
          <w:p w14:paraId="21EDEA8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≤250</w:t>
            </w:r>
          </w:p>
        </w:tc>
        <w:tc>
          <w:tcPr>
            <w:tcW w:w="1529" w:type="dxa"/>
            <w:noWrap/>
            <w:tcMar>
              <w:top w:w="15" w:type="dxa"/>
              <w:left w:w="15" w:type="dxa"/>
              <w:bottom w:w="0" w:type="dxa"/>
              <w:right w:w="15" w:type="dxa"/>
            </w:tcMar>
            <w:vAlign w:val="center"/>
          </w:tcPr>
          <w:p w14:paraId="3F4BAD0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0.408</w:t>
            </w:r>
          </w:p>
        </w:tc>
        <w:tc>
          <w:tcPr>
            <w:tcW w:w="2096" w:type="dxa"/>
            <w:noWrap/>
            <w:tcMar>
              <w:top w:w="15" w:type="dxa"/>
              <w:left w:w="15" w:type="dxa"/>
              <w:bottom w:w="0" w:type="dxa"/>
              <w:right w:w="15" w:type="dxa"/>
            </w:tcMar>
            <w:vAlign w:val="center"/>
          </w:tcPr>
          <w:p w14:paraId="553A2A9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5FCCB7D6" w14:textId="77777777">
        <w:trPr>
          <w:trHeight w:val="290"/>
          <w:jc w:val="center"/>
        </w:trPr>
        <w:tc>
          <w:tcPr>
            <w:tcW w:w="2319" w:type="dxa"/>
            <w:tcMar>
              <w:top w:w="15" w:type="dxa"/>
              <w:left w:w="15" w:type="dxa"/>
              <w:bottom w:w="0" w:type="dxa"/>
              <w:right w:w="15" w:type="dxa"/>
            </w:tcMar>
            <w:vAlign w:val="center"/>
          </w:tcPr>
          <w:p w14:paraId="022F145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溶解性总固体(mg/L)</w:t>
            </w:r>
          </w:p>
        </w:tc>
        <w:tc>
          <w:tcPr>
            <w:tcW w:w="922" w:type="dxa"/>
            <w:tcMar>
              <w:top w:w="15" w:type="dxa"/>
              <w:left w:w="15" w:type="dxa"/>
              <w:bottom w:w="0" w:type="dxa"/>
              <w:right w:w="15" w:type="dxa"/>
            </w:tcMar>
            <w:vAlign w:val="center"/>
          </w:tcPr>
          <w:p w14:paraId="632CDAA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426</w:t>
            </w:r>
          </w:p>
        </w:tc>
        <w:tc>
          <w:tcPr>
            <w:tcW w:w="1798" w:type="dxa"/>
            <w:noWrap/>
            <w:tcMar>
              <w:top w:w="15" w:type="dxa"/>
              <w:left w:w="15" w:type="dxa"/>
              <w:bottom w:w="0" w:type="dxa"/>
              <w:right w:w="15" w:type="dxa"/>
            </w:tcMar>
            <w:vAlign w:val="center"/>
          </w:tcPr>
          <w:p w14:paraId="4ACDDCB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≤1000</w:t>
            </w:r>
          </w:p>
        </w:tc>
        <w:tc>
          <w:tcPr>
            <w:tcW w:w="1529" w:type="dxa"/>
            <w:noWrap/>
            <w:tcMar>
              <w:top w:w="15" w:type="dxa"/>
              <w:left w:w="15" w:type="dxa"/>
              <w:bottom w:w="0" w:type="dxa"/>
              <w:right w:w="15" w:type="dxa"/>
            </w:tcMar>
            <w:vAlign w:val="center"/>
          </w:tcPr>
          <w:p w14:paraId="569A30DA"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0.426</w:t>
            </w:r>
          </w:p>
        </w:tc>
        <w:tc>
          <w:tcPr>
            <w:tcW w:w="2096" w:type="dxa"/>
            <w:noWrap/>
            <w:tcMar>
              <w:top w:w="15" w:type="dxa"/>
              <w:left w:w="15" w:type="dxa"/>
              <w:bottom w:w="0" w:type="dxa"/>
              <w:right w:w="15" w:type="dxa"/>
            </w:tcMar>
            <w:vAlign w:val="center"/>
          </w:tcPr>
          <w:p w14:paraId="7450EE2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6CDC6F07" w14:textId="77777777">
        <w:trPr>
          <w:trHeight w:val="90"/>
          <w:jc w:val="center"/>
        </w:trPr>
        <w:tc>
          <w:tcPr>
            <w:tcW w:w="2319" w:type="dxa"/>
            <w:tcMar>
              <w:top w:w="15" w:type="dxa"/>
              <w:left w:w="15" w:type="dxa"/>
              <w:bottom w:w="0" w:type="dxa"/>
              <w:right w:w="15" w:type="dxa"/>
            </w:tcMar>
            <w:vAlign w:val="center"/>
          </w:tcPr>
          <w:p w14:paraId="4BB5882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氟化物(mg/L)</w:t>
            </w:r>
          </w:p>
        </w:tc>
        <w:tc>
          <w:tcPr>
            <w:tcW w:w="922" w:type="dxa"/>
            <w:tcMar>
              <w:top w:w="15" w:type="dxa"/>
              <w:left w:w="15" w:type="dxa"/>
              <w:bottom w:w="0" w:type="dxa"/>
              <w:right w:w="15" w:type="dxa"/>
            </w:tcMar>
            <w:vAlign w:val="center"/>
          </w:tcPr>
          <w:p w14:paraId="0E34F9D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0.6</w:t>
            </w:r>
          </w:p>
        </w:tc>
        <w:tc>
          <w:tcPr>
            <w:tcW w:w="1798" w:type="dxa"/>
            <w:noWrap/>
            <w:tcMar>
              <w:top w:w="15" w:type="dxa"/>
              <w:left w:w="15" w:type="dxa"/>
              <w:bottom w:w="0" w:type="dxa"/>
              <w:right w:w="15" w:type="dxa"/>
            </w:tcMar>
            <w:vAlign w:val="center"/>
          </w:tcPr>
          <w:p w14:paraId="216267E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≤1.0</w:t>
            </w:r>
          </w:p>
        </w:tc>
        <w:tc>
          <w:tcPr>
            <w:tcW w:w="1529" w:type="dxa"/>
            <w:noWrap/>
            <w:tcMar>
              <w:top w:w="15" w:type="dxa"/>
              <w:left w:w="15" w:type="dxa"/>
              <w:bottom w:w="0" w:type="dxa"/>
              <w:right w:w="15" w:type="dxa"/>
            </w:tcMar>
            <w:vAlign w:val="center"/>
          </w:tcPr>
          <w:p w14:paraId="5737FF5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0.6</w:t>
            </w:r>
          </w:p>
        </w:tc>
        <w:tc>
          <w:tcPr>
            <w:tcW w:w="2096" w:type="dxa"/>
            <w:noWrap/>
            <w:tcMar>
              <w:top w:w="15" w:type="dxa"/>
              <w:left w:w="15" w:type="dxa"/>
              <w:bottom w:w="0" w:type="dxa"/>
              <w:right w:w="15" w:type="dxa"/>
            </w:tcMar>
            <w:vAlign w:val="center"/>
          </w:tcPr>
          <w:p w14:paraId="1A4BE6A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4CE26B43" w14:textId="77777777">
        <w:trPr>
          <w:trHeight w:val="340"/>
          <w:jc w:val="center"/>
        </w:trPr>
        <w:tc>
          <w:tcPr>
            <w:tcW w:w="2319" w:type="dxa"/>
            <w:tcMar>
              <w:top w:w="15" w:type="dxa"/>
              <w:left w:w="15" w:type="dxa"/>
              <w:bottom w:w="0" w:type="dxa"/>
              <w:right w:w="15" w:type="dxa"/>
            </w:tcMar>
            <w:vAlign w:val="center"/>
          </w:tcPr>
          <w:p w14:paraId="5F9C61F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砷(mg/L)</w:t>
            </w:r>
          </w:p>
        </w:tc>
        <w:tc>
          <w:tcPr>
            <w:tcW w:w="922" w:type="dxa"/>
            <w:tcMar>
              <w:top w:w="15" w:type="dxa"/>
              <w:left w:w="15" w:type="dxa"/>
              <w:bottom w:w="0" w:type="dxa"/>
              <w:right w:w="15" w:type="dxa"/>
            </w:tcMar>
            <w:vAlign w:val="center"/>
          </w:tcPr>
          <w:p w14:paraId="0D68304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&lt;0.001</w:t>
            </w:r>
          </w:p>
        </w:tc>
        <w:tc>
          <w:tcPr>
            <w:tcW w:w="1798" w:type="dxa"/>
            <w:noWrap/>
            <w:tcMar>
              <w:top w:w="15" w:type="dxa"/>
              <w:left w:w="15" w:type="dxa"/>
              <w:bottom w:w="0" w:type="dxa"/>
              <w:right w:w="15" w:type="dxa"/>
            </w:tcMar>
            <w:vAlign w:val="center"/>
          </w:tcPr>
          <w:p w14:paraId="7110056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≤0.01</w:t>
            </w:r>
          </w:p>
        </w:tc>
        <w:tc>
          <w:tcPr>
            <w:tcW w:w="1529" w:type="dxa"/>
            <w:noWrap/>
            <w:tcMar>
              <w:top w:w="15" w:type="dxa"/>
              <w:left w:w="15" w:type="dxa"/>
              <w:bottom w:w="0" w:type="dxa"/>
              <w:right w:w="15" w:type="dxa"/>
            </w:tcMar>
            <w:vAlign w:val="center"/>
          </w:tcPr>
          <w:p w14:paraId="0EAD224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＜0.1</w:t>
            </w:r>
          </w:p>
        </w:tc>
        <w:tc>
          <w:tcPr>
            <w:tcW w:w="2096" w:type="dxa"/>
            <w:noWrap/>
            <w:tcMar>
              <w:top w:w="15" w:type="dxa"/>
              <w:left w:w="15" w:type="dxa"/>
              <w:bottom w:w="0" w:type="dxa"/>
              <w:right w:w="15" w:type="dxa"/>
            </w:tcMar>
            <w:vAlign w:val="center"/>
          </w:tcPr>
          <w:p w14:paraId="2309DFF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273BF468" w14:textId="77777777">
        <w:trPr>
          <w:trHeight w:val="340"/>
          <w:jc w:val="center"/>
        </w:trPr>
        <w:tc>
          <w:tcPr>
            <w:tcW w:w="2319" w:type="dxa"/>
            <w:tcMar>
              <w:top w:w="15" w:type="dxa"/>
              <w:left w:w="15" w:type="dxa"/>
              <w:bottom w:w="0" w:type="dxa"/>
              <w:right w:w="15" w:type="dxa"/>
            </w:tcMar>
            <w:vAlign w:val="center"/>
          </w:tcPr>
          <w:p w14:paraId="2539C35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汞(mg/L)</w:t>
            </w:r>
          </w:p>
        </w:tc>
        <w:tc>
          <w:tcPr>
            <w:tcW w:w="922" w:type="dxa"/>
            <w:tcMar>
              <w:top w:w="15" w:type="dxa"/>
              <w:left w:w="15" w:type="dxa"/>
              <w:bottom w:w="0" w:type="dxa"/>
              <w:right w:w="15" w:type="dxa"/>
            </w:tcMar>
            <w:vAlign w:val="center"/>
          </w:tcPr>
          <w:p w14:paraId="34074D2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&lt;0.0001</w:t>
            </w:r>
          </w:p>
        </w:tc>
        <w:tc>
          <w:tcPr>
            <w:tcW w:w="1798" w:type="dxa"/>
            <w:noWrap/>
            <w:tcMar>
              <w:top w:w="15" w:type="dxa"/>
              <w:left w:w="15" w:type="dxa"/>
              <w:bottom w:w="0" w:type="dxa"/>
              <w:right w:w="15" w:type="dxa"/>
            </w:tcMar>
            <w:vAlign w:val="center"/>
          </w:tcPr>
          <w:p w14:paraId="172695C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≤0.001</w:t>
            </w:r>
          </w:p>
        </w:tc>
        <w:tc>
          <w:tcPr>
            <w:tcW w:w="1529" w:type="dxa"/>
            <w:noWrap/>
            <w:tcMar>
              <w:top w:w="15" w:type="dxa"/>
              <w:left w:w="15" w:type="dxa"/>
              <w:bottom w:w="0" w:type="dxa"/>
              <w:right w:w="15" w:type="dxa"/>
            </w:tcMar>
            <w:vAlign w:val="center"/>
          </w:tcPr>
          <w:p w14:paraId="3E4C9BE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＜0.1</w:t>
            </w:r>
          </w:p>
        </w:tc>
        <w:tc>
          <w:tcPr>
            <w:tcW w:w="2096" w:type="dxa"/>
            <w:noWrap/>
            <w:tcMar>
              <w:top w:w="15" w:type="dxa"/>
              <w:left w:w="15" w:type="dxa"/>
              <w:bottom w:w="0" w:type="dxa"/>
              <w:right w:w="15" w:type="dxa"/>
            </w:tcMar>
            <w:vAlign w:val="center"/>
          </w:tcPr>
          <w:p w14:paraId="1C05D7F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51D4B5B5" w14:textId="77777777">
        <w:trPr>
          <w:trHeight w:val="340"/>
          <w:jc w:val="center"/>
        </w:trPr>
        <w:tc>
          <w:tcPr>
            <w:tcW w:w="2319" w:type="dxa"/>
            <w:tcMar>
              <w:top w:w="15" w:type="dxa"/>
              <w:left w:w="15" w:type="dxa"/>
              <w:bottom w:w="0" w:type="dxa"/>
              <w:right w:w="15" w:type="dxa"/>
            </w:tcMar>
            <w:vAlign w:val="center"/>
          </w:tcPr>
          <w:p w14:paraId="421BF80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铅(mg/L)</w:t>
            </w:r>
          </w:p>
        </w:tc>
        <w:tc>
          <w:tcPr>
            <w:tcW w:w="922" w:type="dxa"/>
            <w:tcMar>
              <w:top w:w="15" w:type="dxa"/>
              <w:left w:w="15" w:type="dxa"/>
              <w:bottom w:w="0" w:type="dxa"/>
              <w:right w:w="15" w:type="dxa"/>
            </w:tcMar>
            <w:vAlign w:val="center"/>
          </w:tcPr>
          <w:p w14:paraId="4607BC0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&lt;0.0025</w:t>
            </w:r>
          </w:p>
        </w:tc>
        <w:tc>
          <w:tcPr>
            <w:tcW w:w="1798" w:type="dxa"/>
            <w:noWrap/>
            <w:tcMar>
              <w:top w:w="15" w:type="dxa"/>
              <w:left w:w="15" w:type="dxa"/>
              <w:bottom w:w="0" w:type="dxa"/>
              <w:right w:w="15" w:type="dxa"/>
            </w:tcMar>
            <w:vAlign w:val="center"/>
          </w:tcPr>
          <w:p w14:paraId="31C51FF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≤0.01</w:t>
            </w:r>
          </w:p>
        </w:tc>
        <w:tc>
          <w:tcPr>
            <w:tcW w:w="1529" w:type="dxa"/>
            <w:noWrap/>
            <w:tcMar>
              <w:top w:w="15" w:type="dxa"/>
              <w:left w:w="15" w:type="dxa"/>
              <w:bottom w:w="0" w:type="dxa"/>
              <w:right w:w="15" w:type="dxa"/>
            </w:tcMar>
            <w:vAlign w:val="center"/>
          </w:tcPr>
          <w:p w14:paraId="72678B1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＜0.25</w:t>
            </w:r>
          </w:p>
        </w:tc>
        <w:tc>
          <w:tcPr>
            <w:tcW w:w="2096" w:type="dxa"/>
            <w:noWrap/>
            <w:tcMar>
              <w:top w:w="15" w:type="dxa"/>
              <w:left w:w="15" w:type="dxa"/>
              <w:bottom w:w="0" w:type="dxa"/>
              <w:right w:w="15" w:type="dxa"/>
            </w:tcMar>
            <w:vAlign w:val="center"/>
          </w:tcPr>
          <w:p w14:paraId="094FB4B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5CE661BB" w14:textId="77777777">
        <w:trPr>
          <w:trHeight w:val="340"/>
          <w:jc w:val="center"/>
        </w:trPr>
        <w:tc>
          <w:tcPr>
            <w:tcW w:w="2319" w:type="dxa"/>
            <w:tcMar>
              <w:top w:w="15" w:type="dxa"/>
              <w:left w:w="15" w:type="dxa"/>
              <w:bottom w:w="0" w:type="dxa"/>
              <w:right w:w="15" w:type="dxa"/>
            </w:tcMar>
            <w:vAlign w:val="center"/>
          </w:tcPr>
          <w:p w14:paraId="684BC9C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六价铬(mg/L)</w:t>
            </w:r>
          </w:p>
        </w:tc>
        <w:tc>
          <w:tcPr>
            <w:tcW w:w="922" w:type="dxa"/>
            <w:tcMar>
              <w:top w:w="15" w:type="dxa"/>
              <w:left w:w="15" w:type="dxa"/>
              <w:bottom w:w="0" w:type="dxa"/>
              <w:right w:w="15" w:type="dxa"/>
            </w:tcMar>
            <w:vAlign w:val="center"/>
          </w:tcPr>
          <w:p w14:paraId="3E89B0A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&lt;0.004</w:t>
            </w:r>
          </w:p>
        </w:tc>
        <w:tc>
          <w:tcPr>
            <w:tcW w:w="1798" w:type="dxa"/>
            <w:noWrap/>
            <w:tcMar>
              <w:top w:w="15" w:type="dxa"/>
              <w:left w:w="15" w:type="dxa"/>
              <w:bottom w:w="0" w:type="dxa"/>
              <w:right w:w="15" w:type="dxa"/>
            </w:tcMar>
            <w:vAlign w:val="center"/>
          </w:tcPr>
          <w:p w14:paraId="434A3E0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≤0.05</w:t>
            </w:r>
          </w:p>
        </w:tc>
        <w:tc>
          <w:tcPr>
            <w:tcW w:w="1529" w:type="dxa"/>
            <w:noWrap/>
            <w:tcMar>
              <w:top w:w="15" w:type="dxa"/>
              <w:left w:w="15" w:type="dxa"/>
              <w:bottom w:w="0" w:type="dxa"/>
              <w:right w:w="15" w:type="dxa"/>
            </w:tcMar>
            <w:vAlign w:val="center"/>
          </w:tcPr>
          <w:p w14:paraId="123A39B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＜0.08</w:t>
            </w:r>
          </w:p>
        </w:tc>
        <w:tc>
          <w:tcPr>
            <w:tcW w:w="2096" w:type="dxa"/>
            <w:noWrap/>
            <w:tcMar>
              <w:top w:w="15" w:type="dxa"/>
              <w:left w:w="15" w:type="dxa"/>
              <w:bottom w:w="0" w:type="dxa"/>
              <w:right w:w="15" w:type="dxa"/>
            </w:tcMar>
            <w:vAlign w:val="center"/>
          </w:tcPr>
          <w:p w14:paraId="5EC594B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438BA282" w14:textId="77777777">
        <w:trPr>
          <w:trHeight w:val="340"/>
          <w:jc w:val="center"/>
        </w:trPr>
        <w:tc>
          <w:tcPr>
            <w:tcW w:w="2319" w:type="dxa"/>
            <w:tcMar>
              <w:top w:w="15" w:type="dxa"/>
              <w:left w:w="15" w:type="dxa"/>
              <w:bottom w:w="0" w:type="dxa"/>
              <w:right w:w="15" w:type="dxa"/>
            </w:tcMar>
            <w:vAlign w:val="center"/>
          </w:tcPr>
          <w:p w14:paraId="0D40207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硝酸盐氮(mg/L)</w:t>
            </w:r>
          </w:p>
        </w:tc>
        <w:tc>
          <w:tcPr>
            <w:tcW w:w="922" w:type="dxa"/>
            <w:tcMar>
              <w:top w:w="15" w:type="dxa"/>
              <w:left w:w="15" w:type="dxa"/>
              <w:bottom w:w="0" w:type="dxa"/>
              <w:right w:w="15" w:type="dxa"/>
            </w:tcMar>
            <w:vAlign w:val="center"/>
          </w:tcPr>
          <w:p w14:paraId="7029834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0.4</w:t>
            </w:r>
          </w:p>
        </w:tc>
        <w:tc>
          <w:tcPr>
            <w:tcW w:w="1798" w:type="dxa"/>
            <w:noWrap/>
            <w:tcMar>
              <w:top w:w="15" w:type="dxa"/>
              <w:left w:w="15" w:type="dxa"/>
              <w:bottom w:w="0" w:type="dxa"/>
              <w:right w:w="15" w:type="dxa"/>
            </w:tcMar>
            <w:vAlign w:val="center"/>
          </w:tcPr>
          <w:p w14:paraId="039D96F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≤20</w:t>
            </w:r>
          </w:p>
        </w:tc>
        <w:tc>
          <w:tcPr>
            <w:tcW w:w="1529" w:type="dxa"/>
            <w:noWrap/>
            <w:tcMar>
              <w:top w:w="15" w:type="dxa"/>
              <w:left w:w="15" w:type="dxa"/>
              <w:bottom w:w="0" w:type="dxa"/>
              <w:right w:w="15" w:type="dxa"/>
            </w:tcMar>
            <w:vAlign w:val="center"/>
          </w:tcPr>
          <w:p w14:paraId="4FB5D58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0.02</w:t>
            </w:r>
          </w:p>
        </w:tc>
        <w:tc>
          <w:tcPr>
            <w:tcW w:w="2096" w:type="dxa"/>
            <w:noWrap/>
            <w:tcMar>
              <w:top w:w="15" w:type="dxa"/>
              <w:left w:w="15" w:type="dxa"/>
              <w:bottom w:w="0" w:type="dxa"/>
              <w:right w:w="15" w:type="dxa"/>
            </w:tcMar>
            <w:vAlign w:val="center"/>
          </w:tcPr>
          <w:p w14:paraId="0DCE6F2C"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06E3EA1D" w14:textId="77777777">
        <w:trPr>
          <w:trHeight w:val="340"/>
          <w:jc w:val="center"/>
        </w:trPr>
        <w:tc>
          <w:tcPr>
            <w:tcW w:w="2319" w:type="dxa"/>
            <w:tcMar>
              <w:top w:w="15" w:type="dxa"/>
              <w:left w:w="15" w:type="dxa"/>
              <w:bottom w:w="0" w:type="dxa"/>
              <w:right w:w="15" w:type="dxa"/>
            </w:tcMar>
            <w:vAlign w:val="center"/>
          </w:tcPr>
          <w:p w14:paraId="5EE61F8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菌落总数（cfu/mL）</w:t>
            </w:r>
          </w:p>
        </w:tc>
        <w:tc>
          <w:tcPr>
            <w:tcW w:w="922" w:type="dxa"/>
            <w:tcMar>
              <w:top w:w="15" w:type="dxa"/>
              <w:left w:w="15" w:type="dxa"/>
              <w:bottom w:w="0" w:type="dxa"/>
              <w:right w:w="15" w:type="dxa"/>
            </w:tcMar>
            <w:vAlign w:val="center"/>
          </w:tcPr>
          <w:p w14:paraId="3D556B9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&lt;10</w:t>
            </w:r>
          </w:p>
        </w:tc>
        <w:tc>
          <w:tcPr>
            <w:tcW w:w="1798" w:type="dxa"/>
            <w:noWrap/>
            <w:tcMar>
              <w:top w:w="15" w:type="dxa"/>
              <w:left w:w="15" w:type="dxa"/>
              <w:bottom w:w="0" w:type="dxa"/>
              <w:right w:w="15" w:type="dxa"/>
            </w:tcMar>
            <w:vAlign w:val="center"/>
          </w:tcPr>
          <w:p w14:paraId="110E6ED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≤100</w:t>
            </w:r>
          </w:p>
        </w:tc>
        <w:tc>
          <w:tcPr>
            <w:tcW w:w="1529" w:type="dxa"/>
            <w:noWrap/>
            <w:tcMar>
              <w:top w:w="15" w:type="dxa"/>
              <w:left w:w="15" w:type="dxa"/>
              <w:bottom w:w="0" w:type="dxa"/>
              <w:right w:w="15" w:type="dxa"/>
            </w:tcMar>
            <w:vAlign w:val="center"/>
          </w:tcPr>
          <w:p w14:paraId="71BF94F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&lt;0.1</w:t>
            </w:r>
          </w:p>
        </w:tc>
        <w:tc>
          <w:tcPr>
            <w:tcW w:w="2096" w:type="dxa"/>
            <w:noWrap/>
            <w:tcMar>
              <w:top w:w="15" w:type="dxa"/>
              <w:left w:w="15" w:type="dxa"/>
              <w:bottom w:w="0" w:type="dxa"/>
              <w:right w:w="15" w:type="dxa"/>
            </w:tcMar>
            <w:vAlign w:val="center"/>
          </w:tcPr>
          <w:p w14:paraId="5DC26D31"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r w:rsidR="005A1A44" w14:paraId="5542A356" w14:textId="77777777">
        <w:trPr>
          <w:trHeight w:val="340"/>
          <w:jc w:val="center"/>
        </w:trPr>
        <w:tc>
          <w:tcPr>
            <w:tcW w:w="2319" w:type="dxa"/>
            <w:tcMar>
              <w:top w:w="15" w:type="dxa"/>
              <w:left w:w="15" w:type="dxa"/>
              <w:bottom w:w="0" w:type="dxa"/>
              <w:right w:w="15" w:type="dxa"/>
            </w:tcMar>
            <w:vAlign w:val="center"/>
          </w:tcPr>
          <w:p w14:paraId="709910E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总大肠菌群（MPN/100mL）</w:t>
            </w:r>
          </w:p>
        </w:tc>
        <w:tc>
          <w:tcPr>
            <w:tcW w:w="922" w:type="dxa"/>
            <w:tcMar>
              <w:top w:w="15" w:type="dxa"/>
              <w:left w:w="15" w:type="dxa"/>
              <w:bottom w:w="0" w:type="dxa"/>
              <w:right w:w="15" w:type="dxa"/>
            </w:tcMar>
            <w:vAlign w:val="center"/>
          </w:tcPr>
          <w:p w14:paraId="3B2B75B8"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未检出</w:t>
            </w:r>
          </w:p>
        </w:tc>
        <w:tc>
          <w:tcPr>
            <w:tcW w:w="1798" w:type="dxa"/>
            <w:noWrap/>
            <w:tcMar>
              <w:top w:w="15" w:type="dxa"/>
              <w:left w:w="15" w:type="dxa"/>
              <w:bottom w:w="0" w:type="dxa"/>
              <w:right w:w="15" w:type="dxa"/>
            </w:tcMar>
            <w:vAlign w:val="center"/>
          </w:tcPr>
          <w:p w14:paraId="0D4FE60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≤3.0</w:t>
            </w:r>
          </w:p>
        </w:tc>
        <w:tc>
          <w:tcPr>
            <w:tcW w:w="1529" w:type="dxa"/>
            <w:noWrap/>
            <w:tcMar>
              <w:top w:w="15" w:type="dxa"/>
              <w:left w:w="15" w:type="dxa"/>
              <w:bottom w:w="0" w:type="dxa"/>
              <w:right w:w="15" w:type="dxa"/>
            </w:tcMar>
            <w:vAlign w:val="center"/>
          </w:tcPr>
          <w:p w14:paraId="4D38F17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w:t>
            </w:r>
          </w:p>
        </w:tc>
        <w:tc>
          <w:tcPr>
            <w:tcW w:w="2096" w:type="dxa"/>
            <w:noWrap/>
            <w:tcMar>
              <w:top w:w="15" w:type="dxa"/>
              <w:left w:w="15" w:type="dxa"/>
              <w:bottom w:w="0" w:type="dxa"/>
              <w:right w:w="15" w:type="dxa"/>
            </w:tcMar>
            <w:vAlign w:val="center"/>
          </w:tcPr>
          <w:p w14:paraId="1C932D6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达标</w:t>
            </w:r>
          </w:p>
        </w:tc>
      </w:tr>
    </w:tbl>
    <w:p w14:paraId="7880F3EE" w14:textId="77777777" w:rsidR="005A1A44" w:rsidRDefault="005A1A44">
      <w:pPr>
        <w:ind w:firstLine="480"/>
      </w:pPr>
    </w:p>
    <w:p w14:paraId="061ADB90" w14:textId="77777777" w:rsidR="005A1A44" w:rsidRDefault="0008059E">
      <w:pPr>
        <w:pStyle w:val="2"/>
        <w:numPr>
          <w:ilvl w:val="1"/>
          <w:numId w:val="2"/>
        </w:numPr>
      </w:pPr>
      <w:r>
        <w:rPr>
          <w:rFonts w:hint="eastAsia"/>
        </w:rPr>
        <w:t xml:space="preserve"> </w:t>
      </w:r>
      <w:bookmarkStart w:id="167" w:name="_Toc22248_WPSOffice_Level2"/>
      <w:bookmarkStart w:id="168" w:name="_Toc32033_WPSOffice_Level2"/>
      <w:r>
        <w:rPr>
          <w:rFonts w:hint="eastAsia"/>
        </w:rPr>
        <w:t>声环境现状调查与评价</w:t>
      </w:r>
      <w:bookmarkEnd w:id="166"/>
      <w:bookmarkEnd w:id="167"/>
      <w:bookmarkEnd w:id="168"/>
    </w:p>
    <w:p w14:paraId="4F65DE95" w14:textId="77777777" w:rsidR="005A1A44" w:rsidRDefault="0008059E">
      <w:pPr>
        <w:pStyle w:val="3"/>
        <w:numPr>
          <w:ilvl w:val="2"/>
          <w:numId w:val="2"/>
        </w:numPr>
      </w:pPr>
      <w:r>
        <w:rPr>
          <w:rFonts w:hint="eastAsia"/>
        </w:rPr>
        <w:t xml:space="preserve"> </w:t>
      </w:r>
      <w:r>
        <w:rPr>
          <w:rFonts w:hint="eastAsia"/>
        </w:rPr>
        <w:t>噪声监测点位</w:t>
      </w:r>
    </w:p>
    <w:p w14:paraId="1218C79C" w14:textId="77777777" w:rsidR="005A1A44" w:rsidRDefault="0008059E">
      <w:pPr>
        <w:ind w:firstLine="480"/>
      </w:pPr>
      <w:r>
        <w:t>监测点位见表</w:t>
      </w:r>
      <w:r>
        <w:rPr>
          <w:rFonts w:hint="eastAsia"/>
        </w:rPr>
        <w:t>4</w:t>
      </w:r>
      <w:r>
        <w:t>.</w:t>
      </w:r>
      <w:r>
        <w:rPr>
          <w:rFonts w:hint="eastAsia"/>
        </w:rPr>
        <w:t>5</w:t>
      </w:r>
      <w:r>
        <w:t>-1</w:t>
      </w:r>
      <w:r>
        <w:t>及图</w:t>
      </w:r>
      <w:r>
        <w:rPr>
          <w:rFonts w:hint="eastAsia"/>
        </w:rPr>
        <w:t>4</w:t>
      </w:r>
      <w:r>
        <w:t>.</w:t>
      </w:r>
      <w:r>
        <w:rPr>
          <w:rFonts w:hint="eastAsia"/>
        </w:rPr>
        <w:t>5</w:t>
      </w:r>
      <w:r>
        <w:t>-1</w:t>
      </w:r>
      <w:r>
        <w:t>。</w:t>
      </w:r>
    </w:p>
    <w:p w14:paraId="5BAE581A" w14:textId="77777777" w:rsidR="005A1A44" w:rsidRDefault="005A1A44">
      <w:pPr>
        <w:ind w:firstLineChars="0" w:firstLine="0"/>
        <w:jc w:val="center"/>
        <w:rPr>
          <w:rFonts w:ascii="黑体" w:eastAsia="黑体" w:hAnsi="黑体" w:cs="黑体" w:hint="eastAsia"/>
          <w:bCs/>
        </w:rPr>
      </w:pPr>
    </w:p>
    <w:p w14:paraId="4A76D2A2" w14:textId="77777777" w:rsidR="005A1A44" w:rsidRDefault="005A1A44">
      <w:pPr>
        <w:ind w:firstLineChars="0" w:firstLine="0"/>
        <w:jc w:val="center"/>
        <w:rPr>
          <w:rFonts w:ascii="黑体" w:eastAsia="黑体" w:hAnsi="黑体" w:cs="黑体" w:hint="eastAsia"/>
          <w:bCs/>
        </w:rPr>
      </w:pPr>
    </w:p>
    <w:p w14:paraId="4B7B6DFD" w14:textId="77777777" w:rsidR="005A1A44" w:rsidRDefault="005A1A44">
      <w:pPr>
        <w:ind w:firstLineChars="0" w:firstLine="0"/>
        <w:jc w:val="center"/>
        <w:rPr>
          <w:rFonts w:ascii="黑体" w:eastAsia="黑体" w:hAnsi="黑体" w:cs="黑体" w:hint="eastAsia"/>
          <w:bCs/>
        </w:rPr>
      </w:pPr>
    </w:p>
    <w:p w14:paraId="59375448" w14:textId="77777777" w:rsidR="005A1A44" w:rsidRDefault="005A1A44">
      <w:pPr>
        <w:ind w:firstLineChars="0" w:firstLine="0"/>
        <w:jc w:val="center"/>
        <w:rPr>
          <w:rFonts w:ascii="黑体" w:eastAsia="黑体" w:hAnsi="黑体" w:cs="黑体" w:hint="eastAsia"/>
          <w:bCs/>
        </w:rPr>
      </w:pPr>
    </w:p>
    <w:p w14:paraId="3AA93209" w14:textId="77777777" w:rsidR="005A1A44" w:rsidRDefault="0008059E">
      <w:pPr>
        <w:ind w:firstLineChars="0" w:firstLine="0"/>
        <w:jc w:val="center"/>
        <w:rPr>
          <w:rFonts w:ascii="黑体" w:eastAsia="黑体" w:hAnsi="黑体" w:cs="黑体" w:hint="eastAsia"/>
          <w:bCs/>
        </w:rPr>
      </w:pPr>
      <w:r>
        <w:rPr>
          <w:rFonts w:ascii="黑体" w:eastAsia="黑体" w:hAnsi="黑体" w:cs="黑体" w:hint="eastAsia"/>
          <w:bCs/>
        </w:rPr>
        <w:lastRenderedPageBreak/>
        <w:t>表4.5-1  噪声监测布点</w:t>
      </w:r>
    </w:p>
    <w:tbl>
      <w:tblPr>
        <w:tblW w:w="8753" w:type="dxa"/>
        <w:tblLayout w:type="fixed"/>
        <w:tblCellMar>
          <w:left w:w="0" w:type="dxa"/>
          <w:right w:w="0" w:type="dxa"/>
        </w:tblCellMar>
        <w:tblLook w:val="04A0" w:firstRow="1" w:lastRow="0" w:firstColumn="1" w:lastColumn="0" w:noHBand="0" w:noVBand="1"/>
      </w:tblPr>
      <w:tblGrid>
        <w:gridCol w:w="1115"/>
        <w:gridCol w:w="1411"/>
        <w:gridCol w:w="1446"/>
        <w:gridCol w:w="2455"/>
        <w:gridCol w:w="1163"/>
        <w:gridCol w:w="1163"/>
      </w:tblGrid>
      <w:tr w:rsidR="005A1A44" w14:paraId="7DDCAA04" w14:textId="77777777">
        <w:trPr>
          <w:trHeight w:val="404"/>
          <w:tblHeader/>
        </w:trPr>
        <w:tc>
          <w:tcPr>
            <w:tcW w:w="1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7F161FC" w14:textId="77777777" w:rsidR="005A1A44" w:rsidRDefault="0008059E">
            <w:pPr>
              <w:widowControl/>
              <w:spacing w:line="240" w:lineRule="auto"/>
              <w:ind w:firstLineChars="0" w:firstLine="0"/>
              <w:jc w:val="center"/>
              <w:textAlignment w:val="center"/>
              <w:rPr>
                <w:rFonts w:ascii="宋体" w:eastAsia="宋体" w:hAnsi="宋体" w:cs="宋体" w:hint="eastAsia"/>
                <w:b/>
                <w:bCs/>
                <w:color w:val="333333"/>
                <w:kern w:val="0"/>
                <w:sz w:val="21"/>
                <w:szCs w:val="21"/>
              </w:rPr>
            </w:pPr>
            <w:r>
              <w:rPr>
                <w:rFonts w:ascii="宋体" w:eastAsia="宋体" w:hAnsi="宋体" w:cs="宋体" w:hint="eastAsia"/>
                <w:b/>
                <w:bCs/>
                <w:color w:val="333333"/>
                <w:kern w:val="0"/>
                <w:sz w:val="21"/>
                <w:szCs w:val="21"/>
              </w:rPr>
              <w:t>监测点位</w:t>
            </w:r>
          </w:p>
        </w:tc>
        <w:tc>
          <w:tcPr>
            <w:tcW w:w="1411"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vAlign w:val="center"/>
          </w:tcPr>
          <w:p w14:paraId="5248A470" w14:textId="77777777" w:rsidR="005A1A44" w:rsidRDefault="0008059E">
            <w:pPr>
              <w:widowControl/>
              <w:spacing w:line="240" w:lineRule="auto"/>
              <w:ind w:firstLineChars="0" w:firstLine="0"/>
              <w:jc w:val="center"/>
              <w:textAlignment w:val="center"/>
              <w:rPr>
                <w:rFonts w:ascii="宋体" w:eastAsia="宋体" w:hAnsi="宋体" w:cs="宋体" w:hint="eastAsia"/>
                <w:b/>
                <w:bCs/>
                <w:sz w:val="21"/>
                <w:szCs w:val="21"/>
              </w:rPr>
            </w:pPr>
            <w:r>
              <w:rPr>
                <w:rFonts w:ascii="宋体" w:eastAsia="宋体" w:hAnsi="宋体" w:cs="宋体" w:hint="eastAsia"/>
                <w:b/>
                <w:bCs/>
                <w:sz w:val="21"/>
                <w:szCs w:val="21"/>
              </w:rPr>
              <w:t>经度</w:t>
            </w:r>
          </w:p>
        </w:tc>
        <w:tc>
          <w:tcPr>
            <w:tcW w:w="1446"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vAlign w:val="center"/>
          </w:tcPr>
          <w:p w14:paraId="47D936C0" w14:textId="77777777" w:rsidR="005A1A44" w:rsidRDefault="0008059E">
            <w:pPr>
              <w:widowControl/>
              <w:spacing w:line="240" w:lineRule="auto"/>
              <w:ind w:firstLineChars="0" w:firstLine="0"/>
              <w:jc w:val="center"/>
              <w:textAlignment w:val="center"/>
              <w:rPr>
                <w:rFonts w:ascii="宋体" w:eastAsia="宋体" w:hAnsi="宋体" w:cs="宋体" w:hint="eastAsia"/>
                <w:b/>
                <w:bCs/>
                <w:sz w:val="21"/>
                <w:szCs w:val="21"/>
              </w:rPr>
            </w:pPr>
            <w:r>
              <w:rPr>
                <w:rFonts w:ascii="宋体" w:eastAsia="宋体" w:hAnsi="宋体" w:cs="宋体" w:hint="eastAsia"/>
                <w:b/>
                <w:bCs/>
                <w:sz w:val="21"/>
                <w:szCs w:val="21"/>
              </w:rPr>
              <w:t>纬度</w:t>
            </w:r>
          </w:p>
        </w:tc>
        <w:tc>
          <w:tcPr>
            <w:tcW w:w="24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3164A53" w14:textId="77777777" w:rsidR="005A1A44" w:rsidRDefault="0008059E">
            <w:pPr>
              <w:widowControl/>
              <w:spacing w:line="240" w:lineRule="auto"/>
              <w:ind w:firstLineChars="0" w:firstLine="0"/>
              <w:jc w:val="center"/>
              <w:textAlignment w:val="center"/>
              <w:rPr>
                <w:rFonts w:ascii="宋体" w:eastAsia="宋体" w:hAnsi="宋体" w:cs="宋体" w:hint="eastAsia"/>
                <w:b/>
                <w:bCs/>
                <w:sz w:val="21"/>
                <w:szCs w:val="21"/>
              </w:rPr>
            </w:pPr>
            <w:r>
              <w:rPr>
                <w:rFonts w:ascii="宋体" w:eastAsia="宋体" w:hAnsi="宋体" w:cs="宋体" w:hint="eastAsia"/>
                <w:b/>
                <w:bCs/>
                <w:sz w:val="21"/>
                <w:szCs w:val="21"/>
              </w:rPr>
              <w:t>地点</w:t>
            </w:r>
          </w:p>
        </w:tc>
        <w:tc>
          <w:tcPr>
            <w:tcW w:w="1163"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vAlign w:val="center"/>
          </w:tcPr>
          <w:p w14:paraId="392E458B" w14:textId="77777777" w:rsidR="005A1A44" w:rsidRDefault="0008059E">
            <w:pPr>
              <w:spacing w:line="240" w:lineRule="auto"/>
              <w:ind w:firstLineChars="0" w:firstLine="0"/>
              <w:jc w:val="center"/>
              <w:rPr>
                <w:rFonts w:ascii="宋体" w:eastAsia="宋体" w:hAnsi="宋体" w:cs="宋体" w:hint="eastAsia"/>
                <w:b/>
                <w:bCs/>
                <w:color w:val="000000"/>
                <w:kern w:val="0"/>
                <w:sz w:val="21"/>
                <w:szCs w:val="21"/>
              </w:rPr>
            </w:pPr>
            <w:r>
              <w:rPr>
                <w:rFonts w:ascii="宋体" w:eastAsia="宋体" w:hAnsi="宋体" w:cs="宋体" w:hint="eastAsia"/>
                <w:bCs/>
                <w:kern w:val="0"/>
                <w:sz w:val="21"/>
                <w:szCs w:val="21"/>
              </w:rPr>
              <w:t>声功能区</w:t>
            </w:r>
          </w:p>
        </w:tc>
        <w:tc>
          <w:tcPr>
            <w:tcW w:w="1163"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vAlign w:val="center"/>
          </w:tcPr>
          <w:p w14:paraId="3F2EB4D8" w14:textId="77777777" w:rsidR="005A1A44" w:rsidRDefault="0008059E">
            <w:pPr>
              <w:spacing w:line="240" w:lineRule="auto"/>
              <w:ind w:firstLineChars="0" w:firstLine="0"/>
              <w:jc w:val="center"/>
              <w:rPr>
                <w:rFonts w:ascii="宋体" w:eastAsia="宋体" w:hAnsi="宋体" w:cs="宋体" w:hint="eastAsia"/>
                <w:b/>
                <w:bCs/>
                <w:color w:val="000000"/>
                <w:kern w:val="0"/>
                <w:sz w:val="21"/>
                <w:szCs w:val="21"/>
              </w:rPr>
            </w:pPr>
            <w:r>
              <w:rPr>
                <w:rFonts w:ascii="宋体" w:eastAsia="宋体" w:hAnsi="宋体" w:cs="宋体" w:hint="eastAsia"/>
                <w:bCs/>
                <w:kern w:val="0"/>
                <w:sz w:val="21"/>
                <w:szCs w:val="21"/>
              </w:rPr>
              <w:t>备注</w:t>
            </w:r>
          </w:p>
        </w:tc>
      </w:tr>
      <w:tr w:rsidR="005A1A44" w14:paraId="006040CD" w14:textId="77777777">
        <w:trPr>
          <w:trHeight w:val="315"/>
        </w:trPr>
        <w:tc>
          <w:tcPr>
            <w:tcW w:w="1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5735CB5" w14:textId="77777777" w:rsidR="005A1A44" w:rsidRDefault="0008059E">
            <w:pPr>
              <w:widowControl/>
              <w:spacing w:line="240" w:lineRule="auto"/>
              <w:ind w:firstLineChars="0" w:firstLine="0"/>
              <w:jc w:val="center"/>
              <w:textAlignment w:val="center"/>
              <w:rPr>
                <w:rFonts w:ascii="宋体" w:eastAsia="宋体" w:hAnsi="宋体" w:cs="宋体" w:hint="eastAsia"/>
                <w:color w:val="333333"/>
                <w:kern w:val="0"/>
                <w:sz w:val="21"/>
                <w:szCs w:val="21"/>
              </w:rPr>
            </w:pPr>
            <w:r>
              <w:rPr>
                <w:rFonts w:ascii="宋体" w:eastAsia="宋体" w:hAnsi="宋体" w:cs="宋体" w:hint="eastAsia"/>
                <w:color w:val="333333"/>
                <w:kern w:val="0"/>
                <w:sz w:val="21"/>
                <w:szCs w:val="21"/>
              </w:rPr>
              <w:t>1</w:t>
            </w:r>
            <w:r>
              <w:rPr>
                <w:rFonts w:ascii="宋体" w:eastAsia="宋体" w:hAnsi="宋体" w:cs="宋体" w:hint="eastAsia"/>
                <w:color w:val="333333"/>
                <w:kern w:val="0"/>
                <w:sz w:val="21"/>
                <w:szCs w:val="21"/>
                <w:vertAlign w:val="superscript"/>
              </w:rPr>
              <w:t>#</w:t>
            </w:r>
          </w:p>
        </w:tc>
        <w:tc>
          <w:tcPr>
            <w:tcW w:w="1411"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vAlign w:val="center"/>
          </w:tcPr>
          <w:p w14:paraId="05B84BF9" w14:textId="77777777" w:rsidR="005A1A44" w:rsidRDefault="0008059E">
            <w:pPr>
              <w:widowControl/>
              <w:spacing w:line="240" w:lineRule="auto"/>
              <w:ind w:firstLineChars="0" w:firstLine="0"/>
              <w:jc w:val="center"/>
              <w:textAlignment w:val="center"/>
              <w:rPr>
                <w:rFonts w:ascii="宋体" w:eastAsia="宋体" w:hAnsi="宋体" w:cs="宋体" w:hint="eastAsia"/>
                <w:color w:val="333333"/>
                <w:kern w:val="0"/>
                <w:sz w:val="21"/>
                <w:szCs w:val="21"/>
              </w:rPr>
            </w:pPr>
            <w:r>
              <w:rPr>
                <w:rFonts w:ascii="宋体" w:eastAsia="宋体" w:hAnsi="宋体" w:cs="宋体" w:hint="eastAsia"/>
                <w:color w:val="333333"/>
                <w:kern w:val="0"/>
                <w:sz w:val="21"/>
                <w:szCs w:val="21"/>
              </w:rPr>
              <w:t>79°56′37″</w:t>
            </w:r>
          </w:p>
        </w:tc>
        <w:tc>
          <w:tcPr>
            <w:tcW w:w="1446" w:type="dxa"/>
            <w:tcBorders>
              <w:top w:val="single" w:sz="4" w:space="0" w:color="auto"/>
              <w:left w:val="nil"/>
              <w:bottom w:val="single" w:sz="4" w:space="0" w:color="auto"/>
              <w:right w:val="single" w:sz="4" w:space="0" w:color="auto"/>
            </w:tcBorders>
            <w:shd w:val="clear" w:color="auto" w:fill="auto"/>
            <w:noWrap/>
            <w:tcMar>
              <w:top w:w="15" w:type="dxa"/>
              <w:left w:w="15" w:type="dxa"/>
              <w:right w:w="15" w:type="dxa"/>
            </w:tcMar>
            <w:vAlign w:val="center"/>
          </w:tcPr>
          <w:p w14:paraId="0A473620" w14:textId="77777777" w:rsidR="005A1A44" w:rsidRDefault="0008059E">
            <w:pPr>
              <w:widowControl/>
              <w:spacing w:line="240" w:lineRule="auto"/>
              <w:ind w:firstLineChars="0" w:firstLine="0"/>
              <w:jc w:val="center"/>
              <w:textAlignment w:val="center"/>
              <w:rPr>
                <w:rFonts w:ascii="宋体" w:eastAsia="宋体" w:hAnsi="宋体" w:cs="宋体" w:hint="eastAsia"/>
                <w:color w:val="333333"/>
                <w:kern w:val="0"/>
                <w:sz w:val="21"/>
                <w:szCs w:val="21"/>
              </w:rPr>
            </w:pPr>
            <w:r>
              <w:rPr>
                <w:rFonts w:ascii="宋体" w:eastAsia="宋体" w:hAnsi="宋体" w:cs="宋体" w:hint="eastAsia"/>
                <w:color w:val="333333"/>
                <w:kern w:val="0"/>
                <w:sz w:val="21"/>
                <w:szCs w:val="21"/>
              </w:rPr>
              <w:t>36°59′13″</w:t>
            </w:r>
          </w:p>
        </w:tc>
        <w:tc>
          <w:tcPr>
            <w:tcW w:w="24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8F4129C"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巴什比孜里村</w:t>
            </w:r>
          </w:p>
        </w:tc>
        <w:tc>
          <w:tcPr>
            <w:tcW w:w="1163" w:type="dxa"/>
            <w:vMerge w:val="restart"/>
            <w:tcBorders>
              <w:top w:val="single" w:sz="4" w:space="0" w:color="auto"/>
              <w:left w:val="nil"/>
              <w:right w:val="single" w:sz="4" w:space="0" w:color="auto"/>
            </w:tcBorders>
            <w:shd w:val="clear" w:color="auto" w:fill="auto"/>
            <w:noWrap/>
            <w:tcMar>
              <w:top w:w="15" w:type="dxa"/>
              <w:left w:w="15" w:type="dxa"/>
              <w:right w:w="15" w:type="dxa"/>
            </w:tcMar>
            <w:vAlign w:val="center"/>
          </w:tcPr>
          <w:p w14:paraId="767AD238" w14:textId="77777777" w:rsidR="005A1A44" w:rsidRDefault="0008059E">
            <w:pPr>
              <w:spacing w:line="240" w:lineRule="auto"/>
              <w:ind w:firstLineChars="0" w:firstLine="0"/>
              <w:jc w:val="center"/>
              <w:rPr>
                <w:rFonts w:ascii="宋体" w:eastAsia="宋体" w:hAnsi="宋体" w:cs="宋体" w:hint="eastAsia"/>
                <w:color w:val="000000"/>
                <w:kern w:val="0"/>
                <w:sz w:val="21"/>
                <w:szCs w:val="21"/>
              </w:rPr>
            </w:pPr>
            <w:r>
              <w:rPr>
                <w:rFonts w:ascii="宋体" w:eastAsia="宋体" w:hAnsi="宋体" w:cs="宋体" w:hint="eastAsia"/>
                <w:bCs/>
                <w:kern w:val="0"/>
                <w:sz w:val="21"/>
                <w:szCs w:val="21"/>
              </w:rPr>
              <w:t>2类/</w:t>
            </w:r>
            <w:r>
              <w:rPr>
                <w:rFonts w:ascii="宋体" w:eastAsia="宋体" w:hAnsi="宋体" w:cs="宋体"/>
                <w:bCs/>
                <w:kern w:val="0"/>
                <w:sz w:val="21"/>
                <w:szCs w:val="21"/>
              </w:rPr>
              <w:t>4a</w:t>
            </w:r>
          </w:p>
        </w:tc>
        <w:tc>
          <w:tcPr>
            <w:tcW w:w="1163" w:type="dxa"/>
            <w:vMerge w:val="restart"/>
            <w:tcBorders>
              <w:top w:val="single" w:sz="4" w:space="0" w:color="auto"/>
              <w:left w:val="nil"/>
              <w:right w:val="single" w:sz="4" w:space="0" w:color="auto"/>
            </w:tcBorders>
            <w:shd w:val="clear" w:color="auto" w:fill="auto"/>
            <w:noWrap/>
            <w:tcMar>
              <w:top w:w="15" w:type="dxa"/>
              <w:left w:w="15" w:type="dxa"/>
              <w:right w:w="15" w:type="dxa"/>
            </w:tcMar>
            <w:vAlign w:val="center"/>
          </w:tcPr>
          <w:p w14:paraId="60DFAF98" w14:textId="77777777" w:rsidR="005A1A44" w:rsidRDefault="0008059E">
            <w:pPr>
              <w:spacing w:line="240" w:lineRule="auto"/>
              <w:ind w:firstLineChars="0" w:firstLine="0"/>
              <w:jc w:val="center"/>
              <w:rPr>
                <w:rFonts w:ascii="宋体" w:eastAsia="宋体" w:hAnsi="宋体" w:cs="宋体" w:hint="eastAsia"/>
                <w:color w:val="000000"/>
                <w:kern w:val="0"/>
                <w:sz w:val="21"/>
                <w:szCs w:val="21"/>
              </w:rPr>
            </w:pPr>
            <w:r>
              <w:rPr>
                <w:rFonts w:ascii="宋体" w:eastAsia="宋体" w:hAnsi="宋体" w:cs="宋体" w:hint="eastAsia"/>
                <w:bCs/>
                <w:kern w:val="0"/>
                <w:sz w:val="21"/>
                <w:szCs w:val="21"/>
              </w:rPr>
              <w:t>昼、夜时段监测</w:t>
            </w:r>
          </w:p>
        </w:tc>
      </w:tr>
      <w:tr w:rsidR="005A1A44" w14:paraId="7E670198" w14:textId="77777777">
        <w:trPr>
          <w:trHeight w:val="427"/>
        </w:trPr>
        <w:tc>
          <w:tcPr>
            <w:tcW w:w="1115" w:type="dxa"/>
            <w:tcBorders>
              <w:top w:val="nil"/>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7A29F24" w14:textId="77777777" w:rsidR="005A1A44" w:rsidRDefault="0008059E">
            <w:pPr>
              <w:widowControl/>
              <w:spacing w:line="240" w:lineRule="auto"/>
              <w:ind w:firstLineChars="0" w:firstLine="0"/>
              <w:jc w:val="center"/>
              <w:textAlignment w:val="center"/>
              <w:rPr>
                <w:rFonts w:ascii="宋体" w:eastAsia="宋体" w:hAnsi="宋体" w:cs="宋体" w:hint="eastAsia"/>
                <w:color w:val="333333"/>
                <w:kern w:val="0"/>
                <w:sz w:val="21"/>
                <w:szCs w:val="21"/>
              </w:rPr>
            </w:pPr>
            <w:r>
              <w:rPr>
                <w:rFonts w:ascii="宋体" w:eastAsia="宋体" w:hAnsi="宋体" w:cs="宋体" w:hint="eastAsia"/>
                <w:color w:val="333333"/>
                <w:kern w:val="0"/>
                <w:sz w:val="21"/>
                <w:szCs w:val="21"/>
              </w:rPr>
              <w:t>2</w:t>
            </w:r>
            <w:r>
              <w:rPr>
                <w:rFonts w:ascii="宋体" w:eastAsia="宋体" w:hAnsi="宋体" w:cs="宋体" w:hint="eastAsia"/>
                <w:color w:val="333333"/>
                <w:kern w:val="0"/>
                <w:sz w:val="21"/>
                <w:szCs w:val="21"/>
                <w:vertAlign w:val="superscript"/>
              </w:rPr>
              <w:t>#</w:t>
            </w:r>
          </w:p>
        </w:tc>
        <w:tc>
          <w:tcPr>
            <w:tcW w:w="1411" w:type="dxa"/>
            <w:tcBorders>
              <w:top w:val="nil"/>
              <w:left w:val="nil"/>
              <w:bottom w:val="single" w:sz="4" w:space="0" w:color="auto"/>
              <w:right w:val="single" w:sz="4" w:space="0" w:color="auto"/>
            </w:tcBorders>
            <w:shd w:val="clear" w:color="auto" w:fill="auto"/>
            <w:noWrap/>
            <w:tcMar>
              <w:top w:w="15" w:type="dxa"/>
              <w:left w:w="15" w:type="dxa"/>
              <w:right w:w="15" w:type="dxa"/>
            </w:tcMar>
            <w:vAlign w:val="center"/>
          </w:tcPr>
          <w:p w14:paraId="04BFD112" w14:textId="77777777" w:rsidR="005A1A44" w:rsidRDefault="0008059E">
            <w:pPr>
              <w:widowControl/>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color w:val="333333"/>
                <w:kern w:val="0"/>
                <w:sz w:val="21"/>
                <w:szCs w:val="21"/>
              </w:rPr>
              <w:t>79°55′45″</w:t>
            </w:r>
          </w:p>
        </w:tc>
        <w:tc>
          <w:tcPr>
            <w:tcW w:w="1446" w:type="dxa"/>
            <w:tcBorders>
              <w:top w:val="nil"/>
              <w:left w:val="nil"/>
              <w:bottom w:val="single" w:sz="4" w:space="0" w:color="auto"/>
              <w:right w:val="single" w:sz="4" w:space="0" w:color="auto"/>
            </w:tcBorders>
            <w:shd w:val="clear" w:color="auto" w:fill="auto"/>
            <w:noWrap/>
            <w:tcMar>
              <w:top w:w="15" w:type="dxa"/>
              <w:left w:w="15" w:type="dxa"/>
              <w:right w:w="15" w:type="dxa"/>
            </w:tcMar>
            <w:vAlign w:val="center"/>
          </w:tcPr>
          <w:p w14:paraId="4DC448BD" w14:textId="77777777" w:rsidR="005A1A44" w:rsidRDefault="0008059E">
            <w:pPr>
              <w:widowControl/>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color w:val="333333"/>
                <w:kern w:val="0"/>
                <w:sz w:val="21"/>
                <w:szCs w:val="21"/>
              </w:rPr>
              <w:t>37°02′00″</w:t>
            </w:r>
          </w:p>
        </w:tc>
        <w:tc>
          <w:tcPr>
            <w:tcW w:w="2455" w:type="dxa"/>
            <w:tcBorders>
              <w:top w:val="nil"/>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E2767DB" w14:textId="77777777" w:rsidR="005A1A44" w:rsidRDefault="0008059E">
            <w:pPr>
              <w:widowControl/>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color w:val="000000"/>
                <w:kern w:val="0"/>
                <w:sz w:val="21"/>
                <w:szCs w:val="21"/>
              </w:rPr>
              <w:t>加木达村</w:t>
            </w:r>
          </w:p>
        </w:tc>
        <w:tc>
          <w:tcPr>
            <w:tcW w:w="1163" w:type="dxa"/>
            <w:vMerge/>
            <w:tcBorders>
              <w:left w:val="nil"/>
              <w:right w:val="single" w:sz="4" w:space="0" w:color="auto"/>
            </w:tcBorders>
            <w:shd w:val="clear" w:color="auto" w:fill="auto"/>
            <w:noWrap/>
            <w:tcMar>
              <w:top w:w="15" w:type="dxa"/>
              <w:left w:w="15" w:type="dxa"/>
              <w:right w:w="15" w:type="dxa"/>
            </w:tcMar>
            <w:vAlign w:val="center"/>
          </w:tcPr>
          <w:p w14:paraId="48C836C4" w14:textId="77777777" w:rsidR="005A1A44" w:rsidRDefault="005A1A44">
            <w:pPr>
              <w:widowControl/>
              <w:spacing w:line="240" w:lineRule="auto"/>
              <w:ind w:firstLineChars="0" w:firstLine="0"/>
              <w:jc w:val="center"/>
              <w:textAlignment w:val="center"/>
              <w:rPr>
                <w:rFonts w:ascii="宋体" w:eastAsia="宋体" w:hAnsi="宋体" w:cs="宋体" w:hint="eastAsia"/>
                <w:color w:val="000000"/>
                <w:kern w:val="0"/>
                <w:sz w:val="21"/>
                <w:szCs w:val="21"/>
              </w:rPr>
            </w:pPr>
          </w:p>
        </w:tc>
        <w:tc>
          <w:tcPr>
            <w:tcW w:w="1163" w:type="dxa"/>
            <w:vMerge/>
            <w:tcBorders>
              <w:left w:val="nil"/>
              <w:right w:val="single" w:sz="4" w:space="0" w:color="auto"/>
            </w:tcBorders>
            <w:shd w:val="clear" w:color="auto" w:fill="auto"/>
            <w:noWrap/>
            <w:tcMar>
              <w:top w:w="15" w:type="dxa"/>
              <w:left w:w="15" w:type="dxa"/>
              <w:right w:w="15" w:type="dxa"/>
            </w:tcMar>
            <w:vAlign w:val="center"/>
          </w:tcPr>
          <w:p w14:paraId="43E9E0EF" w14:textId="77777777" w:rsidR="005A1A44" w:rsidRDefault="005A1A44">
            <w:pPr>
              <w:widowControl/>
              <w:spacing w:line="240" w:lineRule="auto"/>
              <w:ind w:firstLineChars="0" w:firstLine="0"/>
              <w:jc w:val="center"/>
              <w:textAlignment w:val="center"/>
              <w:rPr>
                <w:rFonts w:ascii="宋体" w:eastAsia="宋体" w:hAnsi="宋体" w:cs="宋体" w:hint="eastAsia"/>
                <w:color w:val="000000"/>
                <w:kern w:val="0"/>
                <w:sz w:val="21"/>
                <w:szCs w:val="21"/>
              </w:rPr>
            </w:pPr>
          </w:p>
        </w:tc>
      </w:tr>
      <w:tr w:rsidR="005A1A44" w14:paraId="636546BF" w14:textId="77777777">
        <w:trPr>
          <w:trHeight w:val="300"/>
        </w:trPr>
        <w:tc>
          <w:tcPr>
            <w:tcW w:w="1115" w:type="dxa"/>
            <w:tcBorders>
              <w:top w:val="nil"/>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0B51D14" w14:textId="77777777" w:rsidR="005A1A44" w:rsidRDefault="0008059E">
            <w:pPr>
              <w:widowControl/>
              <w:spacing w:line="240" w:lineRule="auto"/>
              <w:ind w:firstLineChars="0" w:firstLine="0"/>
              <w:jc w:val="center"/>
              <w:textAlignment w:val="center"/>
              <w:rPr>
                <w:rFonts w:ascii="宋体" w:eastAsia="宋体" w:hAnsi="宋体" w:cs="宋体" w:hint="eastAsia"/>
                <w:color w:val="333333"/>
                <w:kern w:val="0"/>
                <w:sz w:val="21"/>
                <w:szCs w:val="21"/>
              </w:rPr>
            </w:pPr>
            <w:r>
              <w:rPr>
                <w:rFonts w:ascii="宋体" w:eastAsia="宋体" w:hAnsi="宋体" w:cs="宋体" w:hint="eastAsia"/>
                <w:color w:val="333333"/>
                <w:kern w:val="0"/>
                <w:sz w:val="21"/>
                <w:szCs w:val="21"/>
              </w:rPr>
              <w:t>3</w:t>
            </w:r>
            <w:r>
              <w:rPr>
                <w:rFonts w:ascii="宋体" w:eastAsia="宋体" w:hAnsi="宋体" w:cs="宋体" w:hint="eastAsia"/>
                <w:color w:val="333333"/>
                <w:kern w:val="0"/>
                <w:sz w:val="21"/>
                <w:szCs w:val="21"/>
                <w:vertAlign w:val="superscript"/>
              </w:rPr>
              <w:t>#</w:t>
            </w:r>
          </w:p>
        </w:tc>
        <w:tc>
          <w:tcPr>
            <w:tcW w:w="1411" w:type="dxa"/>
            <w:tcBorders>
              <w:top w:val="nil"/>
              <w:left w:val="nil"/>
              <w:bottom w:val="single" w:sz="4" w:space="0" w:color="auto"/>
              <w:right w:val="single" w:sz="4" w:space="0" w:color="auto"/>
            </w:tcBorders>
            <w:shd w:val="clear" w:color="auto" w:fill="auto"/>
            <w:noWrap/>
            <w:tcMar>
              <w:top w:w="15" w:type="dxa"/>
              <w:left w:w="15" w:type="dxa"/>
              <w:right w:w="15" w:type="dxa"/>
            </w:tcMar>
            <w:vAlign w:val="center"/>
          </w:tcPr>
          <w:p w14:paraId="4F2961A8" w14:textId="77777777" w:rsidR="005A1A44" w:rsidRDefault="0008059E">
            <w:pPr>
              <w:widowControl/>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color w:val="333333"/>
                <w:kern w:val="0"/>
                <w:sz w:val="21"/>
                <w:szCs w:val="21"/>
              </w:rPr>
              <w:t>79°57′48″</w:t>
            </w:r>
          </w:p>
        </w:tc>
        <w:tc>
          <w:tcPr>
            <w:tcW w:w="1446" w:type="dxa"/>
            <w:tcBorders>
              <w:top w:val="nil"/>
              <w:left w:val="nil"/>
              <w:bottom w:val="single" w:sz="4" w:space="0" w:color="auto"/>
              <w:right w:val="single" w:sz="4" w:space="0" w:color="auto"/>
            </w:tcBorders>
            <w:shd w:val="clear" w:color="auto" w:fill="auto"/>
            <w:noWrap/>
            <w:tcMar>
              <w:top w:w="15" w:type="dxa"/>
              <w:left w:w="15" w:type="dxa"/>
              <w:right w:w="15" w:type="dxa"/>
            </w:tcMar>
            <w:vAlign w:val="center"/>
          </w:tcPr>
          <w:p w14:paraId="01943843" w14:textId="77777777" w:rsidR="005A1A44" w:rsidRDefault="0008059E">
            <w:pPr>
              <w:widowControl/>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color w:val="333333"/>
                <w:kern w:val="0"/>
                <w:sz w:val="21"/>
                <w:szCs w:val="21"/>
              </w:rPr>
              <w:t>37°05′16″</w:t>
            </w:r>
          </w:p>
        </w:tc>
        <w:tc>
          <w:tcPr>
            <w:tcW w:w="2455" w:type="dxa"/>
            <w:tcBorders>
              <w:top w:val="nil"/>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E3F07BB" w14:textId="77777777" w:rsidR="005A1A44" w:rsidRDefault="0008059E">
            <w:pPr>
              <w:widowControl/>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color w:val="000000"/>
                <w:kern w:val="0"/>
                <w:sz w:val="21"/>
                <w:szCs w:val="21"/>
              </w:rPr>
              <w:t>纳格热其村</w:t>
            </w:r>
          </w:p>
        </w:tc>
        <w:tc>
          <w:tcPr>
            <w:tcW w:w="1163" w:type="dxa"/>
            <w:vMerge/>
            <w:tcBorders>
              <w:left w:val="nil"/>
              <w:right w:val="single" w:sz="4" w:space="0" w:color="auto"/>
            </w:tcBorders>
            <w:shd w:val="clear" w:color="auto" w:fill="auto"/>
            <w:noWrap/>
            <w:tcMar>
              <w:top w:w="15" w:type="dxa"/>
              <w:left w:w="15" w:type="dxa"/>
              <w:right w:w="15" w:type="dxa"/>
            </w:tcMar>
            <w:vAlign w:val="center"/>
          </w:tcPr>
          <w:p w14:paraId="43185CEA" w14:textId="77777777" w:rsidR="005A1A44" w:rsidRDefault="005A1A44">
            <w:pPr>
              <w:widowControl/>
              <w:spacing w:line="240" w:lineRule="auto"/>
              <w:ind w:firstLineChars="0" w:firstLine="0"/>
              <w:jc w:val="center"/>
              <w:textAlignment w:val="center"/>
              <w:rPr>
                <w:rFonts w:ascii="宋体" w:eastAsia="宋体" w:hAnsi="宋体" w:cs="宋体" w:hint="eastAsia"/>
                <w:color w:val="000000"/>
                <w:kern w:val="0"/>
                <w:sz w:val="21"/>
                <w:szCs w:val="21"/>
              </w:rPr>
            </w:pPr>
          </w:p>
        </w:tc>
        <w:tc>
          <w:tcPr>
            <w:tcW w:w="1163" w:type="dxa"/>
            <w:vMerge/>
            <w:tcBorders>
              <w:left w:val="nil"/>
              <w:right w:val="single" w:sz="4" w:space="0" w:color="auto"/>
            </w:tcBorders>
            <w:shd w:val="clear" w:color="auto" w:fill="auto"/>
            <w:noWrap/>
            <w:tcMar>
              <w:top w:w="15" w:type="dxa"/>
              <w:left w:w="15" w:type="dxa"/>
              <w:right w:w="15" w:type="dxa"/>
            </w:tcMar>
            <w:vAlign w:val="center"/>
          </w:tcPr>
          <w:p w14:paraId="18B14308" w14:textId="77777777" w:rsidR="005A1A44" w:rsidRDefault="005A1A44">
            <w:pPr>
              <w:widowControl/>
              <w:spacing w:line="240" w:lineRule="auto"/>
              <w:ind w:firstLineChars="0" w:firstLine="0"/>
              <w:jc w:val="center"/>
              <w:textAlignment w:val="center"/>
              <w:rPr>
                <w:rFonts w:ascii="宋体" w:eastAsia="宋体" w:hAnsi="宋体" w:cs="宋体" w:hint="eastAsia"/>
                <w:color w:val="000000"/>
                <w:kern w:val="0"/>
                <w:sz w:val="21"/>
                <w:szCs w:val="21"/>
              </w:rPr>
            </w:pPr>
          </w:p>
        </w:tc>
      </w:tr>
      <w:tr w:rsidR="005A1A44" w14:paraId="48D6E3D5" w14:textId="77777777">
        <w:trPr>
          <w:trHeight w:val="300"/>
        </w:trPr>
        <w:tc>
          <w:tcPr>
            <w:tcW w:w="1115" w:type="dxa"/>
            <w:tcBorders>
              <w:top w:val="nil"/>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F57FA1C" w14:textId="77777777" w:rsidR="005A1A44" w:rsidRDefault="0008059E">
            <w:pPr>
              <w:widowControl/>
              <w:spacing w:line="240" w:lineRule="auto"/>
              <w:ind w:firstLineChars="0" w:firstLine="0"/>
              <w:jc w:val="center"/>
              <w:textAlignment w:val="center"/>
              <w:rPr>
                <w:rFonts w:ascii="宋体" w:eastAsia="宋体" w:hAnsi="宋体" w:cs="宋体" w:hint="eastAsia"/>
                <w:color w:val="333333"/>
                <w:kern w:val="0"/>
                <w:sz w:val="21"/>
                <w:szCs w:val="21"/>
              </w:rPr>
            </w:pPr>
            <w:r>
              <w:rPr>
                <w:rFonts w:ascii="宋体" w:eastAsia="宋体" w:hAnsi="宋体" w:cs="宋体" w:hint="eastAsia"/>
                <w:color w:val="333333"/>
                <w:kern w:val="0"/>
                <w:sz w:val="21"/>
                <w:szCs w:val="21"/>
              </w:rPr>
              <w:t>4</w:t>
            </w:r>
            <w:r>
              <w:rPr>
                <w:rFonts w:ascii="宋体" w:eastAsia="宋体" w:hAnsi="宋体" w:cs="宋体" w:hint="eastAsia"/>
                <w:color w:val="333333"/>
                <w:kern w:val="0"/>
                <w:sz w:val="21"/>
                <w:szCs w:val="21"/>
                <w:vertAlign w:val="superscript"/>
              </w:rPr>
              <w:t>#</w:t>
            </w:r>
          </w:p>
        </w:tc>
        <w:tc>
          <w:tcPr>
            <w:tcW w:w="1411" w:type="dxa"/>
            <w:tcBorders>
              <w:top w:val="nil"/>
              <w:left w:val="nil"/>
              <w:bottom w:val="single" w:sz="4" w:space="0" w:color="auto"/>
              <w:right w:val="single" w:sz="4" w:space="0" w:color="auto"/>
            </w:tcBorders>
            <w:shd w:val="clear" w:color="auto" w:fill="auto"/>
            <w:noWrap/>
            <w:tcMar>
              <w:top w:w="15" w:type="dxa"/>
              <w:left w:w="15" w:type="dxa"/>
              <w:right w:w="15" w:type="dxa"/>
            </w:tcMar>
            <w:vAlign w:val="center"/>
          </w:tcPr>
          <w:p w14:paraId="2D22CD27" w14:textId="77777777" w:rsidR="005A1A44" w:rsidRDefault="0008059E">
            <w:pPr>
              <w:widowControl/>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color w:val="333333"/>
                <w:kern w:val="0"/>
                <w:sz w:val="21"/>
                <w:szCs w:val="21"/>
              </w:rPr>
              <w:t>79°57′33″</w:t>
            </w:r>
          </w:p>
        </w:tc>
        <w:tc>
          <w:tcPr>
            <w:tcW w:w="1446" w:type="dxa"/>
            <w:tcBorders>
              <w:top w:val="nil"/>
              <w:left w:val="nil"/>
              <w:bottom w:val="single" w:sz="4" w:space="0" w:color="auto"/>
              <w:right w:val="single" w:sz="4" w:space="0" w:color="auto"/>
            </w:tcBorders>
            <w:shd w:val="clear" w:color="auto" w:fill="auto"/>
            <w:noWrap/>
            <w:tcMar>
              <w:top w:w="15" w:type="dxa"/>
              <w:left w:w="15" w:type="dxa"/>
              <w:right w:w="15" w:type="dxa"/>
            </w:tcMar>
            <w:vAlign w:val="center"/>
          </w:tcPr>
          <w:p w14:paraId="2B2527DD" w14:textId="77777777" w:rsidR="005A1A44" w:rsidRDefault="0008059E">
            <w:pPr>
              <w:widowControl/>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color w:val="333333"/>
                <w:kern w:val="0"/>
                <w:sz w:val="21"/>
                <w:szCs w:val="21"/>
              </w:rPr>
              <w:t>37°08′05″</w:t>
            </w:r>
          </w:p>
        </w:tc>
        <w:tc>
          <w:tcPr>
            <w:tcW w:w="2455" w:type="dxa"/>
            <w:tcBorders>
              <w:top w:val="nil"/>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B7702D4" w14:textId="77777777" w:rsidR="005A1A44" w:rsidRDefault="0008059E">
            <w:pPr>
              <w:widowControl/>
              <w:spacing w:line="240" w:lineRule="auto"/>
              <w:ind w:firstLineChars="0" w:firstLine="0"/>
              <w:textAlignment w:val="center"/>
              <w:rPr>
                <w:rFonts w:ascii="宋体" w:eastAsia="宋体" w:hAnsi="宋体" w:cs="宋体" w:hint="eastAsia"/>
                <w:sz w:val="21"/>
                <w:szCs w:val="21"/>
              </w:rPr>
            </w:pPr>
            <w:r>
              <w:rPr>
                <w:rFonts w:ascii="宋体" w:eastAsia="宋体" w:hAnsi="宋体" w:cs="宋体" w:hint="eastAsia"/>
                <w:color w:val="000000"/>
                <w:kern w:val="0"/>
                <w:sz w:val="21"/>
                <w:szCs w:val="21"/>
              </w:rPr>
              <w:t>和田市第一高级中学</w:t>
            </w:r>
          </w:p>
        </w:tc>
        <w:tc>
          <w:tcPr>
            <w:tcW w:w="1163" w:type="dxa"/>
            <w:vMerge/>
            <w:tcBorders>
              <w:left w:val="nil"/>
              <w:right w:val="single" w:sz="4" w:space="0" w:color="auto"/>
            </w:tcBorders>
            <w:shd w:val="clear" w:color="auto" w:fill="auto"/>
            <w:noWrap/>
            <w:tcMar>
              <w:top w:w="15" w:type="dxa"/>
              <w:left w:w="15" w:type="dxa"/>
              <w:right w:w="15" w:type="dxa"/>
            </w:tcMar>
            <w:vAlign w:val="center"/>
          </w:tcPr>
          <w:p w14:paraId="2FB46C0A" w14:textId="77777777" w:rsidR="005A1A44" w:rsidRDefault="005A1A44">
            <w:pPr>
              <w:widowControl/>
              <w:spacing w:line="240" w:lineRule="auto"/>
              <w:ind w:firstLineChars="0" w:firstLine="0"/>
              <w:jc w:val="center"/>
              <w:textAlignment w:val="center"/>
              <w:rPr>
                <w:rFonts w:ascii="宋体" w:eastAsia="宋体" w:hAnsi="宋体" w:cs="宋体" w:hint="eastAsia"/>
                <w:color w:val="000000"/>
                <w:kern w:val="0"/>
                <w:sz w:val="21"/>
                <w:szCs w:val="21"/>
              </w:rPr>
            </w:pPr>
          </w:p>
        </w:tc>
        <w:tc>
          <w:tcPr>
            <w:tcW w:w="1163" w:type="dxa"/>
            <w:vMerge/>
            <w:tcBorders>
              <w:left w:val="nil"/>
              <w:right w:val="single" w:sz="4" w:space="0" w:color="auto"/>
            </w:tcBorders>
            <w:shd w:val="clear" w:color="auto" w:fill="auto"/>
            <w:noWrap/>
            <w:tcMar>
              <w:top w:w="15" w:type="dxa"/>
              <w:left w:w="15" w:type="dxa"/>
              <w:right w:w="15" w:type="dxa"/>
            </w:tcMar>
            <w:vAlign w:val="center"/>
          </w:tcPr>
          <w:p w14:paraId="37A17A20" w14:textId="77777777" w:rsidR="005A1A44" w:rsidRDefault="005A1A44">
            <w:pPr>
              <w:widowControl/>
              <w:spacing w:line="240" w:lineRule="auto"/>
              <w:ind w:firstLineChars="0" w:firstLine="0"/>
              <w:jc w:val="center"/>
              <w:textAlignment w:val="center"/>
              <w:rPr>
                <w:rFonts w:ascii="宋体" w:eastAsia="宋体" w:hAnsi="宋体" w:cs="宋体" w:hint="eastAsia"/>
                <w:color w:val="000000"/>
                <w:kern w:val="0"/>
                <w:sz w:val="21"/>
                <w:szCs w:val="21"/>
              </w:rPr>
            </w:pPr>
          </w:p>
        </w:tc>
      </w:tr>
      <w:tr w:rsidR="005A1A44" w14:paraId="290610AF" w14:textId="77777777">
        <w:trPr>
          <w:trHeight w:val="300"/>
        </w:trPr>
        <w:tc>
          <w:tcPr>
            <w:tcW w:w="1115" w:type="dxa"/>
            <w:tcBorders>
              <w:top w:val="nil"/>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6EF43C8" w14:textId="77777777" w:rsidR="005A1A44" w:rsidRDefault="0008059E">
            <w:pPr>
              <w:widowControl/>
              <w:spacing w:line="240" w:lineRule="auto"/>
              <w:ind w:firstLineChars="0" w:firstLine="0"/>
              <w:jc w:val="center"/>
              <w:textAlignment w:val="center"/>
              <w:rPr>
                <w:rFonts w:ascii="宋体" w:eastAsia="宋体" w:hAnsi="宋体" w:cs="宋体" w:hint="eastAsia"/>
                <w:color w:val="333333"/>
                <w:kern w:val="0"/>
                <w:sz w:val="21"/>
                <w:szCs w:val="21"/>
              </w:rPr>
            </w:pPr>
            <w:r>
              <w:rPr>
                <w:rFonts w:ascii="宋体" w:eastAsia="宋体" w:hAnsi="宋体" w:cs="宋体" w:hint="eastAsia"/>
                <w:color w:val="333333"/>
                <w:kern w:val="0"/>
                <w:sz w:val="21"/>
                <w:szCs w:val="21"/>
              </w:rPr>
              <w:t>5</w:t>
            </w:r>
            <w:r>
              <w:rPr>
                <w:rFonts w:ascii="宋体" w:eastAsia="宋体" w:hAnsi="宋体" w:cs="宋体" w:hint="eastAsia"/>
                <w:color w:val="333333"/>
                <w:kern w:val="0"/>
                <w:sz w:val="21"/>
                <w:szCs w:val="21"/>
                <w:vertAlign w:val="superscript"/>
              </w:rPr>
              <w:t>#</w:t>
            </w:r>
          </w:p>
        </w:tc>
        <w:tc>
          <w:tcPr>
            <w:tcW w:w="1411" w:type="dxa"/>
            <w:tcBorders>
              <w:top w:val="nil"/>
              <w:left w:val="nil"/>
              <w:bottom w:val="single" w:sz="4" w:space="0" w:color="auto"/>
              <w:right w:val="single" w:sz="4" w:space="0" w:color="auto"/>
            </w:tcBorders>
            <w:shd w:val="clear" w:color="auto" w:fill="auto"/>
            <w:noWrap/>
            <w:tcMar>
              <w:top w:w="15" w:type="dxa"/>
              <w:left w:w="15" w:type="dxa"/>
              <w:right w:w="15" w:type="dxa"/>
            </w:tcMar>
            <w:vAlign w:val="center"/>
          </w:tcPr>
          <w:p w14:paraId="540854F4" w14:textId="77777777" w:rsidR="005A1A44" w:rsidRDefault="0008059E">
            <w:pPr>
              <w:widowControl/>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color w:val="333333"/>
                <w:kern w:val="0"/>
                <w:sz w:val="21"/>
                <w:szCs w:val="21"/>
              </w:rPr>
              <w:t>79°58′54″</w:t>
            </w:r>
          </w:p>
        </w:tc>
        <w:tc>
          <w:tcPr>
            <w:tcW w:w="1446" w:type="dxa"/>
            <w:tcBorders>
              <w:top w:val="nil"/>
              <w:left w:val="nil"/>
              <w:bottom w:val="single" w:sz="4" w:space="0" w:color="auto"/>
              <w:right w:val="single" w:sz="4" w:space="0" w:color="auto"/>
            </w:tcBorders>
            <w:shd w:val="clear" w:color="auto" w:fill="auto"/>
            <w:noWrap/>
            <w:tcMar>
              <w:top w:w="15" w:type="dxa"/>
              <w:left w:w="15" w:type="dxa"/>
              <w:right w:w="15" w:type="dxa"/>
            </w:tcMar>
            <w:vAlign w:val="center"/>
          </w:tcPr>
          <w:p w14:paraId="5EAFF3DF" w14:textId="77777777" w:rsidR="005A1A44" w:rsidRDefault="0008059E">
            <w:pPr>
              <w:widowControl/>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color w:val="333333"/>
                <w:kern w:val="0"/>
                <w:sz w:val="21"/>
                <w:szCs w:val="21"/>
              </w:rPr>
              <w:t>37°09′27″</w:t>
            </w:r>
          </w:p>
        </w:tc>
        <w:tc>
          <w:tcPr>
            <w:tcW w:w="2455" w:type="dxa"/>
            <w:tcBorders>
              <w:top w:val="nil"/>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F2BAD0C" w14:textId="77777777" w:rsidR="005A1A44" w:rsidRDefault="0008059E">
            <w:pPr>
              <w:widowControl/>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color w:val="000000"/>
                <w:kern w:val="0"/>
                <w:sz w:val="21"/>
                <w:szCs w:val="21"/>
              </w:rPr>
              <w:t>买迪日斯博依村</w:t>
            </w:r>
          </w:p>
        </w:tc>
        <w:tc>
          <w:tcPr>
            <w:tcW w:w="1163" w:type="dxa"/>
            <w:vMerge/>
            <w:tcBorders>
              <w:left w:val="nil"/>
              <w:right w:val="single" w:sz="4" w:space="0" w:color="auto"/>
            </w:tcBorders>
            <w:shd w:val="clear" w:color="auto" w:fill="auto"/>
            <w:noWrap/>
            <w:tcMar>
              <w:top w:w="15" w:type="dxa"/>
              <w:left w:w="15" w:type="dxa"/>
              <w:right w:w="15" w:type="dxa"/>
            </w:tcMar>
            <w:vAlign w:val="center"/>
          </w:tcPr>
          <w:p w14:paraId="699A6293" w14:textId="77777777" w:rsidR="005A1A44" w:rsidRDefault="005A1A44">
            <w:pPr>
              <w:widowControl/>
              <w:spacing w:line="240" w:lineRule="auto"/>
              <w:ind w:firstLineChars="0" w:firstLine="0"/>
              <w:jc w:val="center"/>
              <w:textAlignment w:val="center"/>
              <w:rPr>
                <w:rFonts w:ascii="宋体" w:eastAsia="宋体" w:hAnsi="宋体" w:cs="宋体" w:hint="eastAsia"/>
                <w:color w:val="000000"/>
                <w:kern w:val="0"/>
                <w:sz w:val="21"/>
                <w:szCs w:val="21"/>
              </w:rPr>
            </w:pPr>
          </w:p>
        </w:tc>
        <w:tc>
          <w:tcPr>
            <w:tcW w:w="1163" w:type="dxa"/>
            <w:vMerge/>
            <w:tcBorders>
              <w:left w:val="nil"/>
              <w:right w:val="single" w:sz="4" w:space="0" w:color="auto"/>
            </w:tcBorders>
            <w:shd w:val="clear" w:color="auto" w:fill="auto"/>
            <w:noWrap/>
            <w:tcMar>
              <w:top w:w="15" w:type="dxa"/>
              <w:left w:w="15" w:type="dxa"/>
              <w:right w:w="15" w:type="dxa"/>
            </w:tcMar>
            <w:vAlign w:val="center"/>
          </w:tcPr>
          <w:p w14:paraId="62C48A9A" w14:textId="77777777" w:rsidR="005A1A44" w:rsidRDefault="005A1A44">
            <w:pPr>
              <w:widowControl/>
              <w:spacing w:line="240" w:lineRule="auto"/>
              <w:ind w:firstLineChars="0" w:firstLine="0"/>
              <w:jc w:val="center"/>
              <w:textAlignment w:val="center"/>
              <w:rPr>
                <w:rFonts w:ascii="宋体" w:eastAsia="宋体" w:hAnsi="宋体" w:cs="宋体" w:hint="eastAsia"/>
                <w:color w:val="000000"/>
                <w:kern w:val="0"/>
                <w:sz w:val="21"/>
                <w:szCs w:val="21"/>
              </w:rPr>
            </w:pPr>
          </w:p>
        </w:tc>
      </w:tr>
      <w:tr w:rsidR="005A1A44" w14:paraId="1ED10504" w14:textId="77777777">
        <w:trPr>
          <w:trHeight w:val="300"/>
        </w:trPr>
        <w:tc>
          <w:tcPr>
            <w:tcW w:w="1115" w:type="dxa"/>
            <w:tcBorders>
              <w:top w:val="nil"/>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8BAE223" w14:textId="77777777" w:rsidR="005A1A44" w:rsidRDefault="0008059E">
            <w:pPr>
              <w:widowControl/>
              <w:spacing w:line="240" w:lineRule="auto"/>
              <w:ind w:firstLineChars="0" w:firstLine="0"/>
              <w:jc w:val="center"/>
              <w:textAlignment w:val="center"/>
              <w:rPr>
                <w:rFonts w:ascii="宋体" w:eastAsia="宋体" w:hAnsi="宋体" w:cs="宋体" w:hint="eastAsia"/>
                <w:color w:val="333333"/>
                <w:kern w:val="0"/>
                <w:sz w:val="21"/>
                <w:szCs w:val="21"/>
              </w:rPr>
            </w:pPr>
            <w:r>
              <w:rPr>
                <w:rFonts w:ascii="宋体" w:eastAsia="宋体" w:hAnsi="宋体" w:cs="宋体" w:hint="eastAsia"/>
                <w:color w:val="333333"/>
                <w:kern w:val="0"/>
                <w:sz w:val="21"/>
                <w:szCs w:val="21"/>
              </w:rPr>
              <w:t>6</w:t>
            </w:r>
            <w:r>
              <w:rPr>
                <w:rFonts w:ascii="宋体" w:eastAsia="宋体" w:hAnsi="宋体" w:cs="宋体" w:hint="eastAsia"/>
                <w:color w:val="333333"/>
                <w:kern w:val="0"/>
                <w:sz w:val="21"/>
                <w:szCs w:val="21"/>
                <w:vertAlign w:val="superscript"/>
              </w:rPr>
              <w:t>#</w:t>
            </w:r>
          </w:p>
        </w:tc>
        <w:tc>
          <w:tcPr>
            <w:tcW w:w="1411" w:type="dxa"/>
            <w:tcBorders>
              <w:top w:val="nil"/>
              <w:left w:val="nil"/>
              <w:bottom w:val="single" w:sz="4" w:space="0" w:color="auto"/>
              <w:right w:val="single" w:sz="4" w:space="0" w:color="auto"/>
            </w:tcBorders>
            <w:shd w:val="clear" w:color="auto" w:fill="auto"/>
            <w:noWrap/>
            <w:tcMar>
              <w:top w:w="15" w:type="dxa"/>
              <w:left w:w="15" w:type="dxa"/>
              <w:right w:w="15" w:type="dxa"/>
            </w:tcMar>
            <w:vAlign w:val="center"/>
          </w:tcPr>
          <w:p w14:paraId="64824D60" w14:textId="77777777" w:rsidR="005A1A44" w:rsidRDefault="0008059E">
            <w:pPr>
              <w:widowControl/>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color w:val="333333"/>
                <w:kern w:val="0"/>
                <w:sz w:val="21"/>
                <w:szCs w:val="21"/>
              </w:rPr>
              <w:t>79°56′31″</w:t>
            </w:r>
          </w:p>
        </w:tc>
        <w:tc>
          <w:tcPr>
            <w:tcW w:w="1446" w:type="dxa"/>
            <w:tcBorders>
              <w:top w:val="nil"/>
              <w:left w:val="nil"/>
              <w:bottom w:val="single" w:sz="4" w:space="0" w:color="auto"/>
              <w:right w:val="single" w:sz="4" w:space="0" w:color="auto"/>
            </w:tcBorders>
            <w:shd w:val="clear" w:color="auto" w:fill="auto"/>
            <w:noWrap/>
            <w:tcMar>
              <w:top w:w="15" w:type="dxa"/>
              <w:left w:w="15" w:type="dxa"/>
              <w:right w:w="15" w:type="dxa"/>
            </w:tcMar>
            <w:vAlign w:val="center"/>
          </w:tcPr>
          <w:p w14:paraId="75DF54F5" w14:textId="77777777" w:rsidR="005A1A44" w:rsidRDefault="0008059E">
            <w:pPr>
              <w:widowControl/>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color w:val="333333"/>
                <w:kern w:val="0"/>
                <w:sz w:val="21"/>
                <w:szCs w:val="21"/>
              </w:rPr>
              <w:t>37°11′22″</w:t>
            </w:r>
          </w:p>
        </w:tc>
        <w:tc>
          <w:tcPr>
            <w:tcW w:w="2455" w:type="dxa"/>
            <w:tcBorders>
              <w:top w:val="nil"/>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3CB293A" w14:textId="77777777" w:rsidR="005A1A44" w:rsidRDefault="0008059E">
            <w:pPr>
              <w:widowControl/>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color w:val="000000"/>
                <w:kern w:val="0"/>
                <w:sz w:val="21"/>
                <w:szCs w:val="21"/>
              </w:rPr>
              <w:t>亚甫拉克村</w:t>
            </w:r>
          </w:p>
        </w:tc>
        <w:tc>
          <w:tcPr>
            <w:tcW w:w="1163" w:type="dxa"/>
            <w:vMerge/>
            <w:tcBorders>
              <w:left w:val="nil"/>
              <w:bottom w:val="single" w:sz="4" w:space="0" w:color="auto"/>
              <w:right w:val="single" w:sz="4" w:space="0" w:color="auto"/>
            </w:tcBorders>
            <w:shd w:val="clear" w:color="auto" w:fill="auto"/>
            <w:noWrap/>
            <w:tcMar>
              <w:top w:w="15" w:type="dxa"/>
              <w:left w:w="15" w:type="dxa"/>
              <w:right w:w="15" w:type="dxa"/>
            </w:tcMar>
            <w:vAlign w:val="center"/>
          </w:tcPr>
          <w:p w14:paraId="73F95109" w14:textId="77777777" w:rsidR="005A1A44" w:rsidRDefault="005A1A44">
            <w:pPr>
              <w:widowControl/>
              <w:spacing w:line="240" w:lineRule="auto"/>
              <w:ind w:firstLineChars="0" w:firstLine="0"/>
              <w:jc w:val="center"/>
              <w:textAlignment w:val="center"/>
              <w:rPr>
                <w:rFonts w:ascii="宋体" w:eastAsia="宋体" w:hAnsi="宋体" w:cs="宋体" w:hint="eastAsia"/>
                <w:color w:val="000000"/>
                <w:kern w:val="0"/>
                <w:sz w:val="21"/>
                <w:szCs w:val="21"/>
              </w:rPr>
            </w:pPr>
          </w:p>
        </w:tc>
        <w:tc>
          <w:tcPr>
            <w:tcW w:w="1163" w:type="dxa"/>
            <w:vMerge/>
            <w:tcBorders>
              <w:left w:val="nil"/>
              <w:bottom w:val="single" w:sz="4" w:space="0" w:color="auto"/>
              <w:right w:val="single" w:sz="4" w:space="0" w:color="auto"/>
            </w:tcBorders>
            <w:shd w:val="clear" w:color="auto" w:fill="auto"/>
            <w:noWrap/>
            <w:tcMar>
              <w:top w:w="15" w:type="dxa"/>
              <w:left w:w="15" w:type="dxa"/>
              <w:right w:w="15" w:type="dxa"/>
            </w:tcMar>
            <w:vAlign w:val="center"/>
          </w:tcPr>
          <w:p w14:paraId="3EA6C499" w14:textId="77777777" w:rsidR="005A1A44" w:rsidRDefault="005A1A44">
            <w:pPr>
              <w:widowControl/>
              <w:spacing w:line="240" w:lineRule="auto"/>
              <w:ind w:firstLineChars="0" w:firstLine="0"/>
              <w:jc w:val="center"/>
              <w:textAlignment w:val="center"/>
              <w:rPr>
                <w:rFonts w:ascii="宋体" w:eastAsia="宋体" w:hAnsi="宋体" w:cs="宋体" w:hint="eastAsia"/>
                <w:color w:val="000000"/>
                <w:kern w:val="0"/>
                <w:sz w:val="21"/>
                <w:szCs w:val="21"/>
              </w:rPr>
            </w:pPr>
          </w:p>
        </w:tc>
      </w:tr>
    </w:tbl>
    <w:p w14:paraId="53BA1F5A" w14:textId="77777777" w:rsidR="005A1A44" w:rsidRDefault="0008059E">
      <w:pPr>
        <w:tabs>
          <w:tab w:val="left" w:pos="3934"/>
        </w:tabs>
        <w:ind w:firstLine="480"/>
      </w:pPr>
      <w:r>
        <w:rPr>
          <w:rFonts w:hint="eastAsia"/>
        </w:rPr>
        <w:tab/>
      </w:r>
    </w:p>
    <w:p w14:paraId="2651A2AD" w14:textId="77777777" w:rsidR="005A1A44" w:rsidRDefault="0008059E">
      <w:pPr>
        <w:pStyle w:val="3"/>
        <w:numPr>
          <w:ilvl w:val="2"/>
          <w:numId w:val="2"/>
        </w:numPr>
      </w:pPr>
      <w:r>
        <w:rPr>
          <w:rFonts w:hint="eastAsia"/>
        </w:rPr>
        <w:t xml:space="preserve"> </w:t>
      </w:r>
      <w:r>
        <w:rPr>
          <w:rFonts w:hint="eastAsia"/>
        </w:rPr>
        <w:t>监测时段</w:t>
      </w:r>
    </w:p>
    <w:p w14:paraId="24DA9EAA" w14:textId="77777777" w:rsidR="005A1A44" w:rsidRDefault="0008059E">
      <w:pPr>
        <w:ind w:firstLine="480"/>
      </w:pPr>
      <w:r>
        <w:t>区域声环境背景值所设的监测点分昼夜监测</w:t>
      </w:r>
      <w:r>
        <w:t>15</w:t>
      </w:r>
      <w:r>
        <w:rPr>
          <w:rFonts w:hint="eastAsia"/>
        </w:rPr>
        <w:t>分钟</w:t>
      </w:r>
      <w:r>
        <w:t>Leq</w:t>
      </w:r>
      <w:r>
        <w:t>；监测日期：</w:t>
      </w:r>
      <w:r>
        <w:t>20</w:t>
      </w:r>
      <w:r>
        <w:rPr>
          <w:rFonts w:hint="eastAsia"/>
        </w:rPr>
        <w:t>19</w:t>
      </w:r>
      <w:r>
        <w:t>年</w:t>
      </w:r>
      <w:r>
        <w:rPr>
          <w:rFonts w:hint="eastAsia"/>
        </w:rPr>
        <w:t>4</w:t>
      </w:r>
      <w:r>
        <w:t>月</w:t>
      </w:r>
      <w:r>
        <w:rPr>
          <w:rFonts w:hint="eastAsia"/>
        </w:rPr>
        <w:t>27</w:t>
      </w:r>
      <w:r>
        <w:t>日</w:t>
      </w:r>
      <w:r>
        <w:rPr>
          <w:rFonts w:hint="eastAsia"/>
        </w:rPr>
        <w:t>-4</w:t>
      </w:r>
      <w:r>
        <w:rPr>
          <w:rFonts w:hint="eastAsia"/>
        </w:rPr>
        <w:t>月</w:t>
      </w:r>
      <w:r>
        <w:rPr>
          <w:rFonts w:hint="eastAsia"/>
        </w:rPr>
        <w:t>28</w:t>
      </w:r>
      <w:r>
        <w:rPr>
          <w:rFonts w:hint="eastAsia"/>
        </w:rPr>
        <w:t>日</w:t>
      </w:r>
      <w:r>
        <w:t>。</w:t>
      </w:r>
    </w:p>
    <w:p w14:paraId="7205B519" w14:textId="77777777" w:rsidR="005A1A44" w:rsidRDefault="0008059E">
      <w:pPr>
        <w:pStyle w:val="3"/>
        <w:numPr>
          <w:ilvl w:val="2"/>
          <w:numId w:val="2"/>
        </w:numPr>
      </w:pPr>
      <w:r>
        <w:rPr>
          <w:rFonts w:hint="eastAsia"/>
        </w:rPr>
        <w:t xml:space="preserve"> </w:t>
      </w:r>
      <w:r>
        <w:rPr>
          <w:rFonts w:hint="eastAsia"/>
        </w:rPr>
        <w:t>监测方法</w:t>
      </w:r>
    </w:p>
    <w:p w14:paraId="60017C03" w14:textId="77777777" w:rsidR="005A1A44" w:rsidRDefault="0008059E">
      <w:pPr>
        <w:ind w:firstLine="480"/>
      </w:pPr>
      <w:r>
        <w:t>按《声环境质量标准》</w:t>
      </w:r>
      <w:r>
        <w:rPr>
          <w:rFonts w:hint="eastAsia"/>
        </w:rPr>
        <w:t>（</w:t>
      </w:r>
      <w:r>
        <w:t>GB3096</w:t>
      </w:r>
      <w:r>
        <w:t>－</w:t>
      </w:r>
      <w:r>
        <w:t>2008</w:t>
      </w:r>
      <w:r>
        <w:rPr>
          <w:rFonts w:hint="eastAsia"/>
        </w:rPr>
        <w:t>）</w:t>
      </w:r>
      <w:r>
        <w:t>中附录中的监测方法进行，噪声监测使用</w:t>
      </w:r>
      <w:r>
        <w:rPr>
          <w:rFonts w:hint="eastAsia"/>
        </w:rPr>
        <w:t>声级计</w:t>
      </w:r>
      <w:r>
        <w:t>AWA5636</w:t>
      </w:r>
      <w:r>
        <w:rPr>
          <w:rFonts w:hint="eastAsia"/>
        </w:rPr>
        <w:t>型</w:t>
      </w:r>
      <w:r>
        <w:t>。</w:t>
      </w:r>
    </w:p>
    <w:p w14:paraId="33FF69B7" w14:textId="77777777" w:rsidR="005A1A44" w:rsidRDefault="0008059E">
      <w:pPr>
        <w:pStyle w:val="3"/>
        <w:numPr>
          <w:ilvl w:val="2"/>
          <w:numId w:val="2"/>
        </w:numPr>
      </w:pPr>
      <w:r>
        <w:rPr>
          <w:rFonts w:hint="eastAsia"/>
        </w:rPr>
        <w:t xml:space="preserve"> </w:t>
      </w:r>
      <w:r>
        <w:rPr>
          <w:rFonts w:hint="eastAsia"/>
        </w:rPr>
        <w:t>评价标准</w:t>
      </w:r>
    </w:p>
    <w:p w14:paraId="68875729" w14:textId="77777777" w:rsidR="005A1A44" w:rsidRDefault="0008059E">
      <w:pPr>
        <w:ind w:firstLine="480"/>
      </w:pPr>
      <w:r>
        <w:rPr>
          <w:rFonts w:hint="eastAsia"/>
        </w:rPr>
        <w:t>评价区执行</w:t>
      </w:r>
      <w:r>
        <w:t>《声环境质量标准》</w:t>
      </w:r>
      <w:r>
        <w:rPr>
          <w:rFonts w:hint="eastAsia"/>
        </w:rPr>
        <w:t>（</w:t>
      </w:r>
      <w:r>
        <w:t>GB3096</w:t>
      </w:r>
      <w:r>
        <w:t>－</w:t>
      </w:r>
      <w:r>
        <w:t>2008</w:t>
      </w:r>
      <w:r>
        <w:rPr>
          <w:rFonts w:hint="eastAsia"/>
        </w:rPr>
        <w:t>）中的</w:t>
      </w:r>
      <w:r>
        <w:rPr>
          <w:rFonts w:hint="eastAsia"/>
        </w:rPr>
        <w:t>2</w:t>
      </w:r>
      <w:r>
        <w:rPr>
          <w:rFonts w:hint="eastAsia"/>
        </w:rPr>
        <w:t>类标准限制。</w:t>
      </w:r>
    </w:p>
    <w:p w14:paraId="2B27BD40" w14:textId="77777777" w:rsidR="005A1A44" w:rsidRDefault="0008059E">
      <w:pPr>
        <w:pStyle w:val="3"/>
        <w:numPr>
          <w:ilvl w:val="2"/>
          <w:numId w:val="2"/>
        </w:numPr>
      </w:pPr>
      <w:r>
        <w:rPr>
          <w:rFonts w:hint="eastAsia"/>
        </w:rPr>
        <w:t xml:space="preserve"> </w:t>
      </w:r>
      <w:r>
        <w:t>监测结果评价</w:t>
      </w:r>
    </w:p>
    <w:p w14:paraId="2E9415AB" w14:textId="77777777" w:rsidR="005A1A44" w:rsidRDefault="0008059E">
      <w:pPr>
        <w:ind w:firstLine="480"/>
      </w:pPr>
      <w:r>
        <w:t>监测和评价结果见表</w:t>
      </w:r>
      <w:r>
        <w:rPr>
          <w:rFonts w:hint="eastAsia"/>
        </w:rPr>
        <w:t>4</w:t>
      </w:r>
      <w:r>
        <w:t>.</w:t>
      </w:r>
      <w:r>
        <w:rPr>
          <w:rFonts w:hint="eastAsia"/>
        </w:rPr>
        <w:t>5</w:t>
      </w:r>
      <w:r>
        <w:t>-2</w:t>
      </w:r>
      <w:r>
        <w:t>。</w:t>
      </w:r>
      <w:r>
        <w:rPr>
          <w:rFonts w:hint="eastAsia"/>
        </w:rPr>
        <w:t>除了和田市第一高级工学因位于主干道附近，其夜间噪声值超标外，其余监测点噪声值均达标。</w:t>
      </w:r>
    </w:p>
    <w:p w14:paraId="02101DA9" w14:textId="77777777" w:rsidR="005A1A44" w:rsidRDefault="005A1A44">
      <w:pPr>
        <w:ind w:firstLineChars="0" w:firstLine="0"/>
        <w:jc w:val="center"/>
        <w:rPr>
          <w:rFonts w:ascii="黑体" w:eastAsia="黑体" w:hAnsi="黑体" w:cs="黑体" w:hint="eastAsia"/>
          <w:bCs/>
        </w:rPr>
      </w:pPr>
    </w:p>
    <w:p w14:paraId="3F4E9C62" w14:textId="77777777" w:rsidR="005A1A44" w:rsidRDefault="005A1A44">
      <w:pPr>
        <w:ind w:firstLineChars="0" w:firstLine="0"/>
        <w:jc w:val="center"/>
        <w:rPr>
          <w:rFonts w:ascii="黑体" w:eastAsia="黑体" w:hAnsi="黑体" w:cs="黑体" w:hint="eastAsia"/>
          <w:bCs/>
        </w:rPr>
      </w:pPr>
    </w:p>
    <w:p w14:paraId="45D23A17" w14:textId="77777777" w:rsidR="005A1A44" w:rsidRDefault="005A1A44">
      <w:pPr>
        <w:ind w:firstLineChars="0" w:firstLine="0"/>
        <w:jc w:val="center"/>
        <w:rPr>
          <w:rFonts w:ascii="黑体" w:eastAsia="黑体" w:hAnsi="黑体" w:cs="黑体" w:hint="eastAsia"/>
          <w:bCs/>
        </w:rPr>
      </w:pPr>
    </w:p>
    <w:p w14:paraId="2D0B50B5" w14:textId="77777777" w:rsidR="005A1A44" w:rsidRDefault="0008059E">
      <w:pPr>
        <w:ind w:firstLineChars="0" w:firstLine="0"/>
        <w:jc w:val="center"/>
        <w:rPr>
          <w:rFonts w:ascii="黑体" w:eastAsia="黑体" w:hAnsi="黑体" w:cs="黑体" w:hint="eastAsia"/>
          <w:bCs/>
        </w:rPr>
      </w:pPr>
      <w:r>
        <w:rPr>
          <w:rFonts w:ascii="黑体" w:eastAsia="黑体" w:hAnsi="黑体" w:cs="黑体" w:hint="eastAsia"/>
          <w:bCs/>
        </w:rPr>
        <w:t>表4.5-2  环境噪声现状监测和评价结果单位：dB(A)</w:t>
      </w: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890"/>
        <w:gridCol w:w="1260"/>
        <w:gridCol w:w="1050"/>
        <w:gridCol w:w="1050"/>
        <w:gridCol w:w="840"/>
        <w:gridCol w:w="840"/>
        <w:gridCol w:w="808"/>
      </w:tblGrid>
      <w:tr w:rsidR="005A1A44" w14:paraId="0BDABF54" w14:textId="77777777">
        <w:trPr>
          <w:trHeight w:val="454"/>
          <w:jc w:val="center"/>
        </w:trPr>
        <w:tc>
          <w:tcPr>
            <w:tcW w:w="1189" w:type="dxa"/>
            <w:vMerge w:val="restart"/>
            <w:vAlign w:val="center"/>
          </w:tcPr>
          <w:p w14:paraId="26240D1E"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lastRenderedPageBreak/>
              <w:t>点位编号</w:t>
            </w:r>
          </w:p>
        </w:tc>
        <w:tc>
          <w:tcPr>
            <w:tcW w:w="1890" w:type="dxa"/>
            <w:vMerge w:val="restart"/>
            <w:vAlign w:val="center"/>
          </w:tcPr>
          <w:p w14:paraId="5017F7D0"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点位名称</w:t>
            </w:r>
          </w:p>
        </w:tc>
        <w:tc>
          <w:tcPr>
            <w:tcW w:w="2310" w:type="dxa"/>
            <w:gridSpan w:val="2"/>
            <w:vAlign w:val="center"/>
          </w:tcPr>
          <w:p w14:paraId="428ABE14"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监测结果</w:t>
            </w:r>
          </w:p>
        </w:tc>
        <w:tc>
          <w:tcPr>
            <w:tcW w:w="1890" w:type="dxa"/>
            <w:gridSpan w:val="2"/>
            <w:vAlign w:val="center"/>
          </w:tcPr>
          <w:p w14:paraId="5FAAE519"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执行标准</w:t>
            </w:r>
          </w:p>
        </w:tc>
        <w:tc>
          <w:tcPr>
            <w:tcW w:w="1648" w:type="dxa"/>
            <w:gridSpan w:val="2"/>
            <w:vAlign w:val="center"/>
          </w:tcPr>
          <w:p w14:paraId="3A23D623"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达标情况</w:t>
            </w:r>
          </w:p>
        </w:tc>
      </w:tr>
      <w:tr w:rsidR="005A1A44" w14:paraId="3BCDCCB6" w14:textId="77777777">
        <w:trPr>
          <w:trHeight w:val="454"/>
          <w:jc w:val="center"/>
        </w:trPr>
        <w:tc>
          <w:tcPr>
            <w:tcW w:w="1189" w:type="dxa"/>
            <w:vMerge/>
            <w:vAlign w:val="center"/>
          </w:tcPr>
          <w:p w14:paraId="61EABF59" w14:textId="77777777" w:rsidR="005A1A44" w:rsidRDefault="005A1A44">
            <w:pPr>
              <w:spacing w:line="240" w:lineRule="auto"/>
              <w:ind w:firstLineChars="0" w:firstLine="0"/>
              <w:jc w:val="center"/>
              <w:rPr>
                <w:rFonts w:ascii="宋体" w:eastAsia="宋体" w:hAnsi="宋体" w:cs="宋体" w:hint="eastAsia"/>
                <w:bCs/>
                <w:kern w:val="0"/>
                <w:sz w:val="21"/>
                <w:szCs w:val="21"/>
              </w:rPr>
            </w:pPr>
          </w:p>
        </w:tc>
        <w:tc>
          <w:tcPr>
            <w:tcW w:w="1890" w:type="dxa"/>
            <w:vMerge/>
            <w:vAlign w:val="center"/>
          </w:tcPr>
          <w:p w14:paraId="05BB9E44" w14:textId="77777777" w:rsidR="005A1A44" w:rsidRDefault="005A1A44">
            <w:pPr>
              <w:spacing w:line="240" w:lineRule="auto"/>
              <w:ind w:firstLineChars="0" w:firstLine="0"/>
              <w:jc w:val="center"/>
              <w:rPr>
                <w:rFonts w:ascii="宋体" w:eastAsia="宋体" w:hAnsi="宋体" w:cs="宋体" w:hint="eastAsia"/>
                <w:bCs/>
                <w:kern w:val="0"/>
                <w:sz w:val="21"/>
                <w:szCs w:val="21"/>
              </w:rPr>
            </w:pPr>
          </w:p>
        </w:tc>
        <w:tc>
          <w:tcPr>
            <w:tcW w:w="1260" w:type="dxa"/>
            <w:vAlign w:val="center"/>
          </w:tcPr>
          <w:p w14:paraId="09B33D85"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昼间</w:t>
            </w:r>
          </w:p>
        </w:tc>
        <w:tc>
          <w:tcPr>
            <w:tcW w:w="1050" w:type="dxa"/>
            <w:vAlign w:val="center"/>
          </w:tcPr>
          <w:p w14:paraId="3C4BCE3D"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夜间</w:t>
            </w:r>
          </w:p>
        </w:tc>
        <w:tc>
          <w:tcPr>
            <w:tcW w:w="1050" w:type="dxa"/>
            <w:vAlign w:val="center"/>
          </w:tcPr>
          <w:p w14:paraId="4333D978"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昼间</w:t>
            </w:r>
          </w:p>
        </w:tc>
        <w:tc>
          <w:tcPr>
            <w:tcW w:w="840" w:type="dxa"/>
            <w:vAlign w:val="center"/>
          </w:tcPr>
          <w:p w14:paraId="372AAC3B"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夜间</w:t>
            </w:r>
          </w:p>
        </w:tc>
        <w:tc>
          <w:tcPr>
            <w:tcW w:w="840" w:type="dxa"/>
            <w:vAlign w:val="center"/>
          </w:tcPr>
          <w:p w14:paraId="7B1E32E4"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昼间</w:t>
            </w:r>
          </w:p>
        </w:tc>
        <w:tc>
          <w:tcPr>
            <w:tcW w:w="808" w:type="dxa"/>
            <w:vAlign w:val="center"/>
          </w:tcPr>
          <w:p w14:paraId="50933E67"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夜间</w:t>
            </w:r>
          </w:p>
        </w:tc>
      </w:tr>
      <w:tr w:rsidR="005A1A44" w14:paraId="4FB2D605" w14:textId="77777777">
        <w:trPr>
          <w:trHeight w:val="454"/>
          <w:jc w:val="center"/>
        </w:trPr>
        <w:tc>
          <w:tcPr>
            <w:tcW w:w="1189" w:type="dxa"/>
            <w:vAlign w:val="center"/>
          </w:tcPr>
          <w:p w14:paraId="61332D0B"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1#</w:t>
            </w:r>
          </w:p>
        </w:tc>
        <w:tc>
          <w:tcPr>
            <w:tcW w:w="1890" w:type="dxa"/>
            <w:vAlign w:val="center"/>
          </w:tcPr>
          <w:p w14:paraId="0353F16A"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巴什比孜里村</w:t>
            </w:r>
          </w:p>
        </w:tc>
        <w:tc>
          <w:tcPr>
            <w:tcW w:w="1260" w:type="dxa"/>
            <w:vAlign w:val="center"/>
          </w:tcPr>
          <w:p w14:paraId="466130FF"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46.55</w:t>
            </w:r>
          </w:p>
        </w:tc>
        <w:tc>
          <w:tcPr>
            <w:tcW w:w="1050" w:type="dxa"/>
            <w:vAlign w:val="center"/>
          </w:tcPr>
          <w:p w14:paraId="19A1770A"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36.15</w:t>
            </w:r>
          </w:p>
        </w:tc>
        <w:tc>
          <w:tcPr>
            <w:tcW w:w="1050" w:type="dxa"/>
            <w:vAlign w:val="center"/>
          </w:tcPr>
          <w:p w14:paraId="6260814A"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60</w:t>
            </w:r>
          </w:p>
        </w:tc>
        <w:tc>
          <w:tcPr>
            <w:tcW w:w="840" w:type="dxa"/>
            <w:vAlign w:val="center"/>
          </w:tcPr>
          <w:p w14:paraId="2B4CD8BD"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50</w:t>
            </w:r>
          </w:p>
        </w:tc>
        <w:tc>
          <w:tcPr>
            <w:tcW w:w="840" w:type="dxa"/>
            <w:vAlign w:val="center"/>
          </w:tcPr>
          <w:p w14:paraId="3E2390DE"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达标</w:t>
            </w:r>
          </w:p>
        </w:tc>
        <w:tc>
          <w:tcPr>
            <w:tcW w:w="808" w:type="dxa"/>
            <w:vAlign w:val="center"/>
          </w:tcPr>
          <w:p w14:paraId="7579760D"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达标</w:t>
            </w:r>
          </w:p>
        </w:tc>
      </w:tr>
      <w:tr w:rsidR="005A1A44" w14:paraId="54294686" w14:textId="77777777">
        <w:trPr>
          <w:trHeight w:val="454"/>
          <w:jc w:val="center"/>
        </w:trPr>
        <w:tc>
          <w:tcPr>
            <w:tcW w:w="1189" w:type="dxa"/>
            <w:vAlign w:val="center"/>
          </w:tcPr>
          <w:p w14:paraId="1AC95D0E"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2#</w:t>
            </w:r>
          </w:p>
        </w:tc>
        <w:tc>
          <w:tcPr>
            <w:tcW w:w="1890" w:type="dxa"/>
            <w:vAlign w:val="center"/>
          </w:tcPr>
          <w:p w14:paraId="3A039064"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加木达村</w:t>
            </w:r>
          </w:p>
        </w:tc>
        <w:tc>
          <w:tcPr>
            <w:tcW w:w="1260" w:type="dxa"/>
            <w:vAlign w:val="center"/>
          </w:tcPr>
          <w:p w14:paraId="35C72FE9"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46.95</w:t>
            </w:r>
          </w:p>
        </w:tc>
        <w:tc>
          <w:tcPr>
            <w:tcW w:w="1050" w:type="dxa"/>
            <w:vAlign w:val="center"/>
          </w:tcPr>
          <w:p w14:paraId="3585C07B"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39.4</w:t>
            </w:r>
          </w:p>
        </w:tc>
        <w:tc>
          <w:tcPr>
            <w:tcW w:w="1050" w:type="dxa"/>
            <w:vAlign w:val="center"/>
          </w:tcPr>
          <w:p w14:paraId="6736096B"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60</w:t>
            </w:r>
          </w:p>
        </w:tc>
        <w:tc>
          <w:tcPr>
            <w:tcW w:w="840" w:type="dxa"/>
            <w:vAlign w:val="center"/>
          </w:tcPr>
          <w:p w14:paraId="1F144CCD"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50</w:t>
            </w:r>
          </w:p>
        </w:tc>
        <w:tc>
          <w:tcPr>
            <w:tcW w:w="840" w:type="dxa"/>
            <w:vAlign w:val="center"/>
          </w:tcPr>
          <w:p w14:paraId="68D322C5"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达标</w:t>
            </w:r>
          </w:p>
        </w:tc>
        <w:tc>
          <w:tcPr>
            <w:tcW w:w="808" w:type="dxa"/>
            <w:vAlign w:val="center"/>
          </w:tcPr>
          <w:p w14:paraId="06E9D8A8"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达标</w:t>
            </w:r>
          </w:p>
        </w:tc>
      </w:tr>
      <w:tr w:rsidR="005A1A44" w14:paraId="442873F2" w14:textId="77777777">
        <w:trPr>
          <w:trHeight w:val="454"/>
          <w:jc w:val="center"/>
        </w:trPr>
        <w:tc>
          <w:tcPr>
            <w:tcW w:w="1189" w:type="dxa"/>
            <w:vAlign w:val="center"/>
          </w:tcPr>
          <w:p w14:paraId="4E8363F0"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3#</w:t>
            </w:r>
          </w:p>
        </w:tc>
        <w:tc>
          <w:tcPr>
            <w:tcW w:w="1890" w:type="dxa"/>
            <w:vAlign w:val="center"/>
          </w:tcPr>
          <w:p w14:paraId="219DBF30"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纳格热其村</w:t>
            </w:r>
          </w:p>
        </w:tc>
        <w:tc>
          <w:tcPr>
            <w:tcW w:w="1260" w:type="dxa"/>
            <w:vAlign w:val="center"/>
          </w:tcPr>
          <w:p w14:paraId="3BBC557A"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44.45</w:t>
            </w:r>
          </w:p>
        </w:tc>
        <w:tc>
          <w:tcPr>
            <w:tcW w:w="1050" w:type="dxa"/>
            <w:vAlign w:val="center"/>
          </w:tcPr>
          <w:p w14:paraId="4327F646"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39.2</w:t>
            </w:r>
          </w:p>
        </w:tc>
        <w:tc>
          <w:tcPr>
            <w:tcW w:w="1050" w:type="dxa"/>
            <w:vAlign w:val="center"/>
          </w:tcPr>
          <w:p w14:paraId="6F1FA3CF"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60</w:t>
            </w:r>
          </w:p>
        </w:tc>
        <w:tc>
          <w:tcPr>
            <w:tcW w:w="840" w:type="dxa"/>
            <w:vAlign w:val="center"/>
          </w:tcPr>
          <w:p w14:paraId="2BDC27DF"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50</w:t>
            </w:r>
          </w:p>
        </w:tc>
        <w:tc>
          <w:tcPr>
            <w:tcW w:w="840" w:type="dxa"/>
            <w:vAlign w:val="center"/>
          </w:tcPr>
          <w:p w14:paraId="37F2709A"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达标</w:t>
            </w:r>
          </w:p>
        </w:tc>
        <w:tc>
          <w:tcPr>
            <w:tcW w:w="808" w:type="dxa"/>
            <w:vAlign w:val="center"/>
          </w:tcPr>
          <w:p w14:paraId="6AD68E92"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达标</w:t>
            </w:r>
          </w:p>
        </w:tc>
      </w:tr>
      <w:tr w:rsidR="005A1A44" w14:paraId="0FD361BD" w14:textId="77777777">
        <w:trPr>
          <w:trHeight w:val="454"/>
          <w:jc w:val="center"/>
        </w:trPr>
        <w:tc>
          <w:tcPr>
            <w:tcW w:w="1189" w:type="dxa"/>
            <w:vAlign w:val="center"/>
          </w:tcPr>
          <w:p w14:paraId="5EF4DCF5"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4#</w:t>
            </w:r>
          </w:p>
        </w:tc>
        <w:tc>
          <w:tcPr>
            <w:tcW w:w="1890" w:type="dxa"/>
            <w:vAlign w:val="center"/>
          </w:tcPr>
          <w:p w14:paraId="72CD9F3B"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和田市第一高级中学</w:t>
            </w:r>
          </w:p>
        </w:tc>
        <w:tc>
          <w:tcPr>
            <w:tcW w:w="1260" w:type="dxa"/>
            <w:vAlign w:val="center"/>
          </w:tcPr>
          <w:p w14:paraId="5562A0C7"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66.95</w:t>
            </w:r>
          </w:p>
        </w:tc>
        <w:tc>
          <w:tcPr>
            <w:tcW w:w="1050" w:type="dxa"/>
            <w:vAlign w:val="center"/>
          </w:tcPr>
          <w:p w14:paraId="43BEE65B"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62.45</w:t>
            </w:r>
          </w:p>
        </w:tc>
        <w:tc>
          <w:tcPr>
            <w:tcW w:w="1050" w:type="dxa"/>
            <w:vAlign w:val="center"/>
          </w:tcPr>
          <w:p w14:paraId="0D9818C3"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70</w:t>
            </w:r>
          </w:p>
        </w:tc>
        <w:tc>
          <w:tcPr>
            <w:tcW w:w="840" w:type="dxa"/>
            <w:vAlign w:val="center"/>
          </w:tcPr>
          <w:p w14:paraId="1EFAB34E"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55</w:t>
            </w:r>
          </w:p>
        </w:tc>
        <w:tc>
          <w:tcPr>
            <w:tcW w:w="840" w:type="dxa"/>
            <w:vAlign w:val="center"/>
          </w:tcPr>
          <w:p w14:paraId="12BD6F3C"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达标</w:t>
            </w:r>
          </w:p>
        </w:tc>
        <w:tc>
          <w:tcPr>
            <w:tcW w:w="808" w:type="dxa"/>
            <w:vAlign w:val="center"/>
          </w:tcPr>
          <w:p w14:paraId="0861179C"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超标</w:t>
            </w:r>
          </w:p>
        </w:tc>
      </w:tr>
      <w:tr w:rsidR="005A1A44" w14:paraId="7FA37078" w14:textId="77777777">
        <w:trPr>
          <w:trHeight w:val="454"/>
          <w:jc w:val="center"/>
        </w:trPr>
        <w:tc>
          <w:tcPr>
            <w:tcW w:w="1189" w:type="dxa"/>
            <w:vAlign w:val="center"/>
          </w:tcPr>
          <w:p w14:paraId="3B594DA0"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5#</w:t>
            </w:r>
          </w:p>
        </w:tc>
        <w:tc>
          <w:tcPr>
            <w:tcW w:w="1890" w:type="dxa"/>
            <w:vAlign w:val="center"/>
          </w:tcPr>
          <w:p w14:paraId="6C03D547"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买迪日斯博依村</w:t>
            </w:r>
          </w:p>
        </w:tc>
        <w:tc>
          <w:tcPr>
            <w:tcW w:w="1260" w:type="dxa"/>
            <w:vAlign w:val="center"/>
          </w:tcPr>
          <w:p w14:paraId="6A1A030B"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44.05</w:t>
            </w:r>
          </w:p>
        </w:tc>
        <w:tc>
          <w:tcPr>
            <w:tcW w:w="1050" w:type="dxa"/>
            <w:vAlign w:val="center"/>
          </w:tcPr>
          <w:p w14:paraId="02F3BFC0"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36.5</w:t>
            </w:r>
          </w:p>
        </w:tc>
        <w:tc>
          <w:tcPr>
            <w:tcW w:w="1050" w:type="dxa"/>
            <w:vAlign w:val="center"/>
          </w:tcPr>
          <w:p w14:paraId="5C0FDACD"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60</w:t>
            </w:r>
          </w:p>
        </w:tc>
        <w:tc>
          <w:tcPr>
            <w:tcW w:w="840" w:type="dxa"/>
            <w:vAlign w:val="center"/>
          </w:tcPr>
          <w:p w14:paraId="6749D133"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50</w:t>
            </w:r>
          </w:p>
        </w:tc>
        <w:tc>
          <w:tcPr>
            <w:tcW w:w="840" w:type="dxa"/>
            <w:vAlign w:val="center"/>
          </w:tcPr>
          <w:p w14:paraId="15EB837F"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达标</w:t>
            </w:r>
          </w:p>
        </w:tc>
        <w:tc>
          <w:tcPr>
            <w:tcW w:w="808" w:type="dxa"/>
            <w:vAlign w:val="center"/>
          </w:tcPr>
          <w:p w14:paraId="07205D2E"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达标</w:t>
            </w:r>
          </w:p>
        </w:tc>
      </w:tr>
      <w:tr w:rsidR="005A1A44" w14:paraId="75EFAB37" w14:textId="77777777">
        <w:trPr>
          <w:trHeight w:val="454"/>
          <w:jc w:val="center"/>
        </w:trPr>
        <w:tc>
          <w:tcPr>
            <w:tcW w:w="1189" w:type="dxa"/>
            <w:vAlign w:val="center"/>
          </w:tcPr>
          <w:p w14:paraId="3C1EA5BA"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6#</w:t>
            </w:r>
          </w:p>
        </w:tc>
        <w:tc>
          <w:tcPr>
            <w:tcW w:w="1890" w:type="dxa"/>
            <w:vAlign w:val="center"/>
          </w:tcPr>
          <w:p w14:paraId="7EC8AD67"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亚甫拉克村</w:t>
            </w:r>
          </w:p>
        </w:tc>
        <w:tc>
          <w:tcPr>
            <w:tcW w:w="1260" w:type="dxa"/>
            <w:vAlign w:val="center"/>
          </w:tcPr>
          <w:p w14:paraId="73B14AA4"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46.40</w:t>
            </w:r>
          </w:p>
        </w:tc>
        <w:tc>
          <w:tcPr>
            <w:tcW w:w="1050" w:type="dxa"/>
            <w:vAlign w:val="center"/>
          </w:tcPr>
          <w:p w14:paraId="73896A17"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36.45</w:t>
            </w:r>
          </w:p>
        </w:tc>
        <w:tc>
          <w:tcPr>
            <w:tcW w:w="1050" w:type="dxa"/>
            <w:vAlign w:val="center"/>
          </w:tcPr>
          <w:p w14:paraId="79B7DF93"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60</w:t>
            </w:r>
          </w:p>
        </w:tc>
        <w:tc>
          <w:tcPr>
            <w:tcW w:w="840" w:type="dxa"/>
            <w:vAlign w:val="center"/>
          </w:tcPr>
          <w:p w14:paraId="1E0907E9"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50</w:t>
            </w:r>
          </w:p>
        </w:tc>
        <w:tc>
          <w:tcPr>
            <w:tcW w:w="840" w:type="dxa"/>
            <w:vAlign w:val="center"/>
          </w:tcPr>
          <w:p w14:paraId="5B8132B6"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达标</w:t>
            </w:r>
          </w:p>
        </w:tc>
        <w:tc>
          <w:tcPr>
            <w:tcW w:w="808" w:type="dxa"/>
            <w:vAlign w:val="center"/>
          </w:tcPr>
          <w:p w14:paraId="06834B62" w14:textId="77777777" w:rsidR="005A1A44" w:rsidRDefault="0008059E">
            <w:pPr>
              <w:spacing w:line="240" w:lineRule="auto"/>
              <w:ind w:firstLineChars="0" w:firstLine="0"/>
              <w:jc w:val="center"/>
              <w:rPr>
                <w:rFonts w:ascii="宋体" w:eastAsia="宋体" w:hAnsi="宋体" w:cs="宋体" w:hint="eastAsia"/>
                <w:bCs/>
                <w:kern w:val="0"/>
                <w:sz w:val="21"/>
                <w:szCs w:val="21"/>
              </w:rPr>
            </w:pPr>
            <w:r>
              <w:rPr>
                <w:rFonts w:ascii="宋体" w:eastAsia="宋体" w:hAnsi="宋体" w:cs="宋体" w:hint="eastAsia"/>
                <w:bCs/>
                <w:kern w:val="0"/>
                <w:sz w:val="21"/>
                <w:szCs w:val="21"/>
              </w:rPr>
              <w:t>达标</w:t>
            </w:r>
          </w:p>
        </w:tc>
      </w:tr>
    </w:tbl>
    <w:p w14:paraId="06885B2A" w14:textId="77777777" w:rsidR="005A1A44" w:rsidRDefault="0008059E">
      <w:pPr>
        <w:pStyle w:val="2"/>
        <w:numPr>
          <w:ilvl w:val="1"/>
          <w:numId w:val="2"/>
        </w:numPr>
      </w:pPr>
      <w:bookmarkStart w:id="169" w:name="_Toc24749_WPSOffice_Level2"/>
      <w:r>
        <w:rPr>
          <w:rFonts w:hint="eastAsia"/>
        </w:rPr>
        <w:t xml:space="preserve"> </w:t>
      </w:r>
      <w:bookmarkStart w:id="170" w:name="_Toc12811_WPSOffice_Level2"/>
      <w:bookmarkStart w:id="171" w:name="_Toc21193_WPSOffice_Level2"/>
      <w:r>
        <w:rPr>
          <w:rFonts w:hint="eastAsia"/>
        </w:rPr>
        <w:t>生态现状调查与评价</w:t>
      </w:r>
      <w:bookmarkEnd w:id="169"/>
      <w:bookmarkEnd w:id="170"/>
      <w:bookmarkEnd w:id="171"/>
    </w:p>
    <w:p w14:paraId="381E093D" w14:textId="77777777" w:rsidR="005A1A44" w:rsidRDefault="0008059E">
      <w:pPr>
        <w:pStyle w:val="3"/>
        <w:numPr>
          <w:ilvl w:val="2"/>
          <w:numId w:val="2"/>
        </w:numPr>
      </w:pPr>
      <w:r>
        <w:rPr>
          <w:rFonts w:hint="eastAsia"/>
        </w:rPr>
        <w:t xml:space="preserve"> </w:t>
      </w:r>
      <w:r>
        <w:rPr>
          <w:rFonts w:hint="eastAsia"/>
        </w:rPr>
        <w:t>生态功能区划</w:t>
      </w:r>
    </w:p>
    <w:p w14:paraId="73553EBA" w14:textId="77777777" w:rsidR="005A1A44" w:rsidRDefault="0008059E">
      <w:pPr>
        <w:ind w:firstLine="480"/>
      </w:pPr>
      <w:r>
        <w:rPr>
          <w:rFonts w:hint="eastAsia"/>
        </w:rPr>
        <w:t>根据《新疆生态功能区划》，项目区位于Ⅳ塔里木盆地暖温荒漠及绿洲农业生态区</w:t>
      </w:r>
      <w:r>
        <w:rPr>
          <w:rFonts w:hint="eastAsia"/>
        </w:rPr>
        <w:t>-</w:t>
      </w:r>
      <w:r>
        <w:rPr>
          <w:rFonts w:hint="eastAsia"/>
        </w:rPr>
        <w:t>Ⅳ</w:t>
      </w:r>
      <w:r>
        <w:rPr>
          <w:rFonts w:hint="eastAsia"/>
        </w:rPr>
        <w:t>2</w:t>
      </w:r>
      <w:r>
        <w:rPr>
          <w:rFonts w:hint="eastAsia"/>
        </w:rPr>
        <w:t>塔里木盆地南部和东部沙漠、戈壁及绿洲农业生态亚区</w:t>
      </w:r>
      <w:r>
        <w:rPr>
          <w:rFonts w:hint="eastAsia"/>
        </w:rPr>
        <w:t>-62</w:t>
      </w:r>
      <w:r>
        <w:rPr>
          <w:rFonts w:hint="eastAsia"/>
        </w:rPr>
        <w:t>皮山—和田—民丰沙漠化敏感生态功能区。区内</w:t>
      </w:r>
      <w:r>
        <w:t>的</w:t>
      </w:r>
      <w:r>
        <w:rPr>
          <w:rFonts w:hint="eastAsia"/>
        </w:rPr>
        <w:t>主要生态服务功能、主要生态环境</w:t>
      </w:r>
      <w:r>
        <w:t>问题</w:t>
      </w:r>
      <w:r>
        <w:rPr>
          <w:rFonts w:hint="eastAsia"/>
        </w:rPr>
        <w:t>、保护目标、保护措施和</w:t>
      </w:r>
      <w:r>
        <w:t>发展</w:t>
      </w:r>
      <w:r>
        <w:rPr>
          <w:rFonts w:hint="eastAsia"/>
        </w:rPr>
        <w:t>方向等</w:t>
      </w:r>
      <w:r>
        <w:t>见</w:t>
      </w:r>
      <w:r>
        <w:rPr>
          <w:rFonts w:hint="eastAsia"/>
        </w:rPr>
        <w:t>表</w:t>
      </w:r>
      <w:r>
        <w:rPr>
          <w:rFonts w:hint="eastAsia"/>
        </w:rPr>
        <w:t>4.6-1</w:t>
      </w:r>
      <w:r>
        <w:t>。</w:t>
      </w:r>
    </w:p>
    <w:p w14:paraId="2854500C" w14:textId="77777777" w:rsidR="005A1A44" w:rsidRDefault="0008059E">
      <w:pPr>
        <w:autoSpaceDE w:val="0"/>
        <w:autoSpaceDN w:val="0"/>
        <w:adjustRightInd w:val="0"/>
        <w:ind w:firstLineChars="0" w:firstLine="0"/>
        <w:jc w:val="center"/>
        <w:rPr>
          <w:rFonts w:ascii="黑体" w:eastAsia="黑体" w:hAnsi="黑体" w:hint="eastAsia"/>
          <w:color w:val="000000"/>
        </w:rPr>
      </w:pPr>
      <w:r>
        <w:rPr>
          <w:rFonts w:ascii="黑体" w:eastAsia="黑体" w:hAnsi="黑体"/>
          <w:color w:val="000000"/>
        </w:rPr>
        <w:t>表</w:t>
      </w:r>
      <w:r>
        <w:rPr>
          <w:rFonts w:ascii="黑体" w:eastAsia="黑体" w:hAnsi="黑体" w:hint="eastAsia"/>
          <w:color w:val="000000"/>
        </w:rPr>
        <w:t>4.6</w:t>
      </w:r>
      <w:r>
        <w:rPr>
          <w:rFonts w:ascii="黑体" w:eastAsia="黑体" w:hAnsi="黑体"/>
          <w:color w:val="000000"/>
        </w:rPr>
        <w:t>-1     生态功能区划简表</w:t>
      </w:r>
    </w:p>
    <w:tbl>
      <w:tblPr>
        <w:tblW w:w="832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2"/>
        <w:gridCol w:w="784"/>
        <w:gridCol w:w="1014"/>
        <w:gridCol w:w="686"/>
        <w:gridCol w:w="882"/>
        <w:gridCol w:w="880"/>
        <w:gridCol w:w="880"/>
        <w:gridCol w:w="880"/>
        <w:gridCol w:w="880"/>
        <w:gridCol w:w="844"/>
      </w:tblGrid>
      <w:tr w:rsidR="005A1A44" w14:paraId="4C648906" w14:textId="77777777">
        <w:trPr>
          <w:cantSplit/>
          <w:trHeight w:val="165"/>
        </w:trPr>
        <w:tc>
          <w:tcPr>
            <w:tcW w:w="239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58F942E" w14:textId="77777777" w:rsidR="005A1A44" w:rsidRDefault="0008059E">
            <w:pPr>
              <w:spacing w:line="240" w:lineRule="auto"/>
              <w:ind w:firstLineChars="0" w:firstLine="0"/>
              <w:jc w:val="center"/>
              <w:rPr>
                <w:color w:val="000000"/>
                <w:sz w:val="18"/>
                <w:szCs w:val="18"/>
              </w:rPr>
            </w:pPr>
            <w:r>
              <w:rPr>
                <w:color w:val="000000"/>
                <w:sz w:val="18"/>
                <w:szCs w:val="18"/>
              </w:rPr>
              <w:t>生态功能分区单元</w:t>
            </w:r>
          </w:p>
        </w:tc>
        <w:tc>
          <w:tcPr>
            <w:tcW w:w="686" w:type="dxa"/>
            <w:vMerge w:val="restart"/>
            <w:tcBorders>
              <w:top w:val="single" w:sz="4" w:space="0" w:color="auto"/>
              <w:left w:val="nil"/>
              <w:bottom w:val="single" w:sz="4" w:space="0" w:color="auto"/>
              <w:right w:val="single" w:sz="4" w:space="0" w:color="auto"/>
            </w:tcBorders>
            <w:shd w:val="clear" w:color="auto" w:fill="D9D9D9"/>
            <w:vAlign w:val="center"/>
          </w:tcPr>
          <w:p w14:paraId="30348EEA" w14:textId="77777777" w:rsidR="005A1A44" w:rsidRDefault="0008059E">
            <w:pPr>
              <w:spacing w:line="240" w:lineRule="auto"/>
              <w:ind w:firstLineChars="0" w:firstLine="0"/>
              <w:jc w:val="center"/>
              <w:rPr>
                <w:color w:val="000000"/>
                <w:sz w:val="18"/>
                <w:szCs w:val="18"/>
              </w:rPr>
            </w:pPr>
            <w:r>
              <w:rPr>
                <w:color w:val="000000"/>
                <w:sz w:val="18"/>
                <w:szCs w:val="18"/>
              </w:rPr>
              <w:t>隶属行政区</w:t>
            </w:r>
          </w:p>
        </w:tc>
        <w:tc>
          <w:tcPr>
            <w:tcW w:w="882" w:type="dxa"/>
            <w:vMerge w:val="restart"/>
            <w:tcBorders>
              <w:top w:val="single" w:sz="4" w:space="0" w:color="auto"/>
              <w:left w:val="nil"/>
              <w:bottom w:val="single" w:sz="4" w:space="0" w:color="auto"/>
              <w:right w:val="single" w:sz="4" w:space="0" w:color="auto"/>
            </w:tcBorders>
            <w:shd w:val="clear" w:color="auto" w:fill="D9D9D9"/>
            <w:vAlign w:val="center"/>
          </w:tcPr>
          <w:p w14:paraId="6B5B778E" w14:textId="77777777" w:rsidR="005A1A44" w:rsidRDefault="0008059E">
            <w:pPr>
              <w:spacing w:line="240" w:lineRule="auto"/>
              <w:ind w:firstLineChars="0" w:firstLine="0"/>
              <w:jc w:val="center"/>
              <w:rPr>
                <w:color w:val="000000"/>
                <w:sz w:val="18"/>
                <w:szCs w:val="18"/>
              </w:rPr>
            </w:pPr>
            <w:r>
              <w:rPr>
                <w:color w:val="000000"/>
                <w:sz w:val="18"/>
                <w:szCs w:val="18"/>
              </w:rPr>
              <w:t>主要生态服务功能</w:t>
            </w:r>
          </w:p>
        </w:tc>
        <w:tc>
          <w:tcPr>
            <w:tcW w:w="880" w:type="dxa"/>
            <w:vMerge w:val="restart"/>
            <w:tcBorders>
              <w:top w:val="single" w:sz="4" w:space="0" w:color="auto"/>
              <w:left w:val="nil"/>
              <w:bottom w:val="single" w:sz="4" w:space="0" w:color="auto"/>
              <w:right w:val="single" w:sz="4" w:space="0" w:color="auto"/>
            </w:tcBorders>
            <w:shd w:val="clear" w:color="auto" w:fill="D9D9D9"/>
            <w:vAlign w:val="center"/>
          </w:tcPr>
          <w:p w14:paraId="2F06668B" w14:textId="77777777" w:rsidR="005A1A44" w:rsidRDefault="0008059E">
            <w:pPr>
              <w:spacing w:line="240" w:lineRule="auto"/>
              <w:ind w:firstLineChars="0" w:firstLine="0"/>
              <w:jc w:val="center"/>
              <w:rPr>
                <w:color w:val="000000"/>
                <w:sz w:val="18"/>
                <w:szCs w:val="18"/>
              </w:rPr>
            </w:pPr>
            <w:r>
              <w:rPr>
                <w:color w:val="000000"/>
                <w:sz w:val="18"/>
                <w:szCs w:val="18"/>
              </w:rPr>
              <w:t>主要生态环境问题</w:t>
            </w:r>
          </w:p>
        </w:tc>
        <w:tc>
          <w:tcPr>
            <w:tcW w:w="880" w:type="dxa"/>
            <w:vMerge w:val="restart"/>
            <w:tcBorders>
              <w:top w:val="single" w:sz="4" w:space="0" w:color="auto"/>
              <w:left w:val="nil"/>
              <w:bottom w:val="single" w:sz="4" w:space="0" w:color="auto"/>
              <w:right w:val="single" w:sz="4" w:space="0" w:color="auto"/>
            </w:tcBorders>
            <w:shd w:val="clear" w:color="auto" w:fill="D9D9D9"/>
            <w:vAlign w:val="center"/>
          </w:tcPr>
          <w:p w14:paraId="2398A1F6" w14:textId="77777777" w:rsidR="005A1A44" w:rsidRDefault="0008059E">
            <w:pPr>
              <w:spacing w:line="240" w:lineRule="auto"/>
              <w:ind w:firstLineChars="0" w:firstLine="0"/>
              <w:jc w:val="center"/>
              <w:rPr>
                <w:color w:val="000000"/>
                <w:sz w:val="18"/>
                <w:szCs w:val="18"/>
              </w:rPr>
            </w:pPr>
            <w:r>
              <w:rPr>
                <w:color w:val="000000"/>
                <w:sz w:val="18"/>
                <w:szCs w:val="18"/>
              </w:rPr>
              <w:t>生态敏感因子敏感程度</w:t>
            </w:r>
          </w:p>
        </w:tc>
        <w:tc>
          <w:tcPr>
            <w:tcW w:w="880" w:type="dxa"/>
            <w:vMerge w:val="restart"/>
            <w:tcBorders>
              <w:top w:val="single" w:sz="4" w:space="0" w:color="auto"/>
              <w:left w:val="nil"/>
              <w:bottom w:val="single" w:sz="4" w:space="0" w:color="auto"/>
              <w:right w:val="single" w:sz="4" w:space="0" w:color="auto"/>
            </w:tcBorders>
            <w:shd w:val="clear" w:color="auto" w:fill="D9D9D9"/>
            <w:vAlign w:val="center"/>
          </w:tcPr>
          <w:p w14:paraId="318A2E70" w14:textId="77777777" w:rsidR="005A1A44" w:rsidRDefault="0008059E">
            <w:pPr>
              <w:spacing w:line="240" w:lineRule="auto"/>
              <w:ind w:firstLineChars="0" w:firstLine="0"/>
              <w:jc w:val="center"/>
              <w:rPr>
                <w:color w:val="000000"/>
                <w:sz w:val="18"/>
                <w:szCs w:val="18"/>
              </w:rPr>
            </w:pPr>
            <w:r>
              <w:rPr>
                <w:color w:val="000000"/>
                <w:sz w:val="18"/>
                <w:szCs w:val="18"/>
              </w:rPr>
              <w:t>保护目标</w:t>
            </w:r>
          </w:p>
        </w:tc>
        <w:tc>
          <w:tcPr>
            <w:tcW w:w="880" w:type="dxa"/>
            <w:vMerge w:val="restart"/>
            <w:tcBorders>
              <w:top w:val="single" w:sz="4" w:space="0" w:color="auto"/>
              <w:left w:val="nil"/>
              <w:bottom w:val="single" w:sz="4" w:space="0" w:color="auto"/>
              <w:right w:val="single" w:sz="4" w:space="0" w:color="auto"/>
            </w:tcBorders>
            <w:shd w:val="clear" w:color="auto" w:fill="D9D9D9"/>
            <w:vAlign w:val="center"/>
          </w:tcPr>
          <w:p w14:paraId="1D2450E3" w14:textId="77777777" w:rsidR="005A1A44" w:rsidRDefault="0008059E">
            <w:pPr>
              <w:spacing w:line="240" w:lineRule="auto"/>
              <w:ind w:firstLineChars="0" w:firstLine="0"/>
              <w:jc w:val="center"/>
              <w:rPr>
                <w:color w:val="000000"/>
                <w:sz w:val="18"/>
                <w:szCs w:val="18"/>
              </w:rPr>
            </w:pPr>
            <w:r>
              <w:rPr>
                <w:color w:val="000000"/>
                <w:sz w:val="18"/>
                <w:szCs w:val="18"/>
              </w:rPr>
              <w:t>保护措施</w:t>
            </w:r>
          </w:p>
        </w:tc>
        <w:tc>
          <w:tcPr>
            <w:tcW w:w="844" w:type="dxa"/>
            <w:vMerge w:val="restart"/>
            <w:tcBorders>
              <w:top w:val="single" w:sz="4" w:space="0" w:color="auto"/>
              <w:left w:val="nil"/>
              <w:bottom w:val="single" w:sz="4" w:space="0" w:color="auto"/>
              <w:right w:val="single" w:sz="4" w:space="0" w:color="auto"/>
            </w:tcBorders>
            <w:shd w:val="clear" w:color="auto" w:fill="D9D9D9"/>
            <w:vAlign w:val="center"/>
          </w:tcPr>
          <w:p w14:paraId="153FD1E9" w14:textId="77777777" w:rsidR="005A1A44" w:rsidRDefault="0008059E">
            <w:pPr>
              <w:spacing w:line="240" w:lineRule="auto"/>
              <w:ind w:firstLineChars="0" w:firstLine="0"/>
              <w:jc w:val="center"/>
              <w:rPr>
                <w:color w:val="000000"/>
                <w:sz w:val="18"/>
                <w:szCs w:val="18"/>
              </w:rPr>
            </w:pPr>
            <w:r>
              <w:rPr>
                <w:color w:val="000000"/>
                <w:sz w:val="18"/>
                <w:szCs w:val="18"/>
              </w:rPr>
              <w:t>发展方向</w:t>
            </w:r>
          </w:p>
        </w:tc>
      </w:tr>
      <w:tr w:rsidR="005A1A44" w14:paraId="2B973E51" w14:textId="77777777">
        <w:trPr>
          <w:cantSplit/>
          <w:trHeight w:val="135"/>
        </w:trPr>
        <w:tc>
          <w:tcPr>
            <w:tcW w:w="592" w:type="dxa"/>
            <w:tcBorders>
              <w:top w:val="single" w:sz="4" w:space="0" w:color="auto"/>
              <w:left w:val="single" w:sz="4" w:space="0" w:color="auto"/>
              <w:bottom w:val="single" w:sz="4" w:space="0" w:color="auto"/>
              <w:right w:val="single" w:sz="4" w:space="0" w:color="auto"/>
            </w:tcBorders>
            <w:shd w:val="clear" w:color="auto" w:fill="D9D9D9"/>
            <w:vAlign w:val="center"/>
          </w:tcPr>
          <w:p w14:paraId="47E9798E" w14:textId="77777777" w:rsidR="005A1A44" w:rsidRDefault="0008059E">
            <w:pPr>
              <w:spacing w:line="240" w:lineRule="auto"/>
              <w:ind w:firstLineChars="0" w:firstLine="0"/>
              <w:jc w:val="center"/>
              <w:rPr>
                <w:color w:val="000000"/>
                <w:sz w:val="18"/>
                <w:szCs w:val="18"/>
              </w:rPr>
            </w:pPr>
            <w:r>
              <w:rPr>
                <w:color w:val="000000"/>
                <w:sz w:val="18"/>
                <w:szCs w:val="18"/>
              </w:rPr>
              <w:t>生态区</w:t>
            </w:r>
          </w:p>
        </w:tc>
        <w:tc>
          <w:tcPr>
            <w:tcW w:w="784" w:type="dxa"/>
            <w:tcBorders>
              <w:top w:val="single" w:sz="4" w:space="0" w:color="auto"/>
              <w:left w:val="nil"/>
              <w:bottom w:val="single" w:sz="4" w:space="0" w:color="auto"/>
              <w:right w:val="single" w:sz="4" w:space="0" w:color="auto"/>
            </w:tcBorders>
            <w:shd w:val="clear" w:color="auto" w:fill="D9D9D9"/>
            <w:vAlign w:val="center"/>
          </w:tcPr>
          <w:p w14:paraId="62E91646" w14:textId="77777777" w:rsidR="005A1A44" w:rsidRDefault="0008059E">
            <w:pPr>
              <w:spacing w:line="240" w:lineRule="auto"/>
              <w:ind w:firstLineChars="0" w:firstLine="0"/>
              <w:jc w:val="center"/>
              <w:rPr>
                <w:color w:val="000000"/>
                <w:sz w:val="18"/>
                <w:szCs w:val="18"/>
              </w:rPr>
            </w:pPr>
            <w:r>
              <w:rPr>
                <w:color w:val="000000"/>
                <w:sz w:val="18"/>
                <w:szCs w:val="18"/>
              </w:rPr>
              <w:t>生态亚区</w:t>
            </w:r>
          </w:p>
        </w:tc>
        <w:tc>
          <w:tcPr>
            <w:tcW w:w="1014" w:type="dxa"/>
            <w:tcBorders>
              <w:top w:val="single" w:sz="4" w:space="0" w:color="auto"/>
              <w:left w:val="nil"/>
              <w:bottom w:val="single" w:sz="4" w:space="0" w:color="auto"/>
              <w:right w:val="single" w:sz="4" w:space="0" w:color="auto"/>
            </w:tcBorders>
            <w:shd w:val="clear" w:color="auto" w:fill="D9D9D9"/>
            <w:vAlign w:val="center"/>
          </w:tcPr>
          <w:p w14:paraId="23086588" w14:textId="77777777" w:rsidR="005A1A44" w:rsidRDefault="0008059E">
            <w:pPr>
              <w:spacing w:line="240" w:lineRule="auto"/>
              <w:ind w:firstLineChars="0" w:firstLine="0"/>
              <w:jc w:val="center"/>
              <w:rPr>
                <w:color w:val="000000"/>
                <w:sz w:val="18"/>
                <w:szCs w:val="18"/>
              </w:rPr>
            </w:pPr>
            <w:r>
              <w:rPr>
                <w:color w:val="000000"/>
                <w:sz w:val="18"/>
                <w:szCs w:val="18"/>
              </w:rPr>
              <w:t>生态功能区</w:t>
            </w:r>
          </w:p>
        </w:tc>
        <w:tc>
          <w:tcPr>
            <w:tcW w:w="686" w:type="dxa"/>
            <w:vMerge/>
            <w:tcBorders>
              <w:top w:val="single" w:sz="4" w:space="0" w:color="auto"/>
              <w:left w:val="nil"/>
              <w:bottom w:val="single" w:sz="4" w:space="0" w:color="auto"/>
              <w:right w:val="single" w:sz="4" w:space="0" w:color="auto"/>
            </w:tcBorders>
            <w:vAlign w:val="center"/>
          </w:tcPr>
          <w:p w14:paraId="142BCDAD" w14:textId="77777777" w:rsidR="005A1A44" w:rsidRDefault="005A1A44">
            <w:pPr>
              <w:widowControl/>
              <w:spacing w:line="240" w:lineRule="auto"/>
              <w:ind w:firstLineChars="0" w:firstLine="0"/>
              <w:jc w:val="left"/>
              <w:rPr>
                <w:color w:val="000000"/>
                <w:sz w:val="18"/>
                <w:szCs w:val="18"/>
              </w:rPr>
            </w:pPr>
          </w:p>
        </w:tc>
        <w:tc>
          <w:tcPr>
            <w:tcW w:w="882" w:type="dxa"/>
            <w:vMerge/>
            <w:tcBorders>
              <w:top w:val="single" w:sz="4" w:space="0" w:color="auto"/>
              <w:left w:val="nil"/>
              <w:bottom w:val="single" w:sz="4" w:space="0" w:color="auto"/>
              <w:right w:val="single" w:sz="4" w:space="0" w:color="auto"/>
            </w:tcBorders>
            <w:vAlign w:val="center"/>
          </w:tcPr>
          <w:p w14:paraId="6F7E3352" w14:textId="77777777" w:rsidR="005A1A44" w:rsidRDefault="005A1A44">
            <w:pPr>
              <w:widowControl/>
              <w:spacing w:line="240" w:lineRule="auto"/>
              <w:ind w:firstLineChars="0" w:firstLine="0"/>
              <w:jc w:val="left"/>
              <w:rPr>
                <w:color w:val="000000"/>
                <w:sz w:val="18"/>
                <w:szCs w:val="18"/>
              </w:rPr>
            </w:pPr>
          </w:p>
        </w:tc>
        <w:tc>
          <w:tcPr>
            <w:tcW w:w="880" w:type="dxa"/>
            <w:vMerge/>
            <w:tcBorders>
              <w:top w:val="single" w:sz="4" w:space="0" w:color="auto"/>
              <w:left w:val="nil"/>
              <w:bottom w:val="single" w:sz="4" w:space="0" w:color="auto"/>
              <w:right w:val="single" w:sz="4" w:space="0" w:color="auto"/>
            </w:tcBorders>
            <w:vAlign w:val="center"/>
          </w:tcPr>
          <w:p w14:paraId="5783C9F2" w14:textId="77777777" w:rsidR="005A1A44" w:rsidRDefault="005A1A44">
            <w:pPr>
              <w:widowControl/>
              <w:spacing w:line="240" w:lineRule="auto"/>
              <w:ind w:firstLineChars="0" w:firstLine="0"/>
              <w:jc w:val="left"/>
              <w:rPr>
                <w:color w:val="000000"/>
                <w:sz w:val="18"/>
                <w:szCs w:val="18"/>
              </w:rPr>
            </w:pPr>
          </w:p>
        </w:tc>
        <w:tc>
          <w:tcPr>
            <w:tcW w:w="880" w:type="dxa"/>
            <w:vMerge/>
            <w:tcBorders>
              <w:top w:val="single" w:sz="4" w:space="0" w:color="auto"/>
              <w:left w:val="nil"/>
              <w:bottom w:val="single" w:sz="4" w:space="0" w:color="auto"/>
              <w:right w:val="single" w:sz="4" w:space="0" w:color="auto"/>
            </w:tcBorders>
            <w:vAlign w:val="center"/>
          </w:tcPr>
          <w:p w14:paraId="75E73E2D" w14:textId="77777777" w:rsidR="005A1A44" w:rsidRDefault="005A1A44">
            <w:pPr>
              <w:widowControl/>
              <w:spacing w:line="240" w:lineRule="auto"/>
              <w:ind w:firstLineChars="0" w:firstLine="0"/>
              <w:jc w:val="left"/>
              <w:rPr>
                <w:color w:val="000000"/>
                <w:sz w:val="18"/>
                <w:szCs w:val="18"/>
              </w:rPr>
            </w:pPr>
          </w:p>
        </w:tc>
        <w:tc>
          <w:tcPr>
            <w:tcW w:w="880" w:type="dxa"/>
            <w:vMerge/>
            <w:tcBorders>
              <w:top w:val="single" w:sz="4" w:space="0" w:color="auto"/>
              <w:left w:val="nil"/>
              <w:bottom w:val="single" w:sz="4" w:space="0" w:color="auto"/>
              <w:right w:val="single" w:sz="4" w:space="0" w:color="auto"/>
            </w:tcBorders>
            <w:vAlign w:val="center"/>
          </w:tcPr>
          <w:p w14:paraId="43492874" w14:textId="77777777" w:rsidR="005A1A44" w:rsidRDefault="005A1A44">
            <w:pPr>
              <w:widowControl/>
              <w:spacing w:line="240" w:lineRule="auto"/>
              <w:ind w:firstLineChars="0" w:firstLine="0"/>
              <w:jc w:val="left"/>
              <w:rPr>
                <w:color w:val="000000"/>
                <w:sz w:val="18"/>
                <w:szCs w:val="18"/>
              </w:rPr>
            </w:pPr>
          </w:p>
        </w:tc>
        <w:tc>
          <w:tcPr>
            <w:tcW w:w="880" w:type="dxa"/>
            <w:vMerge/>
            <w:tcBorders>
              <w:top w:val="single" w:sz="4" w:space="0" w:color="auto"/>
              <w:left w:val="nil"/>
              <w:bottom w:val="single" w:sz="4" w:space="0" w:color="auto"/>
              <w:right w:val="single" w:sz="4" w:space="0" w:color="auto"/>
            </w:tcBorders>
            <w:vAlign w:val="center"/>
          </w:tcPr>
          <w:p w14:paraId="68A1B764" w14:textId="77777777" w:rsidR="005A1A44" w:rsidRDefault="005A1A44">
            <w:pPr>
              <w:widowControl/>
              <w:spacing w:line="240" w:lineRule="auto"/>
              <w:ind w:firstLineChars="0" w:firstLine="0"/>
              <w:jc w:val="left"/>
              <w:rPr>
                <w:color w:val="000000"/>
                <w:sz w:val="18"/>
                <w:szCs w:val="18"/>
              </w:rPr>
            </w:pPr>
          </w:p>
        </w:tc>
        <w:tc>
          <w:tcPr>
            <w:tcW w:w="844" w:type="dxa"/>
            <w:vMerge/>
            <w:tcBorders>
              <w:top w:val="single" w:sz="4" w:space="0" w:color="auto"/>
              <w:left w:val="nil"/>
              <w:bottom w:val="single" w:sz="4" w:space="0" w:color="auto"/>
              <w:right w:val="single" w:sz="4" w:space="0" w:color="auto"/>
            </w:tcBorders>
            <w:vAlign w:val="center"/>
          </w:tcPr>
          <w:p w14:paraId="1F055B96" w14:textId="77777777" w:rsidR="005A1A44" w:rsidRDefault="005A1A44">
            <w:pPr>
              <w:widowControl/>
              <w:spacing w:line="240" w:lineRule="auto"/>
              <w:ind w:firstLineChars="0" w:firstLine="0"/>
              <w:jc w:val="left"/>
              <w:rPr>
                <w:color w:val="000000"/>
                <w:sz w:val="18"/>
                <w:szCs w:val="18"/>
              </w:rPr>
            </w:pPr>
          </w:p>
        </w:tc>
      </w:tr>
      <w:tr w:rsidR="005A1A44" w14:paraId="4C98FB5B" w14:textId="77777777">
        <w:trPr>
          <w:cantSplit/>
        </w:trPr>
        <w:tc>
          <w:tcPr>
            <w:tcW w:w="592" w:type="dxa"/>
            <w:tcBorders>
              <w:top w:val="single" w:sz="4" w:space="0" w:color="auto"/>
              <w:left w:val="single" w:sz="4" w:space="0" w:color="auto"/>
              <w:bottom w:val="single" w:sz="4" w:space="0" w:color="auto"/>
              <w:right w:val="single" w:sz="4" w:space="0" w:color="auto"/>
            </w:tcBorders>
            <w:vAlign w:val="center"/>
          </w:tcPr>
          <w:p w14:paraId="643E8570" w14:textId="77777777" w:rsidR="005A1A44" w:rsidRDefault="0008059E">
            <w:pPr>
              <w:spacing w:line="240" w:lineRule="auto"/>
              <w:ind w:firstLineChars="0" w:firstLine="0"/>
              <w:jc w:val="center"/>
              <w:rPr>
                <w:color w:val="000000"/>
                <w:sz w:val="18"/>
                <w:szCs w:val="18"/>
              </w:rPr>
            </w:pPr>
            <w:r>
              <w:rPr>
                <w:rFonts w:hint="eastAsia"/>
                <w:color w:val="000000"/>
                <w:sz w:val="18"/>
                <w:szCs w:val="18"/>
              </w:rPr>
              <w:t>Ⅳ塔里木盆地暖温荒漠及绿洲农业生态区</w:t>
            </w:r>
          </w:p>
        </w:tc>
        <w:tc>
          <w:tcPr>
            <w:tcW w:w="784" w:type="dxa"/>
            <w:tcBorders>
              <w:top w:val="single" w:sz="4" w:space="0" w:color="auto"/>
              <w:left w:val="nil"/>
              <w:bottom w:val="single" w:sz="4" w:space="0" w:color="auto"/>
              <w:right w:val="single" w:sz="4" w:space="0" w:color="auto"/>
            </w:tcBorders>
            <w:vAlign w:val="center"/>
          </w:tcPr>
          <w:p w14:paraId="4D91F5A0" w14:textId="77777777" w:rsidR="005A1A44" w:rsidRDefault="0008059E">
            <w:pPr>
              <w:spacing w:line="240" w:lineRule="auto"/>
              <w:ind w:firstLineChars="0" w:firstLine="0"/>
              <w:jc w:val="center"/>
              <w:rPr>
                <w:color w:val="000000"/>
                <w:sz w:val="18"/>
                <w:szCs w:val="18"/>
              </w:rPr>
            </w:pPr>
            <w:r>
              <w:rPr>
                <w:rFonts w:hint="eastAsia"/>
                <w:color w:val="000000"/>
                <w:sz w:val="18"/>
                <w:szCs w:val="18"/>
              </w:rPr>
              <w:t>Ⅳ</w:t>
            </w:r>
            <w:r>
              <w:rPr>
                <w:rFonts w:hint="eastAsia"/>
                <w:color w:val="000000"/>
                <w:sz w:val="18"/>
                <w:szCs w:val="18"/>
              </w:rPr>
              <w:t>2</w:t>
            </w:r>
            <w:r>
              <w:rPr>
                <w:rFonts w:hint="eastAsia"/>
                <w:color w:val="000000"/>
                <w:sz w:val="18"/>
                <w:szCs w:val="18"/>
              </w:rPr>
              <w:t>塔里木盆地南部和东部沙漠、戈壁及绿洲农业生态亚区</w:t>
            </w:r>
          </w:p>
        </w:tc>
        <w:tc>
          <w:tcPr>
            <w:tcW w:w="1014" w:type="dxa"/>
            <w:tcBorders>
              <w:top w:val="single" w:sz="4" w:space="0" w:color="auto"/>
              <w:left w:val="nil"/>
              <w:bottom w:val="single" w:sz="4" w:space="0" w:color="auto"/>
              <w:right w:val="single" w:sz="4" w:space="0" w:color="auto"/>
            </w:tcBorders>
            <w:vAlign w:val="center"/>
          </w:tcPr>
          <w:p w14:paraId="7388D017" w14:textId="77777777" w:rsidR="005A1A44" w:rsidRDefault="0008059E">
            <w:pPr>
              <w:spacing w:line="240" w:lineRule="auto"/>
              <w:ind w:firstLineChars="0" w:firstLine="0"/>
              <w:jc w:val="center"/>
              <w:rPr>
                <w:color w:val="000000"/>
                <w:sz w:val="18"/>
                <w:szCs w:val="18"/>
              </w:rPr>
            </w:pPr>
            <w:r>
              <w:rPr>
                <w:rFonts w:hint="eastAsia"/>
                <w:color w:val="000000"/>
                <w:sz w:val="18"/>
                <w:szCs w:val="18"/>
              </w:rPr>
              <w:t>62</w:t>
            </w:r>
            <w:r>
              <w:rPr>
                <w:rFonts w:hint="eastAsia"/>
                <w:color w:val="000000"/>
                <w:sz w:val="18"/>
                <w:szCs w:val="18"/>
              </w:rPr>
              <w:t>皮山—和田—民丰沙漠化敏感生态功能区</w:t>
            </w:r>
          </w:p>
        </w:tc>
        <w:tc>
          <w:tcPr>
            <w:tcW w:w="686" w:type="dxa"/>
            <w:tcBorders>
              <w:top w:val="single" w:sz="4" w:space="0" w:color="auto"/>
              <w:left w:val="nil"/>
              <w:bottom w:val="single" w:sz="4" w:space="0" w:color="auto"/>
              <w:right w:val="single" w:sz="4" w:space="0" w:color="auto"/>
            </w:tcBorders>
            <w:vAlign w:val="center"/>
          </w:tcPr>
          <w:p w14:paraId="62A401CF" w14:textId="77777777" w:rsidR="005A1A44" w:rsidRDefault="005A1A44">
            <w:pPr>
              <w:spacing w:line="240" w:lineRule="auto"/>
              <w:ind w:firstLineChars="0" w:firstLine="0"/>
              <w:jc w:val="center"/>
              <w:rPr>
                <w:color w:val="000000"/>
                <w:sz w:val="18"/>
                <w:szCs w:val="18"/>
              </w:rPr>
            </w:pPr>
          </w:p>
        </w:tc>
        <w:tc>
          <w:tcPr>
            <w:tcW w:w="882" w:type="dxa"/>
            <w:tcBorders>
              <w:top w:val="single" w:sz="4" w:space="0" w:color="auto"/>
              <w:left w:val="nil"/>
              <w:bottom w:val="single" w:sz="4" w:space="0" w:color="auto"/>
              <w:right w:val="single" w:sz="4" w:space="0" w:color="auto"/>
            </w:tcBorders>
            <w:vAlign w:val="center"/>
          </w:tcPr>
          <w:p w14:paraId="48E63AFD" w14:textId="77777777" w:rsidR="005A1A44" w:rsidRDefault="0008059E">
            <w:pPr>
              <w:spacing w:line="240" w:lineRule="auto"/>
              <w:ind w:firstLineChars="0" w:firstLine="0"/>
              <w:jc w:val="center"/>
              <w:rPr>
                <w:color w:val="000000"/>
                <w:sz w:val="18"/>
                <w:szCs w:val="18"/>
              </w:rPr>
            </w:pPr>
            <w:r>
              <w:rPr>
                <w:rFonts w:hint="eastAsia"/>
                <w:color w:val="000000"/>
                <w:sz w:val="18"/>
                <w:szCs w:val="18"/>
              </w:rPr>
              <w:t>农产品生产、沙漠化控制、土壤保持</w:t>
            </w:r>
          </w:p>
        </w:tc>
        <w:tc>
          <w:tcPr>
            <w:tcW w:w="880" w:type="dxa"/>
            <w:tcBorders>
              <w:top w:val="single" w:sz="4" w:space="0" w:color="auto"/>
              <w:left w:val="nil"/>
              <w:bottom w:val="single" w:sz="4" w:space="0" w:color="auto"/>
              <w:right w:val="single" w:sz="4" w:space="0" w:color="auto"/>
            </w:tcBorders>
            <w:vAlign w:val="center"/>
          </w:tcPr>
          <w:p w14:paraId="4371DF1E" w14:textId="77777777" w:rsidR="005A1A44" w:rsidRDefault="0008059E">
            <w:pPr>
              <w:spacing w:line="240" w:lineRule="auto"/>
              <w:ind w:firstLineChars="0" w:firstLine="0"/>
              <w:jc w:val="center"/>
              <w:rPr>
                <w:color w:val="000000"/>
                <w:sz w:val="18"/>
                <w:szCs w:val="18"/>
              </w:rPr>
            </w:pPr>
            <w:r>
              <w:rPr>
                <w:rFonts w:hint="eastAsia"/>
                <w:color w:val="000000"/>
                <w:sz w:val="18"/>
                <w:szCs w:val="18"/>
              </w:rPr>
              <w:t>沙漠化威胁、风沙危害、土壤质量下降和土壤盐渍化、能源短缺、荒漠植被破坏、浮尘和沙尘暴天气多</w:t>
            </w:r>
          </w:p>
        </w:tc>
        <w:tc>
          <w:tcPr>
            <w:tcW w:w="880" w:type="dxa"/>
            <w:tcBorders>
              <w:top w:val="single" w:sz="4" w:space="0" w:color="auto"/>
              <w:left w:val="nil"/>
              <w:bottom w:val="single" w:sz="4" w:space="0" w:color="auto"/>
              <w:right w:val="single" w:sz="4" w:space="0" w:color="auto"/>
            </w:tcBorders>
            <w:vAlign w:val="center"/>
          </w:tcPr>
          <w:p w14:paraId="02894843" w14:textId="77777777" w:rsidR="005A1A44" w:rsidRDefault="0008059E">
            <w:pPr>
              <w:spacing w:line="240" w:lineRule="auto"/>
              <w:ind w:firstLineChars="0" w:firstLine="0"/>
              <w:rPr>
                <w:color w:val="000000"/>
                <w:sz w:val="18"/>
                <w:szCs w:val="18"/>
              </w:rPr>
            </w:pPr>
            <w:r>
              <w:rPr>
                <w:rFonts w:hint="eastAsia"/>
                <w:color w:val="000000"/>
                <w:sz w:val="18"/>
                <w:szCs w:val="18"/>
              </w:rPr>
              <w:t>土壤侵蚀轻度敏感、土地沙漠化轻度敏感、土壤盐渍化轻度敏感</w:t>
            </w:r>
          </w:p>
        </w:tc>
        <w:tc>
          <w:tcPr>
            <w:tcW w:w="880" w:type="dxa"/>
            <w:tcBorders>
              <w:top w:val="single" w:sz="4" w:space="0" w:color="auto"/>
              <w:left w:val="nil"/>
              <w:bottom w:val="single" w:sz="4" w:space="0" w:color="auto"/>
              <w:right w:val="single" w:sz="4" w:space="0" w:color="auto"/>
            </w:tcBorders>
            <w:vAlign w:val="center"/>
          </w:tcPr>
          <w:p w14:paraId="67A5D4F4" w14:textId="77777777" w:rsidR="005A1A44" w:rsidRDefault="0008059E">
            <w:pPr>
              <w:spacing w:line="240" w:lineRule="auto"/>
              <w:ind w:firstLineChars="0" w:firstLine="0"/>
              <w:rPr>
                <w:color w:val="000000"/>
                <w:sz w:val="18"/>
                <w:szCs w:val="18"/>
              </w:rPr>
            </w:pPr>
            <w:r>
              <w:rPr>
                <w:rFonts w:hint="eastAsia"/>
                <w:color w:val="000000"/>
                <w:sz w:val="18"/>
                <w:szCs w:val="18"/>
              </w:rPr>
              <w:t>保护绿洲农田、保护荒漠植被、保护荒漠河岸林、保护饮用水源</w:t>
            </w:r>
          </w:p>
        </w:tc>
        <w:tc>
          <w:tcPr>
            <w:tcW w:w="880" w:type="dxa"/>
            <w:tcBorders>
              <w:top w:val="single" w:sz="4" w:space="0" w:color="auto"/>
              <w:left w:val="nil"/>
              <w:bottom w:val="single" w:sz="4" w:space="0" w:color="auto"/>
              <w:right w:val="single" w:sz="4" w:space="0" w:color="auto"/>
            </w:tcBorders>
            <w:vAlign w:val="center"/>
          </w:tcPr>
          <w:p w14:paraId="5FE791B2" w14:textId="77777777" w:rsidR="005A1A44" w:rsidRDefault="005A1A44">
            <w:pPr>
              <w:spacing w:line="240" w:lineRule="auto"/>
              <w:ind w:firstLineChars="0" w:firstLine="0"/>
              <w:rPr>
                <w:color w:val="000000"/>
                <w:sz w:val="18"/>
                <w:szCs w:val="18"/>
              </w:rPr>
            </w:pPr>
          </w:p>
        </w:tc>
        <w:tc>
          <w:tcPr>
            <w:tcW w:w="844" w:type="dxa"/>
            <w:tcBorders>
              <w:top w:val="single" w:sz="4" w:space="0" w:color="auto"/>
              <w:left w:val="nil"/>
              <w:bottom w:val="single" w:sz="4" w:space="0" w:color="auto"/>
              <w:right w:val="single" w:sz="4" w:space="0" w:color="auto"/>
            </w:tcBorders>
            <w:vAlign w:val="center"/>
          </w:tcPr>
          <w:p w14:paraId="51CD5093" w14:textId="77777777" w:rsidR="005A1A44" w:rsidRDefault="005A1A44">
            <w:pPr>
              <w:spacing w:line="240" w:lineRule="auto"/>
              <w:ind w:firstLineChars="0" w:firstLine="0"/>
              <w:rPr>
                <w:color w:val="000000"/>
                <w:sz w:val="18"/>
                <w:szCs w:val="18"/>
              </w:rPr>
            </w:pPr>
          </w:p>
        </w:tc>
      </w:tr>
    </w:tbl>
    <w:p w14:paraId="23EFB7BD" w14:textId="77777777" w:rsidR="005A1A44" w:rsidRDefault="005A1A44">
      <w:pPr>
        <w:ind w:firstLine="480"/>
      </w:pPr>
    </w:p>
    <w:p w14:paraId="3E6893CB" w14:textId="77777777" w:rsidR="005A1A44" w:rsidRDefault="0008059E">
      <w:pPr>
        <w:pStyle w:val="3"/>
        <w:numPr>
          <w:ilvl w:val="2"/>
          <w:numId w:val="2"/>
        </w:numPr>
      </w:pPr>
      <w:r>
        <w:rPr>
          <w:rFonts w:hint="eastAsia"/>
        </w:rPr>
        <w:lastRenderedPageBreak/>
        <w:t xml:space="preserve"> </w:t>
      </w:r>
      <w:r>
        <w:rPr>
          <w:rFonts w:hint="eastAsia"/>
        </w:rPr>
        <w:t>项目区土地利用情况</w:t>
      </w:r>
    </w:p>
    <w:p w14:paraId="4CFAAD2F" w14:textId="77777777" w:rsidR="005A1A44" w:rsidRDefault="0008059E">
      <w:pPr>
        <w:ind w:firstLine="480"/>
      </w:pPr>
      <w:r>
        <w:rPr>
          <w:rFonts w:hint="eastAsia"/>
        </w:rPr>
        <w:t>项目区总范围</w:t>
      </w:r>
      <w:r>
        <w:rPr>
          <w:rFonts w:hint="eastAsia"/>
        </w:rPr>
        <w:t>2540.750hm</w:t>
      </w:r>
      <w:r>
        <w:rPr>
          <w:rFonts w:hint="eastAsia"/>
          <w:vertAlign w:val="superscript"/>
        </w:rPr>
        <w:t>2</w:t>
      </w:r>
      <w:r>
        <w:rPr>
          <w:rFonts w:hint="eastAsia"/>
        </w:rPr>
        <w:t>，其中以内陆滩涂、沙地、裸地为主的未利用为主，面积</w:t>
      </w:r>
      <w:r>
        <w:rPr>
          <w:rFonts w:hint="eastAsia"/>
        </w:rPr>
        <w:t>1855.80hm</w:t>
      </w:r>
      <w:r>
        <w:rPr>
          <w:rFonts w:hint="eastAsia"/>
          <w:vertAlign w:val="superscript"/>
        </w:rPr>
        <w:t>2</w:t>
      </w:r>
      <w:r>
        <w:rPr>
          <w:rFonts w:hint="eastAsia"/>
        </w:rPr>
        <w:t>，占比</w:t>
      </w:r>
      <w:r>
        <w:rPr>
          <w:rFonts w:hint="eastAsia"/>
        </w:rPr>
        <w:t>75.72%</w:t>
      </w:r>
      <w:r>
        <w:rPr>
          <w:rFonts w:hint="eastAsia"/>
        </w:rPr>
        <w:t>；其次为水域，面积</w:t>
      </w:r>
      <w:r>
        <w:rPr>
          <w:rFonts w:hint="eastAsia"/>
        </w:rPr>
        <w:t>280.70hm</w:t>
      </w:r>
      <w:r>
        <w:rPr>
          <w:rFonts w:hint="eastAsia"/>
          <w:vertAlign w:val="superscript"/>
        </w:rPr>
        <w:t>2</w:t>
      </w:r>
      <w:r>
        <w:rPr>
          <w:rFonts w:hint="eastAsia"/>
        </w:rPr>
        <w:t>；城乡居民用地</w:t>
      </w:r>
      <w:r>
        <w:rPr>
          <w:rFonts w:hint="eastAsia"/>
        </w:rPr>
        <w:t>153.51hm</w:t>
      </w:r>
      <w:r>
        <w:rPr>
          <w:rFonts w:hint="eastAsia"/>
          <w:vertAlign w:val="superscript"/>
        </w:rPr>
        <w:t>2</w:t>
      </w:r>
      <w:r>
        <w:rPr>
          <w:rFonts w:hint="eastAsia"/>
        </w:rPr>
        <w:t>，占比</w:t>
      </w:r>
      <w:r>
        <w:rPr>
          <w:rFonts w:hint="eastAsia"/>
        </w:rPr>
        <w:t>6.26%</w:t>
      </w:r>
      <w:r>
        <w:rPr>
          <w:rFonts w:hint="eastAsia"/>
        </w:rPr>
        <w:t>；林草地面积</w:t>
      </w:r>
      <w:r>
        <w:rPr>
          <w:rFonts w:hint="eastAsia"/>
        </w:rPr>
        <w:t>93.57hm</w:t>
      </w:r>
      <w:r>
        <w:rPr>
          <w:rFonts w:hint="eastAsia"/>
          <w:vertAlign w:val="superscript"/>
        </w:rPr>
        <w:t>2</w:t>
      </w:r>
      <w:r>
        <w:rPr>
          <w:rFonts w:hint="eastAsia"/>
        </w:rPr>
        <w:t>，占比为</w:t>
      </w:r>
      <w:r>
        <w:rPr>
          <w:rFonts w:hint="eastAsia"/>
        </w:rPr>
        <w:t>3.83%</w:t>
      </w:r>
      <w:r>
        <w:rPr>
          <w:rFonts w:hint="eastAsia"/>
        </w:rPr>
        <w:t>；另外还有部分农用地</w:t>
      </w:r>
      <w:r>
        <w:rPr>
          <w:rFonts w:hint="eastAsia"/>
        </w:rPr>
        <w:t>42.72hm</w:t>
      </w:r>
      <w:r>
        <w:rPr>
          <w:rFonts w:hint="eastAsia"/>
          <w:vertAlign w:val="superscript"/>
        </w:rPr>
        <w:t>2</w:t>
      </w:r>
      <w:r>
        <w:rPr>
          <w:rFonts w:hint="eastAsia"/>
        </w:rPr>
        <w:t>，占比</w:t>
      </w:r>
      <w:r>
        <w:rPr>
          <w:rFonts w:hint="eastAsia"/>
        </w:rPr>
        <w:t>1.91%</w:t>
      </w:r>
      <w:r>
        <w:rPr>
          <w:rFonts w:hint="eastAsia"/>
        </w:rPr>
        <w:t>，耕地占比</w:t>
      </w:r>
      <w:r>
        <w:rPr>
          <w:rFonts w:hint="eastAsia"/>
        </w:rPr>
        <w:t>5.68%</w:t>
      </w:r>
      <w:r>
        <w:rPr>
          <w:rFonts w:hint="eastAsia"/>
        </w:rPr>
        <w:t>，不是基本农田。其中规划建设绿地景观面积</w:t>
      </w:r>
      <w:r>
        <w:rPr>
          <w:rFonts w:hint="eastAsia"/>
        </w:rPr>
        <w:t>667.241hm</w:t>
      </w:r>
      <w:r>
        <w:rPr>
          <w:rFonts w:hint="eastAsia"/>
          <w:vertAlign w:val="superscript"/>
        </w:rPr>
        <w:t>2</w:t>
      </w:r>
      <w:r>
        <w:rPr>
          <w:rFonts w:hint="eastAsia"/>
        </w:rPr>
        <w:t>，道路面积</w:t>
      </w:r>
      <w:r>
        <w:rPr>
          <w:rFonts w:hint="eastAsia"/>
        </w:rPr>
        <w:t>17.615hm</w:t>
      </w:r>
      <w:r>
        <w:rPr>
          <w:rFonts w:hint="eastAsia"/>
          <w:vertAlign w:val="superscript"/>
        </w:rPr>
        <w:t>2</w:t>
      </w:r>
      <w:r>
        <w:rPr>
          <w:rFonts w:hint="eastAsia"/>
        </w:rPr>
        <w:t>，相当于增加</w:t>
      </w:r>
      <w:r>
        <w:rPr>
          <w:rFonts w:hint="eastAsia"/>
        </w:rPr>
        <w:t>499.95t</w:t>
      </w:r>
      <w:r>
        <w:rPr>
          <w:rFonts w:hint="eastAsia"/>
        </w:rPr>
        <w:t>的生物量，项目占地较为合理。</w:t>
      </w:r>
    </w:p>
    <w:p w14:paraId="47D2C721" w14:textId="77777777" w:rsidR="005A1A44" w:rsidRDefault="0008059E">
      <w:pPr>
        <w:tabs>
          <w:tab w:val="left" w:pos="3354"/>
        </w:tabs>
        <w:ind w:firstLineChars="0" w:firstLine="0"/>
        <w:jc w:val="left"/>
        <w:rPr>
          <w:rFonts w:ascii="黑体" w:eastAsia="黑体" w:hAnsi="黑体" w:hint="eastAsia"/>
          <w:color w:val="000000"/>
        </w:rPr>
      </w:pPr>
      <w:r>
        <w:rPr>
          <w:rFonts w:ascii="黑体" w:eastAsia="黑体" w:hAnsi="黑体" w:hint="eastAsia"/>
          <w:color w:val="000000"/>
        </w:rPr>
        <w:tab/>
      </w:r>
      <w:r>
        <w:rPr>
          <w:rFonts w:ascii="黑体" w:eastAsia="黑体" w:hAnsi="黑体"/>
          <w:color w:val="000000"/>
        </w:rPr>
        <w:t>表</w:t>
      </w:r>
      <w:r>
        <w:rPr>
          <w:rFonts w:ascii="黑体" w:eastAsia="黑体" w:hAnsi="黑体" w:hint="eastAsia"/>
          <w:color w:val="000000"/>
        </w:rPr>
        <w:t>4.6</w:t>
      </w:r>
      <w:r>
        <w:rPr>
          <w:rFonts w:ascii="黑体" w:eastAsia="黑体" w:hAnsi="黑体"/>
          <w:color w:val="000000"/>
        </w:rPr>
        <w:t>-</w:t>
      </w:r>
      <w:r>
        <w:rPr>
          <w:rFonts w:ascii="黑体" w:eastAsia="黑体" w:hAnsi="黑体" w:hint="eastAsia"/>
          <w:color w:val="000000"/>
        </w:rPr>
        <w:t>2  项目区土地利用现状</w:t>
      </w:r>
    </w:p>
    <w:tbl>
      <w:tblPr>
        <w:tblW w:w="8756" w:type="dxa"/>
        <w:tblLayout w:type="fixed"/>
        <w:tblCellMar>
          <w:left w:w="0" w:type="dxa"/>
          <w:right w:w="0" w:type="dxa"/>
        </w:tblCellMar>
        <w:tblLook w:val="04A0" w:firstRow="1" w:lastRow="0" w:firstColumn="1" w:lastColumn="0" w:noHBand="0" w:noVBand="1"/>
      </w:tblPr>
      <w:tblGrid>
        <w:gridCol w:w="1178"/>
        <w:gridCol w:w="2546"/>
        <w:gridCol w:w="2516"/>
        <w:gridCol w:w="2516"/>
      </w:tblGrid>
      <w:tr w:rsidR="005A1A44" w14:paraId="671BC447"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C2E1BC5" w14:textId="77777777" w:rsidR="005A1A44" w:rsidRDefault="0008059E">
            <w:pPr>
              <w:widowControl/>
              <w:spacing w:line="240" w:lineRule="auto"/>
              <w:ind w:firstLineChars="0" w:firstLine="0"/>
              <w:jc w:val="center"/>
              <w:rPr>
                <w:rFonts w:ascii="宋体" w:eastAsia="宋体" w:hAnsi="宋体" w:cs="宋体" w:hint="eastAsia"/>
                <w:b/>
                <w:bCs/>
                <w:color w:val="000000"/>
                <w:sz w:val="21"/>
                <w:szCs w:val="21"/>
              </w:rPr>
            </w:pPr>
            <w:r>
              <w:rPr>
                <w:rFonts w:ascii="宋体" w:eastAsia="宋体" w:hAnsi="宋体" w:cs="宋体" w:hint="eastAsia"/>
                <w:b/>
                <w:bCs/>
                <w:color w:val="000000"/>
                <w:sz w:val="21"/>
                <w:szCs w:val="21"/>
              </w:rPr>
              <w:t>序号</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C4C28" w14:textId="77777777" w:rsidR="005A1A44" w:rsidRDefault="0008059E">
            <w:pPr>
              <w:widowControl/>
              <w:spacing w:line="240" w:lineRule="auto"/>
              <w:ind w:firstLineChars="0" w:firstLine="0"/>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kern w:val="0"/>
                <w:sz w:val="21"/>
                <w:szCs w:val="21"/>
              </w:rPr>
              <w:t>类型</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24A1C" w14:textId="77777777" w:rsidR="005A1A44" w:rsidRDefault="0008059E">
            <w:pPr>
              <w:widowControl/>
              <w:spacing w:line="240" w:lineRule="auto"/>
              <w:ind w:firstLineChars="0" w:firstLine="0"/>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kern w:val="0"/>
                <w:sz w:val="21"/>
                <w:szCs w:val="21"/>
              </w:rPr>
              <w:t>面积（hm</w:t>
            </w:r>
            <w:r>
              <w:rPr>
                <w:rFonts w:ascii="宋体" w:eastAsia="宋体" w:hAnsi="宋体" w:cs="宋体" w:hint="eastAsia"/>
                <w:b/>
                <w:bCs/>
                <w:color w:val="000000"/>
                <w:kern w:val="0"/>
                <w:sz w:val="21"/>
                <w:szCs w:val="21"/>
                <w:vertAlign w:val="superscript"/>
              </w:rPr>
              <w:t>2</w:t>
            </w:r>
            <w:r>
              <w:rPr>
                <w:rFonts w:ascii="宋体" w:eastAsia="宋体" w:hAnsi="宋体" w:cs="宋体" w:hint="eastAsia"/>
                <w:b/>
                <w:bCs/>
                <w:color w:val="000000"/>
                <w:kern w:val="0"/>
                <w:sz w:val="21"/>
                <w:szCs w:val="21"/>
              </w:rPr>
              <w:t>）</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1FB1F" w14:textId="77777777" w:rsidR="005A1A44" w:rsidRDefault="0008059E">
            <w:pPr>
              <w:widowControl/>
              <w:spacing w:line="240" w:lineRule="auto"/>
              <w:ind w:firstLineChars="0" w:firstLine="0"/>
              <w:jc w:val="center"/>
              <w:textAlignment w:val="center"/>
              <w:rPr>
                <w:rFonts w:ascii="宋体" w:eastAsia="宋体" w:hAnsi="宋体" w:cs="宋体" w:hint="eastAsia"/>
                <w:b/>
                <w:bCs/>
                <w:color w:val="000000"/>
                <w:kern w:val="0"/>
                <w:sz w:val="21"/>
                <w:szCs w:val="21"/>
              </w:rPr>
            </w:pPr>
            <w:r>
              <w:rPr>
                <w:rFonts w:ascii="宋体" w:eastAsia="宋体" w:hAnsi="宋体" w:cs="宋体" w:hint="eastAsia"/>
                <w:b/>
                <w:bCs/>
                <w:color w:val="000000"/>
                <w:kern w:val="0"/>
                <w:sz w:val="21"/>
                <w:szCs w:val="21"/>
              </w:rPr>
              <w:t>占比（%）</w:t>
            </w:r>
          </w:p>
        </w:tc>
      </w:tr>
      <w:tr w:rsidR="005A1A44" w14:paraId="4BC09762"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F45C6D7"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1</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9E0E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合计</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6AE2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2450.75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B32ED2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100.00 </w:t>
            </w:r>
          </w:p>
        </w:tc>
      </w:tr>
      <w:tr w:rsidR="005A1A44" w14:paraId="2C3002C7"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67C61F8"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2</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738F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采矿用地</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23034"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10.24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D60231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0.42 </w:t>
            </w:r>
          </w:p>
        </w:tc>
      </w:tr>
      <w:tr w:rsidR="005A1A44" w14:paraId="53C6FC08"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8E74DB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3</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CE22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城市</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DFF36"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11.36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D54A83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0.46 </w:t>
            </w:r>
          </w:p>
        </w:tc>
      </w:tr>
      <w:tr w:rsidR="005A1A44" w14:paraId="0BE3C074"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3BFB0E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4</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13F6B"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村庄</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AAEA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142.14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7AA509F"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5.80 </w:t>
            </w:r>
          </w:p>
        </w:tc>
      </w:tr>
      <w:tr w:rsidR="005A1A44" w14:paraId="56498318"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B5AC9B4"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5</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8D4A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公路用地</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2274F"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8.95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2AB077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0.37 </w:t>
            </w:r>
          </w:p>
        </w:tc>
      </w:tr>
      <w:tr w:rsidR="005A1A44" w14:paraId="2D7AB624"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D371206"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6</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B560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沟渠</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F5ECC"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0.07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1448A4F"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0.00 </w:t>
            </w:r>
          </w:p>
        </w:tc>
      </w:tr>
      <w:tr w:rsidR="005A1A44" w14:paraId="1F152939"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7AA5AD1"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7</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AF8AA"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果园</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26B7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18.45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270DE8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0.75 </w:t>
            </w:r>
          </w:p>
        </w:tc>
      </w:tr>
      <w:tr w:rsidR="005A1A44" w14:paraId="38C7DE1D"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9DB3D3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8</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706DF"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河流水面</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F67D7"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268.61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71F59E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10.96 </w:t>
            </w:r>
          </w:p>
        </w:tc>
      </w:tr>
      <w:tr w:rsidR="005A1A44" w14:paraId="0BD71A71"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6A0CA6F"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9</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3049A"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坑塘水面</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46096"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12.02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20A2FC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0.49 </w:t>
            </w:r>
          </w:p>
        </w:tc>
      </w:tr>
      <w:tr w:rsidR="005A1A44" w14:paraId="382F427F"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61E295B"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10</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256CC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裸地</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A5379"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50.99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8F1329B"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2.08 </w:t>
            </w:r>
          </w:p>
        </w:tc>
      </w:tr>
      <w:tr w:rsidR="005A1A44" w14:paraId="5DC14E7F"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816C1FB"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11</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C645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内陆滩涂</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34E1B"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1740.27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918214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71.01 </w:t>
            </w:r>
          </w:p>
        </w:tc>
      </w:tr>
      <w:tr w:rsidR="005A1A44" w14:paraId="285D8517"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BED56B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12</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3CE78"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其他草地</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4A95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29.02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8D1169F"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1.18 </w:t>
            </w:r>
          </w:p>
        </w:tc>
      </w:tr>
      <w:tr w:rsidR="005A1A44" w14:paraId="657294AA"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6C78718"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13</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65EF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沙地</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6DD6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64.54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627F1C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2.63 </w:t>
            </w:r>
          </w:p>
        </w:tc>
      </w:tr>
      <w:tr w:rsidR="005A1A44" w14:paraId="75D5F99F"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7BE1AE4"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14</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A949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设施农用地</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23C58"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1.84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F91C24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0.08 </w:t>
            </w:r>
          </w:p>
        </w:tc>
      </w:tr>
      <w:tr w:rsidR="005A1A44" w14:paraId="0B2C3127"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CD649F1"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15</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F5BB9"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水工建筑用地</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E926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1.26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1D2B31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0.05 </w:t>
            </w:r>
          </w:p>
        </w:tc>
      </w:tr>
      <w:tr w:rsidR="005A1A44" w14:paraId="75D93BF9"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664B76"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16</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9B15F"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水浇地</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646F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26.43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29CD66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1.08 </w:t>
            </w:r>
          </w:p>
        </w:tc>
      </w:tr>
      <w:tr w:rsidR="005A1A44" w14:paraId="05F66824"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DEBF8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17</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5C866"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天然牧草地</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5D9A8"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17.25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93BCB6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0.70 </w:t>
            </w:r>
          </w:p>
        </w:tc>
      </w:tr>
      <w:tr w:rsidR="005A1A44" w14:paraId="5B983DC7" w14:textId="77777777">
        <w:trPr>
          <w:trHeight w:val="27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05D22B"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18</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C9216"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有林地</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D475C"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47.30 </w:t>
            </w:r>
          </w:p>
        </w:tc>
        <w:tc>
          <w:tcPr>
            <w:tcW w:w="25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E876771"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 xml:space="preserve">1.93 </w:t>
            </w:r>
          </w:p>
        </w:tc>
      </w:tr>
    </w:tbl>
    <w:p w14:paraId="7A86F280" w14:textId="77777777" w:rsidR="005A1A44" w:rsidRDefault="005A1A44">
      <w:pPr>
        <w:widowControl/>
        <w:spacing w:line="240" w:lineRule="auto"/>
        <w:ind w:firstLineChars="0" w:firstLine="0"/>
        <w:jc w:val="center"/>
        <w:textAlignment w:val="center"/>
        <w:rPr>
          <w:rFonts w:ascii="宋体" w:eastAsia="宋体" w:hAnsi="宋体" w:cs="宋体" w:hint="eastAsia"/>
          <w:color w:val="000000"/>
          <w:kern w:val="0"/>
          <w:sz w:val="21"/>
          <w:szCs w:val="21"/>
        </w:rPr>
      </w:pPr>
    </w:p>
    <w:p w14:paraId="26121854" w14:textId="77777777" w:rsidR="005A1A44" w:rsidRDefault="0008059E">
      <w:pPr>
        <w:widowControl/>
        <w:spacing w:line="240" w:lineRule="auto"/>
        <w:ind w:firstLineChars="0" w:firstLine="0"/>
        <w:jc w:val="center"/>
        <w:textAlignment w:val="center"/>
        <w:rPr>
          <w:rFonts w:ascii="黑体" w:eastAsia="黑体" w:hAnsi="黑体" w:cs="黑体" w:hint="eastAsia"/>
          <w:color w:val="000000"/>
          <w:kern w:val="0"/>
        </w:rPr>
      </w:pPr>
      <w:r>
        <w:rPr>
          <w:rFonts w:ascii="黑体" w:eastAsia="黑体" w:hAnsi="黑体" w:cs="黑体" w:hint="eastAsia"/>
          <w:color w:val="000000"/>
          <w:kern w:val="0"/>
        </w:rPr>
        <w:t>表4.6-3  评价区土地利用现状</w:t>
      </w:r>
    </w:p>
    <w:tbl>
      <w:tblPr>
        <w:tblW w:w="8664" w:type="dxa"/>
        <w:tblLayout w:type="fixed"/>
        <w:tblCellMar>
          <w:left w:w="0" w:type="dxa"/>
          <w:right w:w="0" w:type="dxa"/>
        </w:tblCellMar>
        <w:tblLook w:val="04A0" w:firstRow="1" w:lastRow="0" w:firstColumn="1" w:lastColumn="0" w:noHBand="0" w:noVBand="1"/>
      </w:tblPr>
      <w:tblGrid>
        <w:gridCol w:w="1208"/>
        <w:gridCol w:w="2880"/>
        <w:gridCol w:w="2761"/>
        <w:gridCol w:w="1815"/>
      </w:tblGrid>
      <w:tr w:rsidR="005A1A44" w14:paraId="07DB63DB" w14:textId="77777777">
        <w:trPr>
          <w:trHeight w:val="345"/>
          <w:tblHeader/>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C23DC" w14:textId="77777777" w:rsidR="005A1A44" w:rsidRDefault="0008059E">
            <w:pPr>
              <w:widowControl/>
              <w:spacing w:line="240" w:lineRule="auto"/>
              <w:ind w:firstLineChars="0" w:firstLine="0"/>
              <w:jc w:val="center"/>
              <w:textAlignment w:val="center"/>
              <w:rPr>
                <w:rFonts w:ascii="宋体" w:eastAsia="宋体" w:hAnsi="宋体" w:cs="宋体" w:hint="eastAsia"/>
                <w:b/>
                <w:bCs/>
                <w:color w:val="000000"/>
                <w:kern w:val="0"/>
                <w:sz w:val="21"/>
                <w:szCs w:val="21"/>
              </w:rPr>
            </w:pPr>
            <w:r>
              <w:rPr>
                <w:rFonts w:ascii="宋体" w:eastAsia="宋体" w:hAnsi="宋体" w:cs="宋体" w:hint="eastAsia"/>
                <w:b/>
                <w:bCs/>
                <w:color w:val="000000"/>
                <w:kern w:val="0"/>
                <w:sz w:val="21"/>
                <w:szCs w:val="21"/>
              </w:rPr>
              <w:t>序号</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8847D" w14:textId="77777777" w:rsidR="005A1A44" w:rsidRDefault="0008059E">
            <w:pPr>
              <w:widowControl/>
              <w:spacing w:line="240" w:lineRule="auto"/>
              <w:ind w:firstLineChars="0" w:firstLine="0"/>
              <w:jc w:val="center"/>
              <w:textAlignment w:val="center"/>
              <w:rPr>
                <w:rFonts w:ascii="宋体" w:eastAsia="宋体" w:hAnsi="宋体" w:cs="宋体" w:hint="eastAsia"/>
                <w:b/>
                <w:bCs/>
                <w:color w:val="000000"/>
                <w:kern w:val="0"/>
                <w:sz w:val="21"/>
                <w:szCs w:val="21"/>
              </w:rPr>
            </w:pPr>
            <w:r>
              <w:rPr>
                <w:rFonts w:ascii="宋体" w:eastAsia="宋体" w:hAnsi="宋体" w:cs="宋体" w:hint="eastAsia"/>
                <w:b/>
                <w:bCs/>
                <w:color w:val="000000"/>
                <w:kern w:val="0"/>
                <w:sz w:val="21"/>
                <w:szCs w:val="21"/>
              </w:rPr>
              <w:t>类型</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F99E2" w14:textId="77777777" w:rsidR="005A1A44" w:rsidRDefault="0008059E">
            <w:pPr>
              <w:widowControl/>
              <w:spacing w:line="240" w:lineRule="auto"/>
              <w:ind w:firstLineChars="0" w:firstLine="0"/>
              <w:jc w:val="center"/>
              <w:textAlignment w:val="center"/>
              <w:rPr>
                <w:rFonts w:ascii="宋体" w:eastAsia="宋体" w:hAnsi="宋体" w:cs="宋体" w:hint="eastAsia"/>
                <w:b/>
                <w:bCs/>
                <w:color w:val="000000"/>
                <w:kern w:val="0"/>
                <w:sz w:val="21"/>
                <w:szCs w:val="21"/>
              </w:rPr>
            </w:pPr>
            <w:r>
              <w:rPr>
                <w:rFonts w:ascii="宋体" w:eastAsia="宋体" w:hAnsi="宋体" w:cs="宋体" w:hint="eastAsia"/>
                <w:b/>
                <w:bCs/>
                <w:color w:val="000000"/>
                <w:kern w:val="0"/>
                <w:sz w:val="21"/>
                <w:szCs w:val="21"/>
              </w:rPr>
              <w:t>面积（hm</w:t>
            </w:r>
            <w:r>
              <w:rPr>
                <w:rFonts w:ascii="宋体" w:eastAsia="宋体" w:hAnsi="宋体" w:cs="宋体" w:hint="eastAsia"/>
                <w:b/>
                <w:bCs/>
                <w:color w:val="000000"/>
                <w:kern w:val="0"/>
                <w:sz w:val="21"/>
                <w:szCs w:val="21"/>
                <w:vertAlign w:val="superscript"/>
              </w:rPr>
              <w:t>2</w:t>
            </w:r>
            <w:r>
              <w:rPr>
                <w:rFonts w:ascii="宋体" w:eastAsia="宋体" w:hAnsi="宋体" w:cs="宋体" w:hint="eastAsia"/>
                <w:b/>
                <w:bCs/>
                <w:color w:val="000000"/>
                <w:kern w:val="0"/>
                <w:sz w:val="21"/>
                <w:szCs w:val="21"/>
              </w:rPr>
              <w:t>）</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F5136" w14:textId="77777777" w:rsidR="005A1A44" w:rsidRDefault="0008059E">
            <w:pPr>
              <w:widowControl/>
              <w:spacing w:line="240" w:lineRule="auto"/>
              <w:ind w:firstLineChars="0" w:firstLine="0"/>
              <w:jc w:val="center"/>
              <w:textAlignment w:val="center"/>
              <w:rPr>
                <w:rFonts w:ascii="宋体" w:eastAsia="宋体" w:hAnsi="宋体" w:cs="宋体" w:hint="eastAsia"/>
                <w:b/>
                <w:bCs/>
                <w:color w:val="000000"/>
                <w:kern w:val="0"/>
                <w:sz w:val="21"/>
                <w:szCs w:val="21"/>
              </w:rPr>
            </w:pPr>
            <w:r>
              <w:rPr>
                <w:rFonts w:ascii="宋体" w:eastAsia="宋体" w:hAnsi="宋体" w:cs="宋体" w:hint="eastAsia"/>
                <w:b/>
                <w:bCs/>
                <w:color w:val="000000"/>
                <w:kern w:val="0"/>
                <w:sz w:val="21"/>
                <w:szCs w:val="21"/>
              </w:rPr>
              <w:t>占比（%）</w:t>
            </w:r>
          </w:p>
        </w:tc>
      </w:tr>
      <w:tr w:rsidR="005A1A44" w14:paraId="02192497"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276DE" w14:textId="77777777" w:rsidR="005A1A44" w:rsidRDefault="005A1A44">
            <w:pPr>
              <w:widowControl/>
              <w:spacing w:line="240" w:lineRule="auto"/>
              <w:ind w:firstLineChars="0" w:firstLine="0"/>
              <w:jc w:val="center"/>
              <w:textAlignment w:val="center"/>
              <w:rPr>
                <w:rFonts w:ascii="宋体" w:eastAsia="宋体" w:hAnsi="宋体" w:cs="宋体" w:hint="eastAsia"/>
                <w:color w:val="000000"/>
                <w:kern w:val="0"/>
                <w:sz w:val="21"/>
                <w:szCs w:val="21"/>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6DFD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合计</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70A7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5731.86</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A11C9"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100.00</w:t>
            </w:r>
          </w:p>
        </w:tc>
      </w:tr>
      <w:tr w:rsidR="005A1A44" w14:paraId="4DA01CB3"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D5CCC"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1</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DAA78"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采矿用地</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19C74"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25.81</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BE65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0.45</w:t>
            </w:r>
          </w:p>
        </w:tc>
      </w:tr>
      <w:tr w:rsidR="005A1A44" w14:paraId="3FE71C5C"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9E65B"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2</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6F70A"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城市</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02D7F"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347.90</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E4C6F"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6.07</w:t>
            </w:r>
          </w:p>
        </w:tc>
      </w:tr>
      <w:tr w:rsidR="005A1A44" w14:paraId="28F6CEA6"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7CDB1"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3</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AB1BB"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村庄</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10FC7"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646.24</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70BA7"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11.27</w:t>
            </w:r>
          </w:p>
        </w:tc>
      </w:tr>
      <w:tr w:rsidR="005A1A44" w14:paraId="60878A8E"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28D0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4</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7F28C"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风景名胜及特殊用地</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0AB84"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29.94</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0CBC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0.52</w:t>
            </w:r>
          </w:p>
        </w:tc>
      </w:tr>
      <w:tr w:rsidR="005A1A44" w14:paraId="46897FF5"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B5901"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5</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25906"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公路用地</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E16F7"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75.56</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3EF1F"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1.32</w:t>
            </w:r>
          </w:p>
        </w:tc>
      </w:tr>
      <w:tr w:rsidR="005A1A44" w14:paraId="058FB90F"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EB20C"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6</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13A3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沟渠</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44C18"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24.83</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7FA08"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0.43</w:t>
            </w:r>
          </w:p>
        </w:tc>
      </w:tr>
      <w:tr w:rsidR="005A1A44" w14:paraId="2B92CDAC"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B381B"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lastRenderedPageBreak/>
              <w:t>7</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464D6"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灌木林地</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D377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6.37</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696C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0.11</w:t>
            </w:r>
          </w:p>
        </w:tc>
      </w:tr>
      <w:tr w:rsidR="005A1A44" w14:paraId="0FB86BF0"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90B9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8</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F4E7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果园</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3040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213.13</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F3D1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kern w:val="0"/>
                <w:sz w:val="21"/>
                <w:szCs w:val="21"/>
              </w:rPr>
            </w:pPr>
            <w:r>
              <w:rPr>
                <w:rFonts w:ascii="宋体" w:eastAsia="宋体" w:hAnsi="宋体" w:cs="宋体" w:hint="eastAsia"/>
                <w:color w:val="000000"/>
                <w:kern w:val="0"/>
                <w:sz w:val="21"/>
                <w:szCs w:val="21"/>
              </w:rPr>
              <w:t>3.72</w:t>
            </w:r>
          </w:p>
        </w:tc>
      </w:tr>
      <w:tr w:rsidR="005A1A44" w14:paraId="49AACF34"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186F8"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9</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39517"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河流水面</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B4149"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358.48</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4749E"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6.25</w:t>
            </w:r>
          </w:p>
        </w:tc>
      </w:tr>
      <w:tr w:rsidR="005A1A44" w14:paraId="0CF192F1"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BD6D5"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10</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D7428"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坑塘水面</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E070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27.57</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FC7D2"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0.48</w:t>
            </w:r>
          </w:p>
        </w:tc>
      </w:tr>
      <w:tr w:rsidR="005A1A44" w14:paraId="7F891D47"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EDE40"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11</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107A8"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裸地</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F79AC"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182.93</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B7375"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3.19</w:t>
            </w:r>
          </w:p>
        </w:tc>
      </w:tr>
      <w:tr w:rsidR="005A1A44" w14:paraId="168017BE"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51B76"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12</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B62A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内陆滩涂</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4398C"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2564.79</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06F06"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44.75</w:t>
            </w:r>
          </w:p>
        </w:tc>
      </w:tr>
      <w:tr w:rsidR="005A1A44" w14:paraId="4378939C"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B9057"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13</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D3BE8"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农村道路</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03F7A"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1.74</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FD91B"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0.03</w:t>
            </w:r>
          </w:p>
        </w:tc>
      </w:tr>
      <w:tr w:rsidR="005A1A44" w14:paraId="1C6CACAE"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3A75D"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14</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83D2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其他草地</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FCF7F"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187.53</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82769"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3.27</w:t>
            </w:r>
          </w:p>
        </w:tc>
      </w:tr>
      <w:tr w:rsidR="005A1A44" w14:paraId="0ECADAA9"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95845"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15</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C065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其他林地</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CF99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13.72</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F436F"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0.24</w:t>
            </w:r>
          </w:p>
        </w:tc>
      </w:tr>
      <w:tr w:rsidR="005A1A44" w14:paraId="7AB26D87"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33700"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16</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1B7EB"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人工牧草地</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97FB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0.17</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4BAE3"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0.00</w:t>
            </w:r>
          </w:p>
        </w:tc>
      </w:tr>
      <w:tr w:rsidR="005A1A44" w14:paraId="2E8FD9E2"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0D6CB"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17</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D023C"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沙地</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BA57D"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233.97</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8A99E"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4.08</w:t>
            </w:r>
          </w:p>
        </w:tc>
      </w:tr>
      <w:tr w:rsidR="005A1A44" w14:paraId="6EAE6D66"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67184"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18</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DBA8F"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设施农用地</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ABF1E"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10.43</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29A19"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0.18</w:t>
            </w:r>
          </w:p>
        </w:tc>
      </w:tr>
      <w:tr w:rsidR="005A1A44" w14:paraId="6DFCE859"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7C45D"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19</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4E34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水工建筑用地</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EE251"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2.16</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D35FB"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0.04</w:t>
            </w:r>
          </w:p>
        </w:tc>
      </w:tr>
      <w:tr w:rsidR="005A1A44" w14:paraId="4E7D9D6A"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A9C70"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20</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04324"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水浇地</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C7660"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585.66</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6007D"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10.22</w:t>
            </w:r>
          </w:p>
        </w:tc>
      </w:tr>
      <w:tr w:rsidR="005A1A44" w14:paraId="46449E0E"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CDBD3"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21</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A1235"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天然牧草地</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94BF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24.29</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39B2B"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0.42</w:t>
            </w:r>
          </w:p>
        </w:tc>
      </w:tr>
      <w:tr w:rsidR="005A1A44" w14:paraId="51AE27C1"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06C55"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22</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8CC46"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盐碱地</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179A3"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0.80</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444BE"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0.01</w:t>
            </w:r>
          </w:p>
        </w:tc>
      </w:tr>
      <w:tr w:rsidR="005A1A44" w14:paraId="4459E637" w14:textId="77777777">
        <w:trPr>
          <w:trHeight w:val="270"/>
        </w:trPr>
        <w:tc>
          <w:tcPr>
            <w:tcW w:w="12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80556"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23</w:t>
            </w:r>
          </w:p>
        </w:tc>
        <w:tc>
          <w:tcPr>
            <w:tcW w:w="2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16F22"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有林地</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162B6" w14:textId="77777777" w:rsidR="005A1A44" w:rsidRDefault="0008059E">
            <w:pPr>
              <w:widowControl/>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167.84</w:t>
            </w:r>
          </w:p>
        </w:tc>
        <w:tc>
          <w:tcPr>
            <w:tcW w:w="1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4C798" w14:textId="77777777" w:rsidR="005A1A44" w:rsidRDefault="0008059E">
            <w:pPr>
              <w:widowControl/>
              <w:spacing w:line="240" w:lineRule="auto"/>
              <w:ind w:firstLineChars="0" w:firstLine="0"/>
              <w:jc w:val="center"/>
              <w:textAlignment w:val="bottom"/>
              <w:rPr>
                <w:rFonts w:ascii="宋体" w:eastAsia="宋体" w:hAnsi="宋体" w:cs="宋体" w:hint="eastAsia"/>
                <w:color w:val="000000"/>
                <w:sz w:val="21"/>
                <w:szCs w:val="21"/>
              </w:rPr>
            </w:pPr>
            <w:r>
              <w:rPr>
                <w:rFonts w:ascii="宋体" w:eastAsia="宋体" w:hAnsi="宋体" w:cs="宋体" w:hint="eastAsia"/>
                <w:color w:val="000000"/>
                <w:kern w:val="0"/>
                <w:sz w:val="21"/>
                <w:szCs w:val="21"/>
              </w:rPr>
              <w:t>2.93</w:t>
            </w:r>
          </w:p>
        </w:tc>
      </w:tr>
    </w:tbl>
    <w:p w14:paraId="47E19735" w14:textId="77777777" w:rsidR="005A1A44" w:rsidRDefault="005A1A44">
      <w:pPr>
        <w:ind w:firstLine="480"/>
      </w:pPr>
    </w:p>
    <w:p w14:paraId="3472B42E" w14:textId="77777777" w:rsidR="005A1A44" w:rsidRDefault="0008059E">
      <w:pPr>
        <w:pStyle w:val="3"/>
        <w:numPr>
          <w:ilvl w:val="2"/>
          <w:numId w:val="2"/>
        </w:numPr>
      </w:pPr>
      <w:r>
        <w:rPr>
          <w:rFonts w:hint="eastAsia"/>
        </w:rPr>
        <w:t xml:space="preserve"> </w:t>
      </w:r>
      <w:r>
        <w:rPr>
          <w:rFonts w:hint="eastAsia"/>
        </w:rPr>
        <w:t>项目区土壤</w:t>
      </w:r>
    </w:p>
    <w:p w14:paraId="2F772014" w14:textId="77777777" w:rsidR="005A1A44" w:rsidRDefault="0008059E">
      <w:pPr>
        <w:ind w:firstLine="480"/>
      </w:pPr>
      <w:r>
        <w:t>按照《中国土壤》和《新疆土壤》等著述的土壤分类系统，依据《新疆维吾尔自治区土壤类型图，</w:t>
      </w:r>
      <w:r>
        <w:t>1:50</w:t>
      </w:r>
      <w:r>
        <w:t>万》</w:t>
      </w:r>
      <w:r>
        <w:rPr>
          <w:rFonts w:hint="eastAsia"/>
        </w:rPr>
        <w:t>，玉龙喀什河流域土壤垂直地带性分布特征较为明显，流域在中低山以上，随着海拔高度由高至低，分布着寒漠土、高山漠土、高山草甸土、高山草原土与山地栗钙土。平原灌区土壤类型主要有棕漠土、绿洲黄土、绿洲潮土、水稻土、草甸土、盐土等；下游绿色走廊地带主要为草甸盐土和荒漠化林灌草甸土；绿洲外围沙漠地区为风沙土。</w:t>
      </w:r>
    </w:p>
    <w:p w14:paraId="0816712A" w14:textId="77777777" w:rsidR="005A1A44" w:rsidRDefault="0008059E">
      <w:pPr>
        <w:ind w:firstLine="480"/>
      </w:pPr>
      <w:r>
        <w:rPr>
          <w:rFonts w:hint="eastAsia"/>
        </w:rPr>
        <w:t>（</w:t>
      </w:r>
      <w:r>
        <w:rPr>
          <w:rFonts w:hint="eastAsia"/>
        </w:rPr>
        <w:t>1</w:t>
      </w:r>
      <w:r>
        <w:rPr>
          <w:rFonts w:hint="eastAsia"/>
        </w:rPr>
        <w:t>）土壤母质：项目片区土壤的成土母质多系第四纪洪积—冲积物。在昆仑山地带，主要分布有片麻岩、片岩、花岗岩等岩石，这些岩石富含钾、钠，其风化物有较多的苏打盐类。在山前起伏带，分布有石灰岩、变质岩和石英沙岩，以沙岩和沙砾岩为主，其风化物中粘土物质缺乏，质地粗松。在有些地段中有含盐层，盐分被水溶解搬运，便成为县境内地下水及土壤中盐类的主要来源。</w:t>
      </w:r>
    </w:p>
    <w:p w14:paraId="60002030" w14:textId="77777777" w:rsidR="005A1A44" w:rsidRDefault="0008059E">
      <w:pPr>
        <w:ind w:firstLine="480"/>
      </w:pPr>
      <w:r>
        <w:rPr>
          <w:rFonts w:hint="eastAsia"/>
        </w:rPr>
        <w:t>（</w:t>
      </w:r>
      <w:r>
        <w:rPr>
          <w:rFonts w:hint="eastAsia"/>
        </w:rPr>
        <w:t>2</w:t>
      </w:r>
      <w:r>
        <w:rPr>
          <w:rFonts w:hint="eastAsia"/>
        </w:rPr>
        <w:t>）土壤名称及分布：地势南高北低，海拔</w:t>
      </w:r>
      <w:r>
        <w:rPr>
          <w:rFonts w:hint="eastAsia"/>
        </w:rPr>
        <w:t>5000m</w:t>
      </w:r>
      <w:r>
        <w:rPr>
          <w:rFonts w:hint="eastAsia"/>
        </w:rPr>
        <w:t>以上是永久积雪带，土壤大多由花岗岩和碳酸岩构成；海拔</w:t>
      </w:r>
      <w:r>
        <w:rPr>
          <w:rFonts w:hint="eastAsia"/>
        </w:rPr>
        <w:t>3400-5000m</w:t>
      </w:r>
      <w:r>
        <w:rPr>
          <w:rFonts w:hint="eastAsia"/>
        </w:rPr>
        <w:t>之间属高山草甸草原带，土壤以高</w:t>
      </w:r>
      <w:r>
        <w:rPr>
          <w:rFonts w:hint="eastAsia"/>
        </w:rPr>
        <w:lastRenderedPageBreak/>
        <w:t>山草原土为主；海拔</w:t>
      </w:r>
      <w:r>
        <w:rPr>
          <w:rFonts w:hint="eastAsia"/>
        </w:rPr>
        <w:t>1900-3400m</w:t>
      </w:r>
      <w:r>
        <w:rPr>
          <w:rFonts w:hint="eastAsia"/>
        </w:rPr>
        <w:t>之间属荒漠草原地带，土壤以棕钙土、栗钙土为主，植被种类繁多；海拔</w:t>
      </w:r>
      <w:r>
        <w:rPr>
          <w:rFonts w:hint="eastAsia"/>
        </w:rPr>
        <w:t>1300-1900m</w:t>
      </w:r>
      <w:r>
        <w:rPr>
          <w:rFonts w:hint="eastAsia"/>
        </w:rPr>
        <w:t>之间土壤以棕漠土、灌淤土为主；海拔</w:t>
      </w:r>
      <w:r>
        <w:rPr>
          <w:rFonts w:hint="eastAsia"/>
        </w:rPr>
        <w:t>1300m</w:t>
      </w:r>
      <w:r>
        <w:rPr>
          <w:rFonts w:hint="eastAsia"/>
        </w:rPr>
        <w:t>以下是塔克拉玛干沙漠腹地，土壤以风沙土为主。</w:t>
      </w:r>
    </w:p>
    <w:p w14:paraId="7FDFB9A9" w14:textId="77777777" w:rsidR="005A1A44" w:rsidRDefault="0008059E">
      <w:pPr>
        <w:ind w:firstLine="480"/>
      </w:pPr>
      <w:r>
        <w:rPr>
          <w:rFonts w:hint="eastAsia"/>
        </w:rPr>
        <w:t>（</w:t>
      </w:r>
      <w:r>
        <w:rPr>
          <w:rFonts w:hint="eastAsia"/>
        </w:rPr>
        <w:t>3</w:t>
      </w:r>
      <w:r>
        <w:rPr>
          <w:rFonts w:hint="eastAsia"/>
        </w:rPr>
        <w:t>）土壤资源评价：本项目土壤主要为淤灌土、棕漠土、风沙土为主，质地轻、通透性好、耕性好、适种性广，有利于种植经济林；有机质分解快、供肥迅速有利于作物和林果产品生长，但沙性大、结构性差、保水保肥能力弱，而且有机质含量低，就速效养份看，普遍缺氮少磷，土壤肥力较低，只有钾很充裕。</w:t>
      </w:r>
    </w:p>
    <w:p w14:paraId="44E27BA2" w14:textId="77777777" w:rsidR="005A1A44" w:rsidRDefault="0008059E">
      <w:pPr>
        <w:pStyle w:val="3"/>
        <w:numPr>
          <w:ilvl w:val="2"/>
          <w:numId w:val="2"/>
        </w:numPr>
      </w:pPr>
      <w:r>
        <w:rPr>
          <w:rFonts w:hint="eastAsia"/>
        </w:rPr>
        <w:t xml:space="preserve"> </w:t>
      </w:r>
      <w:r>
        <w:rPr>
          <w:rFonts w:hint="eastAsia"/>
        </w:rPr>
        <w:t>植被</w:t>
      </w:r>
    </w:p>
    <w:p w14:paraId="3FADDDC7" w14:textId="77777777" w:rsidR="005A1A44" w:rsidRDefault="0008059E">
      <w:pPr>
        <w:ind w:firstLine="480"/>
      </w:pPr>
      <w:r>
        <w:rPr>
          <w:rFonts w:hint="eastAsia"/>
        </w:rPr>
        <w:t>流域植物在山区遵循垂直分异规律，从上到下植被类型有高寒草原、高山亚高山草甸、山地荒漠干草原、山地草原化荒漠；在平原区由于中小地形变化以及不同土壤组合，无明显分布规律，植被类型有平原人工植被、平原荒漠、灌丛低地草甸、荒漠河岸林等。</w:t>
      </w:r>
    </w:p>
    <w:p w14:paraId="0C21F2AA" w14:textId="77777777" w:rsidR="005A1A44" w:rsidRDefault="0008059E">
      <w:pPr>
        <w:ind w:firstLine="480"/>
      </w:pPr>
      <w:r>
        <w:rPr>
          <w:rFonts w:hint="eastAsia"/>
        </w:rPr>
        <w:t>①高寒草原</w:t>
      </w:r>
    </w:p>
    <w:p w14:paraId="0D670F4B" w14:textId="77777777" w:rsidR="005A1A44" w:rsidRDefault="0008059E">
      <w:pPr>
        <w:ind w:firstLine="480"/>
      </w:pPr>
      <w:r>
        <w:rPr>
          <w:rFonts w:hint="eastAsia"/>
        </w:rPr>
        <w:t>主要分布于流域昆仑山</w:t>
      </w:r>
      <w:r>
        <w:rPr>
          <w:rFonts w:hint="eastAsia"/>
        </w:rPr>
        <w:t>3600</w:t>
      </w:r>
      <w:r>
        <w:rPr>
          <w:rFonts w:hint="eastAsia"/>
        </w:rPr>
        <w:t>～</w:t>
      </w:r>
      <w:r>
        <w:rPr>
          <w:rFonts w:hint="eastAsia"/>
        </w:rPr>
        <w:t>3800m</w:t>
      </w:r>
      <w:r>
        <w:rPr>
          <w:rFonts w:hint="eastAsia"/>
        </w:rPr>
        <w:t>之间的北坡和</w:t>
      </w:r>
      <w:r>
        <w:rPr>
          <w:rFonts w:hint="eastAsia"/>
        </w:rPr>
        <w:t>3600</w:t>
      </w:r>
      <w:r>
        <w:rPr>
          <w:rFonts w:hint="eastAsia"/>
        </w:rPr>
        <w:t>～</w:t>
      </w:r>
      <w:r>
        <w:rPr>
          <w:rFonts w:hint="eastAsia"/>
        </w:rPr>
        <w:t>4200m</w:t>
      </w:r>
      <w:r>
        <w:rPr>
          <w:rFonts w:hint="eastAsia"/>
        </w:rPr>
        <w:t>之间的阳坡、半阳坡带，植被昆仑早熟禾、细叶早熟禾、短芒苔草、碱茅、苔草、雪地棘豆、昆仑针茅、昆仑蒿、高山绢蒿、驼绒藜、垫状驼绒藜、短花针茅等。草层高度一般</w:t>
      </w:r>
      <w:r>
        <w:rPr>
          <w:rFonts w:hint="eastAsia"/>
        </w:rPr>
        <w:t>10</w:t>
      </w:r>
      <w:r>
        <w:rPr>
          <w:rFonts w:hint="eastAsia"/>
        </w:rPr>
        <w:t>～</w:t>
      </w:r>
      <w:r>
        <w:rPr>
          <w:rFonts w:hint="eastAsia"/>
        </w:rPr>
        <w:t>20cm</w:t>
      </w:r>
      <w:r>
        <w:rPr>
          <w:rFonts w:hint="eastAsia"/>
        </w:rPr>
        <w:t>，覆盖度一般在</w:t>
      </w:r>
      <w:r>
        <w:rPr>
          <w:rFonts w:hint="eastAsia"/>
        </w:rPr>
        <w:t>20</w:t>
      </w:r>
      <w:r>
        <w:rPr>
          <w:rFonts w:hint="eastAsia"/>
        </w:rPr>
        <w:t>～</w:t>
      </w:r>
      <w:r>
        <w:rPr>
          <w:rFonts w:hint="eastAsia"/>
        </w:rPr>
        <w:t>40%</w:t>
      </w:r>
      <w:r>
        <w:rPr>
          <w:rFonts w:hint="eastAsia"/>
        </w:rPr>
        <w:t>。</w:t>
      </w:r>
    </w:p>
    <w:p w14:paraId="45C2782D" w14:textId="77777777" w:rsidR="005A1A44" w:rsidRDefault="0008059E">
      <w:pPr>
        <w:ind w:firstLine="480"/>
      </w:pPr>
      <w:r>
        <w:rPr>
          <w:rFonts w:hint="eastAsia"/>
        </w:rPr>
        <w:t>②高山亚高山草甸</w:t>
      </w:r>
    </w:p>
    <w:p w14:paraId="50893E92" w14:textId="77777777" w:rsidR="005A1A44" w:rsidRDefault="0008059E">
      <w:pPr>
        <w:ind w:firstLine="480"/>
      </w:pPr>
      <w:r>
        <w:rPr>
          <w:rFonts w:hint="eastAsia"/>
        </w:rPr>
        <w:t>主要分布在海拔</w:t>
      </w:r>
      <w:r>
        <w:rPr>
          <w:rFonts w:hint="eastAsia"/>
        </w:rPr>
        <w:t>3500</w:t>
      </w:r>
      <w:r>
        <w:rPr>
          <w:rFonts w:hint="eastAsia"/>
        </w:rPr>
        <w:t>～</w:t>
      </w:r>
      <w:r>
        <w:rPr>
          <w:rFonts w:hint="eastAsia"/>
        </w:rPr>
        <w:t>4400m</w:t>
      </w:r>
      <w:r>
        <w:rPr>
          <w:rFonts w:hint="eastAsia"/>
        </w:rPr>
        <w:t>的亚高山带上部的阴坡和谷地，植物优势种为芨芨草、细叶蒿草、黄花点地梅、穗状寒生羊茅，伴生种有黄白火绒草、窄果蒿草、珠芽蓼、小早熟禾、黄花棘豆、中亚萎陵菜、昆仑针茅、昆仑蒿、山葱、白尖苔草、粗壮蒿草等，草高一般</w:t>
      </w:r>
      <w:r>
        <w:rPr>
          <w:rFonts w:hint="eastAsia"/>
        </w:rPr>
        <w:t>7</w:t>
      </w:r>
      <w:r>
        <w:rPr>
          <w:rFonts w:hint="eastAsia"/>
        </w:rPr>
        <w:t>～</w:t>
      </w:r>
      <w:r>
        <w:rPr>
          <w:rFonts w:hint="eastAsia"/>
        </w:rPr>
        <w:t>15cm</w:t>
      </w:r>
      <w:r>
        <w:rPr>
          <w:rFonts w:hint="eastAsia"/>
        </w:rPr>
        <w:t>，植被覆盖度局部可达</w:t>
      </w:r>
      <w:r>
        <w:rPr>
          <w:rFonts w:hint="eastAsia"/>
        </w:rPr>
        <w:t>50%</w:t>
      </w:r>
      <w:r>
        <w:rPr>
          <w:rFonts w:hint="eastAsia"/>
        </w:rPr>
        <w:t>以上，为当地牧民的夏季牧场。</w:t>
      </w:r>
    </w:p>
    <w:p w14:paraId="3C325A48" w14:textId="77777777" w:rsidR="005A1A44" w:rsidRDefault="0008059E">
      <w:pPr>
        <w:ind w:firstLine="480"/>
      </w:pPr>
      <w:r>
        <w:rPr>
          <w:rFonts w:hint="eastAsia"/>
        </w:rPr>
        <w:t>③山地荒漠干草原</w:t>
      </w:r>
    </w:p>
    <w:p w14:paraId="72BE3D91" w14:textId="77777777" w:rsidR="005A1A44" w:rsidRDefault="0008059E">
      <w:pPr>
        <w:ind w:firstLine="480"/>
      </w:pPr>
      <w:r>
        <w:rPr>
          <w:rFonts w:hint="eastAsia"/>
        </w:rPr>
        <w:t>主要分布在海拔</w:t>
      </w:r>
      <w:r>
        <w:rPr>
          <w:rFonts w:hint="eastAsia"/>
        </w:rPr>
        <w:t>3000</w:t>
      </w:r>
      <w:r>
        <w:rPr>
          <w:rFonts w:hint="eastAsia"/>
        </w:rPr>
        <w:t>～</w:t>
      </w:r>
      <w:r>
        <w:rPr>
          <w:rFonts w:hint="eastAsia"/>
        </w:rPr>
        <w:t>3500m</w:t>
      </w:r>
      <w:r>
        <w:rPr>
          <w:rFonts w:hint="eastAsia"/>
        </w:rPr>
        <w:t>之间的中山带。地表裸露，降水量少、生长差，优势种有琵琶柴、驼绒藜、昆仑针茅、高山绢蒿等，伴生种有鹿角草、昆仑绢蒿、</w:t>
      </w:r>
      <w:r>
        <w:rPr>
          <w:rFonts w:hint="eastAsia"/>
        </w:rPr>
        <w:lastRenderedPageBreak/>
        <w:t>昆仑早熟禾、赖草、短花针茅、沙生针茅、二裂萎陵菜、昆仑锦鸡儿、猪毛菜等，草高一般</w:t>
      </w:r>
      <w:r>
        <w:rPr>
          <w:rFonts w:hint="eastAsia"/>
        </w:rPr>
        <w:t>15</w:t>
      </w:r>
      <w:r>
        <w:rPr>
          <w:rFonts w:hint="eastAsia"/>
        </w:rPr>
        <w:t>～</w:t>
      </w:r>
      <w:r>
        <w:rPr>
          <w:rFonts w:hint="eastAsia"/>
        </w:rPr>
        <w:t>35cm</w:t>
      </w:r>
      <w:r>
        <w:rPr>
          <w:rFonts w:hint="eastAsia"/>
        </w:rPr>
        <w:t>，植被覆盖度</w:t>
      </w:r>
      <w:r>
        <w:rPr>
          <w:rFonts w:hint="eastAsia"/>
        </w:rPr>
        <w:t>15</w:t>
      </w:r>
      <w:r>
        <w:rPr>
          <w:rFonts w:hint="eastAsia"/>
        </w:rPr>
        <w:t>～</w:t>
      </w:r>
      <w:r>
        <w:rPr>
          <w:rFonts w:hint="eastAsia"/>
        </w:rPr>
        <w:t>20%</w:t>
      </w:r>
      <w:r>
        <w:rPr>
          <w:rFonts w:hint="eastAsia"/>
        </w:rPr>
        <w:t>。在局部山洼地或山地背阴处及河床附近生长有芦苇、芨芨草、柽柳、骆驼刺、驼绒藜、水柏枝及一些杂草等，植被覆盖度低，总体覆盖度不高。</w:t>
      </w:r>
    </w:p>
    <w:p w14:paraId="074CD379" w14:textId="77777777" w:rsidR="005A1A44" w:rsidRDefault="0008059E">
      <w:pPr>
        <w:ind w:firstLine="480"/>
      </w:pPr>
      <w:r>
        <w:rPr>
          <w:rFonts w:hint="eastAsia"/>
        </w:rPr>
        <w:t>④山地草原化荒漠</w:t>
      </w:r>
    </w:p>
    <w:p w14:paraId="29597CBC" w14:textId="77777777" w:rsidR="005A1A44" w:rsidRDefault="0008059E">
      <w:pPr>
        <w:ind w:firstLine="480"/>
      </w:pPr>
      <w:r>
        <w:rPr>
          <w:rFonts w:hint="eastAsia"/>
        </w:rPr>
        <w:t>分布于海拔</w:t>
      </w:r>
      <w:r>
        <w:rPr>
          <w:rFonts w:hint="eastAsia"/>
        </w:rPr>
        <w:t>1500</w:t>
      </w:r>
      <w:r>
        <w:rPr>
          <w:rFonts w:hint="eastAsia"/>
        </w:rPr>
        <w:t>～</w:t>
      </w:r>
      <w:r>
        <w:rPr>
          <w:rFonts w:hint="eastAsia"/>
        </w:rPr>
        <w:t>3000m</w:t>
      </w:r>
      <w:r>
        <w:rPr>
          <w:rFonts w:hint="eastAsia"/>
        </w:rPr>
        <w:t>的中低山带，该地带地表有砾质覆盖，地表植被覆盖度低、在</w:t>
      </w:r>
      <w:r>
        <w:rPr>
          <w:rFonts w:hint="eastAsia"/>
        </w:rPr>
        <w:t>10%</w:t>
      </w:r>
      <w:r>
        <w:rPr>
          <w:rFonts w:hint="eastAsia"/>
        </w:rPr>
        <w:t>以下，植物优势种为合头草、驼绒藜，伴生种有紫花瓦松、内蒙古旱蒿、纤杆蒿、高山绢蒿、琵琶柴、圆叶盐爪爪等，草层高</w:t>
      </w:r>
      <w:r>
        <w:rPr>
          <w:rFonts w:hint="eastAsia"/>
        </w:rPr>
        <w:t>10</w:t>
      </w:r>
      <w:r>
        <w:rPr>
          <w:rFonts w:hint="eastAsia"/>
        </w:rPr>
        <w:t>～</w:t>
      </w:r>
      <w:r>
        <w:rPr>
          <w:rFonts w:hint="eastAsia"/>
        </w:rPr>
        <w:t>20cm</w:t>
      </w:r>
      <w:r>
        <w:rPr>
          <w:rFonts w:hint="eastAsia"/>
        </w:rPr>
        <w:t>，山区河谷局部生长有柽柳、骆驼刺、芨芨草、白刺、黑刺、膜果麻黄及杂草等，其中膜果麻黄被列为自治区</w:t>
      </w:r>
      <w:r>
        <w:rPr>
          <w:rFonts w:hint="eastAsia"/>
        </w:rPr>
        <w:t>1</w:t>
      </w:r>
      <w:r>
        <w:rPr>
          <w:rFonts w:hint="eastAsia"/>
        </w:rPr>
        <w:t>级保护植物。</w:t>
      </w:r>
    </w:p>
    <w:p w14:paraId="6912FF7A" w14:textId="77777777" w:rsidR="005A1A44" w:rsidRDefault="0008059E">
      <w:pPr>
        <w:ind w:firstLine="480"/>
      </w:pPr>
      <w:r>
        <w:rPr>
          <w:rFonts w:hint="eastAsia"/>
        </w:rPr>
        <w:t>⑤平原人工植被</w:t>
      </w:r>
    </w:p>
    <w:p w14:paraId="18DFDA97" w14:textId="77777777" w:rsidR="005A1A44" w:rsidRDefault="0008059E">
      <w:pPr>
        <w:ind w:firstLine="480"/>
      </w:pPr>
      <w:r>
        <w:rPr>
          <w:rFonts w:hint="eastAsia"/>
        </w:rPr>
        <w:t>分布于海拔</w:t>
      </w:r>
      <w:r>
        <w:rPr>
          <w:rFonts w:hint="eastAsia"/>
        </w:rPr>
        <w:t>1300</w:t>
      </w:r>
      <w:r>
        <w:rPr>
          <w:rFonts w:hint="eastAsia"/>
        </w:rPr>
        <w:t>～</w:t>
      </w:r>
      <w:r>
        <w:rPr>
          <w:rFonts w:hint="eastAsia"/>
        </w:rPr>
        <w:t>1500m</w:t>
      </w:r>
      <w:r>
        <w:rPr>
          <w:rFonts w:hint="eastAsia"/>
        </w:rPr>
        <w:t>的山前冲洪积平原区，是流域灌区的主要分布地，主要种植有玉米、小麦、棉花、苜蓿、水稻等作物，在田间地带还种植有农田防护林，主要树种为杨树。另有零星的经济林分布，主要为果园，如核桃、石榴、红枣等。</w:t>
      </w:r>
    </w:p>
    <w:p w14:paraId="5ED1A294" w14:textId="77777777" w:rsidR="005A1A44" w:rsidRDefault="0008059E">
      <w:pPr>
        <w:ind w:firstLine="480"/>
      </w:pPr>
      <w:r>
        <w:rPr>
          <w:rFonts w:hint="eastAsia"/>
        </w:rPr>
        <w:t>⑥平原荒漠</w:t>
      </w:r>
    </w:p>
    <w:p w14:paraId="2B56EBCC" w14:textId="77777777" w:rsidR="005A1A44" w:rsidRDefault="0008059E">
      <w:pPr>
        <w:ind w:firstLine="480"/>
      </w:pPr>
      <w:r>
        <w:rPr>
          <w:rFonts w:hint="eastAsia"/>
        </w:rPr>
        <w:t>流域范围的平原荒漠由盐柴类荒漠和柽柳灌丛荒漠两大部分组成，主要分布在平原灌区之间与灌区边缘地带，以盐柴类荒漠为主，建群植物主要是中生、旱生禾草及杂类草，有芦苇、胀果甘草、罗布麻、疏叶骆驼刺及花花柴等，伴生种有沙生柽柳、塔里木沙拐枣、假苇拂子茅、喀什牛皮消、小花棘豆、苦豆子、芨芨草、大拂子茅、管花肉苁蓉、盐生肉苁蓉、小蓟、叉枝鸦葱等，其中胀果甘草、罗布麻、沙生柽柳、管花肉苁蓉、盐生肉苁蓉、被列为自治区</w:t>
      </w:r>
      <w:r>
        <w:rPr>
          <w:rFonts w:hint="eastAsia"/>
        </w:rPr>
        <w:t>1</w:t>
      </w:r>
      <w:r>
        <w:rPr>
          <w:rFonts w:hint="eastAsia"/>
        </w:rPr>
        <w:t>级保护植物，喀什牛皮消、塔里木沙拐枣被列为自治区</w:t>
      </w:r>
      <w:r>
        <w:rPr>
          <w:rFonts w:hint="eastAsia"/>
        </w:rPr>
        <w:t>2</w:t>
      </w:r>
      <w:r>
        <w:rPr>
          <w:rFonts w:hint="eastAsia"/>
        </w:rPr>
        <w:t>级保护植物。柽柳灌丛荒漠，建群种为柽柳，伴生种有铃铛刺、黑刺、白刺等。</w:t>
      </w:r>
    </w:p>
    <w:p w14:paraId="40A0B764" w14:textId="77777777" w:rsidR="005A1A44" w:rsidRDefault="0008059E">
      <w:pPr>
        <w:ind w:firstLine="480"/>
      </w:pPr>
      <w:r>
        <w:rPr>
          <w:rFonts w:hint="eastAsia"/>
        </w:rPr>
        <w:t>⑦灌丛低地草甸</w:t>
      </w:r>
    </w:p>
    <w:p w14:paraId="70A85FB3" w14:textId="77777777" w:rsidR="005A1A44" w:rsidRDefault="0008059E">
      <w:pPr>
        <w:ind w:firstLine="480"/>
      </w:pPr>
      <w:r>
        <w:rPr>
          <w:rFonts w:hint="eastAsia"/>
        </w:rPr>
        <w:t>主要分布于玉龙喀什河下游两岸，该区地下水埋深浅为</w:t>
      </w:r>
      <w:r>
        <w:rPr>
          <w:rFonts w:hint="eastAsia"/>
        </w:rPr>
        <w:t>1</w:t>
      </w:r>
      <w:r>
        <w:rPr>
          <w:rFonts w:hint="eastAsia"/>
        </w:rPr>
        <w:t>～</w:t>
      </w:r>
      <w:r>
        <w:rPr>
          <w:rFonts w:hint="eastAsia"/>
        </w:rPr>
        <w:t>3m</w:t>
      </w:r>
      <w:r>
        <w:rPr>
          <w:rFonts w:hint="eastAsia"/>
        </w:rPr>
        <w:t>，多有柽柳、铃铛刺、黑刺、白刺和盐豆木等灌木，草本植物有芦苇、罗布麻、胀果甘草、苦豆子、芨芨草、大拂子茅、疏叶骆驼刺、盐穗木、盐节木、大叶白麻、花花柴等，植被盖度</w:t>
      </w:r>
      <w:r>
        <w:rPr>
          <w:rFonts w:hint="eastAsia"/>
        </w:rPr>
        <w:t>60</w:t>
      </w:r>
      <w:r>
        <w:rPr>
          <w:rFonts w:hint="eastAsia"/>
        </w:rPr>
        <w:t>～</w:t>
      </w:r>
      <w:r>
        <w:rPr>
          <w:rFonts w:hint="eastAsia"/>
        </w:rPr>
        <w:t>80%</w:t>
      </w:r>
      <w:r>
        <w:rPr>
          <w:rFonts w:hint="eastAsia"/>
        </w:rPr>
        <w:t>，草层高</w:t>
      </w:r>
      <w:r>
        <w:rPr>
          <w:rFonts w:hint="eastAsia"/>
        </w:rPr>
        <w:t>90</w:t>
      </w:r>
      <w:r>
        <w:rPr>
          <w:rFonts w:hint="eastAsia"/>
        </w:rPr>
        <w:t>～</w:t>
      </w:r>
      <w:r>
        <w:rPr>
          <w:rFonts w:hint="eastAsia"/>
        </w:rPr>
        <w:t>150cm</w:t>
      </w:r>
      <w:r>
        <w:rPr>
          <w:rFonts w:hint="eastAsia"/>
        </w:rPr>
        <w:t>，其中胀果甘草、罗布麻、大叶白麻被列为自治区</w:t>
      </w:r>
      <w:r>
        <w:rPr>
          <w:rFonts w:hint="eastAsia"/>
        </w:rPr>
        <w:lastRenderedPageBreak/>
        <w:t>1</w:t>
      </w:r>
      <w:r>
        <w:rPr>
          <w:rFonts w:hint="eastAsia"/>
        </w:rPr>
        <w:t>级保护植物。</w:t>
      </w:r>
    </w:p>
    <w:p w14:paraId="066C5735" w14:textId="77777777" w:rsidR="005A1A44" w:rsidRDefault="0008059E">
      <w:pPr>
        <w:ind w:firstLine="480"/>
      </w:pPr>
      <w:r>
        <w:rPr>
          <w:rFonts w:hint="eastAsia"/>
        </w:rPr>
        <w:t>⑧荒漠河岸林</w:t>
      </w:r>
    </w:p>
    <w:p w14:paraId="055A456E" w14:textId="77777777" w:rsidR="005A1A44" w:rsidRDefault="0008059E">
      <w:pPr>
        <w:ind w:firstLine="480"/>
      </w:pPr>
      <w:r>
        <w:rPr>
          <w:rFonts w:hint="eastAsia"/>
        </w:rPr>
        <w:t>荒漠河岸林是本区的天然林地，主要分布在玉龙喀什河末端</w:t>
      </w:r>
      <w:r>
        <w:rPr>
          <w:rFonts w:hint="eastAsia"/>
        </w:rPr>
        <w:t>40km</w:t>
      </w:r>
      <w:r>
        <w:rPr>
          <w:rFonts w:hint="eastAsia"/>
        </w:rPr>
        <w:t>河段两岸，建群种主要是灰杨林、胡杨林以及柽柳灌木林，灰杨林所占比例最大，主要物种有灰胡杨、胡杨、多枝柽柳、芦苇、胀果甘草、沙棘、疏叶骆驼刺等，其中灰胡杨、胀果甘草等被列为自治区</w:t>
      </w:r>
      <w:r>
        <w:rPr>
          <w:rFonts w:hint="eastAsia"/>
        </w:rPr>
        <w:t>1</w:t>
      </w:r>
      <w:r>
        <w:rPr>
          <w:rFonts w:hint="eastAsia"/>
        </w:rPr>
        <w:t>级保护植物。</w:t>
      </w:r>
    </w:p>
    <w:p w14:paraId="732630C6" w14:textId="77777777" w:rsidR="005A1A44" w:rsidRDefault="0008059E">
      <w:pPr>
        <w:ind w:firstLine="480"/>
      </w:pPr>
      <w:r>
        <w:rPr>
          <w:rFonts w:hint="eastAsia"/>
        </w:rPr>
        <w:t>固沙植物主要有昆仑沙拐枣、驼绒黎、沙蓬、倒披针叶虫实、皮山蔗茅、大颖三芒草等。食用植物主要有疏叶骆驼刺，分布面积很广。驼绒黎，分布面积也很大。尖果沙刺，既有野生的也有人工栽培的。赖草，分布面积较广。香蒲，平原区沼泽带广有分布。</w:t>
      </w:r>
    </w:p>
    <w:p w14:paraId="1B2A1564" w14:textId="77777777" w:rsidR="005A1A44" w:rsidRDefault="0008059E">
      <w:pPr>
        <w:ind w:firstLine="480"/>
      </w:pPr>
      <w:r>
        <w:rPr>
          <w:rFonts w:hint="eastAsia"/>
        </w:rPr>
        <w:t>本次项目范围内没有林地，只有草地，也无保护性植物和珍稀濒危植物物种分布。</w:t>
      </w:r>
    </w:p>
    <w:p w14:paraId="388361BD" w14:textId="77777777" w:rsidR="005A1A44" w:rsidRDefault="0008059E">
      <w:pPr>
        <w:ind w:firstLineChars="0" w:firstLine="0"/>
        <w:jc w:val="center"/>
        <w:rPr>
          <w:color w:val="FF0000"/>
        </w:rPr>
      </w:pPr>
      <w:r>
        <w:rPr>
          <w:rFonts w:ascii="黑体" w:eastAsia="黑体" w:hAnsi="黑体"/>
          <w:color w:val="000000"/>
        </w:rPr>
        <w:t>表</w:t>
      </w:r>
      <w:r>
        <w:rPr>
          <w:rFonts w:ascii="黑体" w:eastAsia="黑体" w:hAnsi="黑体" w:hint="eastAsia"/>
          <w:color w:val="000000"/>
        </w:rPr>
        <w:t>4.6</w:t>
      </w:r>
      <w:r>
        <w:rPr>
          <w:rFonts w:ascii="黑体" w:eastAsia="黑体" w:hAnsi="黑体"/>
          <w:color w:val="000000"/>
        </w:rPr>
        <w:t>-</w:t>
      </w:r>
      <w:r>
        <w:rPr>
          <w:rFonts w:ascii="黑体" w:eastAsia="黑体" w:hAnsi="黑体" w:hint="eastAsia"/>
          <w:color w:val="000000"/>
        </w:rPr>
        <w:t>2  项目区植物名录</w:t>
      </w:r>
    </w:p>
    <w:tbl>
      <w:tblPr>
        <w:tblStyle w:val="11"/>
        <w:tblW w:w="8528" w:type="dxa"/>
        <w:tblLayout w:type="fixed"/>
        <w:tblLook w:val="04A0" w:firstRow="1" w:lastRow="0" w:firstColumn="1" w:lastColumn="0" w:noHBand="0" w:noVBand="1"/>
      </w:tblPr>
      <w:tblGrid>
        <w:gridCol w:w="740"/>
        <w:gridCol w:w="1468"/>
        <w:gridCol w:w="6320"/>
      </w:tblGrid>
      <w:tr w:rsidR="005A1A44" w14:paraId="43CA4A45" w14:textId="77777777">
        <w:tc>
          <w:tcPr>
            <w:tcW w:w="740" w:type="dxa"/>
            <w:tcBorders>
              <w:top w:val="single" w:sz="4" w:space="0" w:color="auto"/>
              <w:left w:val="single" w:sz="4" w:space="0" w:color="auto"/>
              <w:bottom w:val="single" w:sz="4" w:space="0" w:color="auto"/>
              <w:right w:val="single" w:sz="4" w:space="0" w:color="auto"/>
            </w:tcBorders>
            <w:vAlign w:val="center"/>
          </w:tcPr>
          <w:p w14:paraId="2349634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序号</w:t>
            </w:r>
          </w:p>
        </w:tc>
        <w:tc>
          <w:tcPr>
            <w:tcW w:w="1468" w:type="dxa"/>
            <w:tcBorders>
              <w:top w:val="single" w:sz="4" w:space="0" w:color="auto"/>
              <w:left w:val="nil"/>
              <w:bottom w:val="single" w:sz="4" w:space="0" w:color="auto"/>
              <w:right w:val="single" w:sz="4" w:space="0" w:color="auto"/>
            </w:tcBorders>
            <w:vAlign w:val="center"/>
          </w:tcPr>
          <w:p w14:paraId="51728FE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植物名称</w:t>
            </w:r>
          </w:p>
        </w:tc>
        <w:tc>
          <w:tcPr>
            <w:tcW w:w="6320" w:type="dxa"/>
            <w:tcBorders>
              <w:top w:val="single" w:sz="4" w:space="0" w:color="auto"/>
              <w:left w:val="nil"/>
              <w:bottom w:val="single" w:sz="4" w:space="0" w:color="auto"/>
              <w:right w:val="single" w:sz="4" w:space="0" w:color="auto"/>
            </w:tcBorders>
            <w:vAlign w:val="center"/>
          </w:tcPr>
          <w:p w14:paraId="33078D73"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拉丁名</w:t>
            </w:r>
          </w:p>
        </w:tc>
      </w:tr>
      <w:tr w:rsidR="005A1A44" w14:paraId="506F444A" w14:textId="77777777">
        <w:tc>
          <w:tcPr>
            <w:tcW w:w="740" w:type="dxa"/>
            <w:tcBorders>
              <w:top w:val="single" w:sz="4" w:space="0" w:color="auto"/>
              <w:left w:val="single" w:sz="4" w:space="0" w:color="auto"/>
              <w:bottom w:val="single" w:sz="4" w:space="0" w:color="auto"/>
              <w:right w:val="single" w:sz="4" w:space="0" w:color="auto"/>
            </w:tcBorders>
            <w:vAlign w:val="center"/>
          </w:tcPr>
          <w:p w14:paraId="42901C92"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w:t>
            </w:r>
          </w:p>
        </w:tc>
        <w:tc>
          <w:tcPr>
            <w:tcW w:w="1468" w:type="dxa"/>
            <w:tcBorders>
              <w:top w:val="single" w:sz="4" w:space="0" w:color="auto"/>
              <w:left w:val="nil"/>
              <w:bottom w:val="single" w:sz="4" w:space="0" w:color="auto"/>
              <w:right w:val="single" w:sz="4" w:space="0" w:color="auto"/>
            </w:tcBorders>
            <w:vAlign w:val="center"/>
          </w:tcPr>
          <w:p w14:paraId="2DA4EF46"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芦苇</w:t>
            </w:r>
          </w:p>
        </w:tc>
        <w:tc>
          <w:tcPr>
            <w:tcW w:w="6320" w:type="dxa"/>
            <w:tcBorders>
              <w:top w:val="single" w:sz="4" w:space="0" w:color="auto"/>
              <w:left w:val="nil"/>
              <w:bottom w:val="single" w:sz="4" w:space="0" w:color="auto"/>
              <w:right w:val="single" w:sz="4" w:space="0" w:color="auto"/>
            </w:tcBorders>
            <w:vAlign w:val="center"/>
          </w:tcPr>
          <w:p w14:paraId="2B7C08ED" w14:textId="77777777" w:rsidR="005A1A44" w:rsidRDefault="0008059E">
            <w:pPr>
              <w:spacing w:line="240" w:lineRule="auto"/>
              <w:ind w:firstLineChars="0" w:firstLine="0"/>
              <w:rPr>
                <w:rFonts w:ascii="宋体" w:eastAsia="宋体" w:hAnsi="宋体" w:cs="宋体" w:hint="eastAsia"/>
                <w:i/>
                <w:iCs/>
                <w:sz w:val="21"/>
                <w:szCs w:val="21"/>
              </w:rPr>
            </w:pPr>
            <w:r>
              <w:rPr>
                <w:rFonts w:ascii="宋体" w:eastAsia="宋体" w:hAnsi="宋体" w:cs="宋体" w:hint="eastAsia"/>
                <w:i/>
                <w:iCs/>
                <w:sz w:val="21"/>
                <w:szCs w:val="21"/>
                <w:shd w:val="clear" w:color="auto" w:fill="FFFFFF"/>
              </w:rPr>
              <w:t>Phragmites australis (Cav.) Trin. ex Steu</w:t>
            </w:r>
          </w:p>
        </w:tc>
      </w:tr>
      <w:tr w:rsidR="005A1A44" w14:paraId="347D7585" w14:textId="77777777">
        <w:tc>
          <w:tcPr>
            <w:tcW w:w="740" w:type="dxa"/>
            <w:tcBorders>
              <w:top w:val="single" w:sz="4" w:space="0" w:color="auto"/>
              <w:left w:val="single" w:sz="4" w:space="0" w:color="auto"/>
              <w:bottom w:val="single" w:sz="4" w:space="0" w:color="auto"/>
              <w:right w:val="single" w:sz="4" w:space="0" w:color="auto"/>
            </w:tcBorders>
            <w:vAlign w:val="center"/>
          </w:tcPr>
          <w:p w14:paraId="579B9CB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w:t>
            </w:r>
          </w:p>
        </w:tc>
        <w:tc>
          <w:tcPr>
            <w:tcW w:w="1468" w:type="dxa"/>
            <w:tcBorders>
              <w:top w:val="single" w:sz="4" w:space="0" w:color="auto"/>
              <w:left w:val="nil"/>
              <w:bottom w:val="single" w:sz="4" w:space="0" w:color="auto"/>
              <w:right w:val="single" w:sz="4" w:space="0" w:color="auto"/>
            </w:tcBorders>
            <w:vAlign w:val="center"/>
          </w:tcPr>
          <w:p w14:paraId="07D78CB8"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多枝柽柳</w:t>
            </w:r>
          </w:p>
        </w:tc>
        <w:tc>
          <w:tcPr>
            <w:tcW w:w="6320" w:type="dxa"/>
            <w:tcBorders>
              <w:top w:val="single" w:sz="4" w:space="0" w:color="auto"/>
              <w:left w:val="nil"/>
              <w:bottom w:val="single" w:sz="4" w:space="0" w:color="auto"/>
              <w:right w:val="single" w:sz="4" w:space="0" w:color="auto"/>
            </w:tcBorders>
            <w:vAlign w:val="center"/>
          </w:tcPr>
          <w:p w14:paraId="733E34D3" w14:textId="77777777" w:rsidR="005A1A44" w:rsidRDefault="0008059E">
            <w:pPr>
              <w:spacing w:line="240" w:lineRule="auto"/>
              <w:ind w:firstLineChars="0" w:firstLine="0"/>
              <w:rPr>
                <w:rFonts w:ascii="宋体" w:eastAsia="宋体" w:hAnsi="宋体" w:cs="宋体" w:hint="eastAsia"/>
                <w:i/>
                <w:iCs/>
                <w:sz w:val="21"/>
                <w:szCs w:val="21"/>
                <w:shd w:val="clear" w:color="auto" w:fill="FFFFFF"/>
              </w:rPr>
            </w:pPr>
            <w:r>
              <w:rPr>
                <w:rFonts w:ascii="宋体" w:eastAsia="宋体" w:hAnsi="宋体" w:cs="宋体" w:hint="eastAsia"/>
                <w:i/>
                <w:iCs/>
                <w:sz w:val="21"/>
                <w:szCs w:val="21"/>
                <w:shd w:val="clear" w:color="auto" w:fill="FFFFFF"/>
              </w:rPr>
              <w:t>Tamarix ramosissima Lcdcb</w:t>
            </w:r>
          </w:p>
        </w:tc>
      </w:tr>
      <w:tr w:rsidR="005A1A44" w14:paraId="32C8D117" w14:textId="77777777">
        <w:tc>
          <w:tcPr>
            <w:tcW w:w="740" w:type="dxa"/>
            <w:tcBorders>
              <w:top w:val="single" w:sz="4" w:space="0" w:color="auto"/>
              <w:left w:val="single" w:sz="4" w:space="0" w:color="auto"/>
              <w:bottom w:val="single" w:sz="4" w:space="0" w:color="auto"/>
              <w:right w:val="single" w:sz="4" w:space="0" w:color="auto"/>
            </w:tcBorders>
            <w:vAlign w:val="center"/>
          </w:tcPr>
          <w:p w14:paraId="4C12345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3</w:t>
            </w:r>
          </w:p>
        </w:tc>
        <w:tc>
          <w:tcPr>
            <w:tcW w:w="1468" w:type="dxa"/>
            <w:tcBorders>
              <w:top w:val="single" w:sz="4" w:space="0" w:color="auto"/>
              <w:left w:val="nil"/>
              <w:bottom w:val="single" w:sz="4" w:space="0" w:color="auto"/>
              <w:right w:val="single" w:sz="4" w:space="0" w:color="auto"/>
            </w:tcBorders>
            <w:vAlign w:val="center"/>
          </w:tcPr>
          <w:p w14:paraId="716E3927"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胡杨</w:t>
            </w:r>
          </w:p>
        </w:tc>
        <w:tc>
          <w:tcPr>
            <w:tcW w:w="6320" w:type="dxa"/>
            <w:tcBorders>
              <w:top w:val="single" w:sz="4" w:space="0" w:color="auto"/>
              <w:left w:val="nil"/>
              <w:bottom w:val="single" w:sz="4" w:space="0" w:color="auto"/>
              <w:right w:val="single" w:sz="4" w:space="0" w:color="auto"/>
            </w:tcBorders>
            <w:vAlign w:val="center"/>
          </w:tcPr>
          <w:p w14:paraId="2C9387AD" w14:textId="77777777" w:rsidR="005A1A44" w:rsidRDefault="0008059E">
            <w:pPr>
              <w:tabs>
                <w:tab w:val="left" w:pos="683"/>
              </w:tabs>
              <w:spacing w:line="240" w:lineRule="auto"/>
              <w:ind w:firstLineChars="0" w:firstLine="0"/>
              <w:rPr>
                <w:rFonts w:ascii="宋体" w:eastAsia="宋体" w:hAnsi="宋体" w:cs="宋体" w:hint="eastAsia"/>
                <w:i/>
                <w:iCs/>
                <w:sz w:val="21"/>
                <w:szCs w:val="21"/>
                <w:shd w:val="clear" w:color="auto" w:fill="FFFFFF"/>
              </w:rPr>
            </w:pPr>
            <w:r>
              <w:rPr>
                <w:rFonts w:ascii="宋体" w:eastAsia="宋体" w:hAnsi="宋体" w:cs="宋体" w:hint="eastAsia"/>
                <w:i/>
                <w:iCs/>
                <w:sz w:val="21"/>
                <w:szCs w:val="21"/>
                <w:shd w:val="clear" w:color="auto" w:fill="FFFFFF"/>
              </w:rPr>
              <w:t>Populus euphratica</w:t>
            </w:r>
          </w:p>
        </w:tc>
      </w:tr>
      <w:tr w:rsidR="005A1A44" w14:paraId="3B9E946F" w14:textId="77777777">
        <w:tc>
          <w:tcPr>
            <w:tcW w:w="740" w:type="dxa"/>
            <w:tcBorders>
              <w:top w:val="single" w:sz="4" w:space="0" w:color="auto"/>
              <w:left w:val="single" w:sz="4" w:space="0" w:color="auto"/>
              <w:bottom w:val="single" w:sz="4" w:space="0" w:color="auto"/>
              <w:right w:val="single" w:sz="4" w:space="0" w:color="auto"/>
            </w:tcBorders>
            <w:vAlign w:val="center"/>
          </w:tcPr>
          <w:p w14:paraId="5D0A1FA4"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4</w:t>
            </w:r>
          </w:p>
        </w:tc>
        <w:tc>
          <w:tcPr>
            <w:tcW w:w="1468" w:type="dxa"/>
            <w:tcBorders>
              <w:top w:val="single" w:sz="4" w:space="0" w:color="auto"/>
              <w:left w:val="nil"/>
              <w:bottom w:val="single" w:sz="4" w:space="0" w:color="auto"/>
              <w:right w:val="single" w:sz="4" w:space="0" w:color="auto"/>
            </w:tcBorders>
            <w:vAlign w:val="center"/>
          </w:tcPr>
          <w:p w14:paraId="686CD0E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kern w:val="0"/>
                <w:sz w:val="21"/>
                <w:szCs w:val="21"/>
              </w:rPr>
              <w:t>假苇拂子茅</w:t>
            </w:r>
          </w:p>
        </w:tc>
        <w:tc>
          <w:tcPr>
            <w:tcW w:w="6320" w:type="dxa"/>
            <w:tcBorders>
              <w:top w:val="single" w:sz="4" w:space="0" w:color="auto"/>
              <w:left w:val="nil"/>
              <w:bottom w:val="single" w:sz="4" w:space="0" w:color="auto"/>
              <w:right w:val="single" w:sz="4" w:space="0" w:color="auto"/>
            </w:tcBorders>
            <w:vAlign w:val="center"/>
          </w:tcPr>
          <w:p w14:paraId="3198526B" w14:textId="77777777" w:rsidR="005A1A44" w:rsidRDefault="0008059E">
            <w:pPr>
              <w:spacing w:line="240" w:lineRule="auto"/>
              <w:ind w:firstLineChars="0" w:firstLine="0"/>
              <w:rPr>
                <w:rFonts w:ascii="宋体" w:eastAsia="宋体" w:hAnsi="宋体" w:cs="宋体" w:hint="eastAsia"/>
                <w:i/>
                <w:iCs/>
                <w:sz w:val="21"/>
                <w:szCs w:val="21"/>
                <w:shd w:val="clear" w:color="auto" w:fill="FFFFFF"/>
              </w:rPr>
            </w:pPr>
            <w:r>
              <w:rPr>
                <w:rFonts w:ascii="宋体" w:eastAsia="宋体" w:hAnsi="宋体" w:cs="宋体" w:hint="eastAsia"/>
                <w:i/>
                <w:iCs/>
                <w:kern w:val="0"/>
                <w:sz w:val="21"/>
                <w:szCs w:val="21"/>
              </w:rPr>
              <w:t>Calomnagro stis pseudophragmites</w:t>
            </w:r>
          </w:p>
        </w:tc>
      </w:tr>
      <w:tr w:rsidR="005A1A44" w14:paraId="428BF5BB" w14:textId="77777777">
        <w:tc>
          <w:tcPr>
            <w:tcW w:w="740" w:type="dxa"/>
            <w:tcBorders>
              <w:top w:val="single" w:sz="4" w:space="0" w:color="auto"/>
              <w:left w:val="single" w:sz="4" w:space="0" w:color="auto"/>
              <w:bottom w:val="single" w:sz="4" w:space="0" w:color="auto"/>
              <w:right w:val="single" w:sz="4" w:space="0" w:color="auto"/>
            </w:tcBorders>
            <w:vAlign w:val="center"/>
          </w:tcPr>
          <w:p w14:paraId="4DB13DB1"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5</w:t>
            </w:r>
          </w:p>
        </w:tc>
        <w:tc>
          <w:tcPr>
            <w:tcW w:w="1468" w:type="dxa"/>
            <w:tcBorders>
              <w:top w:val="single" w:sz="4" w:space="0" w:color="auto"/>
              <w:left w:val="nil"/>
              <w:bottom w:val="single" w:sz="4" w:space="0" w:color="auto"/>
              <w:right w:val="single" w:sz="4" w:space="0" w:color="auto"/>
            </w:tcBorders>
            <w:vAlign w:val="center"/>
          </w:tcPr>
          <w:p w14:paraId="2398813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kern w:val="0"/>
                <w:sz w:val="21"/>
                <w:szCs w:val="21"/>
              </w:rPr>
              <w:t>沙地旋复花</w:t>
            </w:r>
          </w:p>
        </w:tc>
        <w:tc>
          <w:tcPr>
            <w:tcW w:w="6320" w:type="dxa"/>
            <w:tcBorders>
              <w:top w:val="single" w:sz="4" w:space="0" w:color="auto"/>
              <w:left w:val="nil"/>
              <w:bottom w:val="single" w:sz="4" w:space="0" w:color="auto"/>
              <w:right w:val="single" w:sz="4" w:space="0" w:color="auto"/>
            </w:tcBorders>
            <w:vAlign w:val="center"/>
          </w:tcPr>
          <w:p w14:paraId="2CA14976" w14:textId="77777777" w:rsidR="005A1A44" w:rsidRDefault="0008059E">
            <w:pPr>
              <w:spacing w:line="240" w:lineRule="auto"/>
              <w:ind w:firstLineChars="0" w:firstLine="0"/>
              <w:rPr>
                <w:rFonts w:ascii="宋体" w:eastAsia="宋体" w:hAnsi="宋体" w:cs="宋体" w:hint="eastAsia"/>
                <w:i/>
                <w:iCs/>
                <w:sz w:val="21"/>
                <w:szCs w:val="21"/>
              </w:rPr>
            </w:pPr>
            <w:r>
              <w:rPr>
                <w:rFonts w:ascii="宋体" w:eastAsia="宋体" w:hAnsi="宋体" w:cs="宋体" w:hint="eastAsia"/>
                <w:i/>
                <w:iCs/>
                <w:kern w:val="0"/>
                <w:sz w:val="21"/>
                <w:szCs w:val="21"/>
              </w:rPr>
              <w:t>Inula salsoloides</w:t>
            </w:r>
          </w:p>
        </w:tc>
      </w:tr>
      <w:tr w:rsidR="005A1A44" w14:paraId="0E421C64" w14:textId="77777777">
        <w:tc>
          <w:tcPr>
            <w:tcW w:w="740" w:type="dxa"/>
            <w:tcBorders>
              <w:top w:val="single" w:sz="4" w:space="0" w:color="auto"/>
              <w:left w:val="single" w:sz="4" w:space="0" w:color="auto"/>
              <w:bottom w:val="single" w:sz="4" w:space="0" w:color="auto"/>
              <w:right w:val="single" w:sz="4" w:space="0" w:color="auto"/>
            </w:tcBorders>
            <w:vAlign w:val="center"/>
          </w:tcPr>
          <w:p w14:paraId="0E5ED3D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6</w:t>
            </w:r>
          </w:p>
        </w:tc>
        <w:tc>
          <w:tcPr>
            <w:tcW w:w="1468" w:type="dxa"/>
            <w:tcBorders>
              <w:top w:val="single" w:sz="4" w:space="0" w:color="auto"/>
              <w:left w:val="nil"/>
              <w:bottom w:val="single" w:sz="4" w:space="0" w:color="auto"/>
              <w:right w:val="single" w:sz="4" w:space="0" w:color="auto"/>
            </w:tcBorders>
            <w:vAlign w:val="center"/>
          </w:tcPr>
          <w:p w14:paraId="66F093F9"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盐穗木</w:t>
            </w:r>
          </w:p>
        </w:tc>
        <w:tc>
          <w:tcPr>
            <w:tcW w:w="6320" w:type="dxa"/>
            <w:tcBorders>
              <w:top w:val="single" w:sz="4" w:space="0" w:color="auto"/>
              <w:left w:val="nil"/>
              <w:bottom w:val="single" w:sz="4" w:space="0" w:color="auto"/>
              <w:right w:val="single" w:sz="4" w:space="0" w:color="auto"/>
            </w:tcBorders>
            <w:vAlign w:val="center"/>
          </w:tcPr>
          <w:p w14:paraId="3669A740" w14:textId="77777777" w:rsidR="005A1A44" w:rsidRDefault="0008059E">
            <w:pPr>
              <w:spacing w:line="240" w:lineRule="auto"/>
              <w:ind w:firstLineChars="0" w:firstLine="0"/>
              <w:rPr>
                <w:rFonts w:ascii="宋体" w:eastAsia="宋体" w:hAnsi="宋体" w:cs="宋体" w:hint="eastAsia"/>
                <w:i/>
                <w:iCs/>
                <w:sz w:val="21"/>
                <w:szCs w:val="21"/>
              </w:rPr>
            </w:pPr>
            <w:r>
              <w:rPr>
                <w:rFonts w:ascii="宋体" w:eastAsia="宋体" w:hAnsi="宋体" w:cs="宋体" w:hint="eastAsia"/>
                <w:i/>
                <w:iCs/>
                <w:kern w:val="0"/>
                <w:sz w:val="21"/>
                <w:szCs w:val="21"/>
              </w:rPr>
              <w:t>Halostachys caspica</w:t>
            </w:r>
          </w:p>
        </w:tc>
      </w:tr>
      <w:tr w:rsidR="005A1A44" w14:paraId="2E7DDBF4" w14:textId="77777777">
        <w:tc>
          <w:tcPr>
            <w:tcW w:w="740" w:type="dxa"/>
            <w:tcBorders>
              <w:top w:val="single" w:sz="4" w:space="0" w:color="auto"/>
              <w:left w:val="single" w:sz="4" w:space="0" w:color="auto"/>
              <w:bottom w:val="single" w:sz="4" w:space="0" w:color="auto"/>
              <w:right w:val="single" w:sz="4" w:space="0" w:color="auto"/>
            </w:tcBorders>
            <w:vAlign w:val="center"/>
          </w:tcPr>
          <w:p w14:paraId="1947EF83"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7</w:t>
            </w:r>
          </w:p>
        </w:tc>
        <w:tc>
          <w:tcPr>
            <w:tcW w:w="1468" w:type="dxa"/>
            <w:tcBorders>
              <w:top w:val="single" w:sz="4" w:space="0" w:color="auto"/>
              <w:left w:val="nil"/>
              <w:bottom w:val="single" w:sz="4" w:space="0" w:color="auto"/>
              <w:right w:val="single" w:sz="4" w:space="0" w:color="auto"/>
            </w:tcBorders>
            <w:vAlign w:val="center"/>
          </w:tcPr>
          <w:p w14:paraId="77BC3D7E"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黑枸杞</w:t>
            </w:r>
          </w:p>
        </w:tc>
        <w:tc>
          <w:tcPr>
            <w:tcW w:w="6320" w:type="dxa"/>
            <w:tcBorders>
              <w:top w:val="single" w:sz="4" w:space="0" w:color="auto"/>
              <w:left w:val="nil"/>
              <w:bottom w:val="single" w:sz="4" w:space="0" w:color="auto"/>
              <w:right w:val="single" w:sz="4" w:space="0" w:color="auto"/>
            </w:tcBorders>
            <w:vAlign w:val="center"/>
          </w:tcPr>
          <w:p w14:paraId="0B9000DD" w14:textId="77777777" w:rsidR="005A1A44" w:rsidRDefault="0008059E">
            <w:pPr>
              <w:spacing w:line="240" w:lineRule="auto"/>
              <w:ind w:firstLineChars="0" w:firstLine="0"/>
              <w:rPr>
                <w:rFonts w:ascii="宋体" w:eastAsia="宋体" w:hAnsi="宋体" w:cs="宋体" w:hint="eastAsia"/>
                <w:i/>
                <w:iCs/>
                <w:sz w:val="21"/>
                <w:szCs w:val="21"/>
              </w:rPr>
            </w:pPr>
            <w:r>
              <w:rPr>
                <w:rFonts w:ascii="宋体" w:eastAsia="宋体" w:hAnsi="宋体" w:cs="宋体" w:hint="eastAsia"/>
                <w:i/>
                <w:iCs/>
                <w:sz w:val="21"/>
                <w:szCs w:val="21"/>
                <w:shd w:val="clear" w:color="auto" w:fill="FFFFFF"/>
              </w:rPr>
              <w:t>Lycium ruthenicum Murr.</w:t>
            </w:r>
          </w:p>
        </w:tc>
      </w:tr>
      <w:tr w:rsidR="005A1A44" w14:paraId="1BC46E15" w14:textId="77777777">
        <w:tc>
          <w:tcPr>
            <w:tcW w:w="740" w:type="dxa"/>
            <w:tcBorders>
              <w:top w:val="single" w:sz="4" w:space="0" w:color="auto"/>
              <w:left w:val="single" w:sz="4" w:space="0" w:color="auto"/>
              <w:bottom w:val="single" w:sz="4" w:space="0" w:color="auto"/>
              <w:right w:val="single" w:sz="4" w:space="0" w:color="auto"/>
            </w:tcBorders>
            <w:vAlign w:val="center"/>
          </w:tcPr>
          <w:p w14:paraId="2D6BE5E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8</w:t>
            </w:r>
          </w:p>
        </w:tc>
        <w:tc>
          <w:tcPr>
            <w:tcW w:w="1468" w:type="dxa"/>
            <w:tcBorders>
              <w:top w:val="single" w:sz="4" w:space="0" w:color="auto"/>
              <w:left w:val="nil"/>
              <w:bottom w:val="single" w:sz="4" w:space="0" w:color="auto"/>
              <w:right w:val="single" w:sz="4" w:space="0" w:color="auto"/>
            </w:tcBorders>
            <w:vAlign w:val="center"/>
          </w:tcPr>
          <w:p w14:paraId="1F60771D"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胀果干草</w:t>
            </w:r>
          </w:p>
        </w:tc>
        <w:tc>
          <w:tcPr>
            <w:tcW w:w="6320" w:type="dxa"/>
            <w:tcBorders>
              <w:top w:val="single" w:sz="4" w:space="0" w:color="auto"/>
              <w:left w:val="nil"/>
              <w:bottom w:val="single" w:sz="4" w:space="0" w:color="auto"/>
              <w:right w:val="single" w:sz="4" w:space="0" w:color="auto"/>
            </w:tcBorders>
            <w:vAlign w:val="center"/>
          </w:tcPr>
          <w:p w14:paraId="52C647FC" w14:textId="77777777" w:rsidR="005A1A44" w:rsidRDefault="0008059E">
            <w:pPr>
              <w:spacing w:line="240" w:lineRule="auto"/>
              <w:ind w:firstLineChars="0" w:firstLine="0"/>
              <w:rPr>
                <w:rFonts w:ascii="宋体" w:eastAsia="宋体" w:hAnsi="宋体" w:cs="宋体" w:hint="eastAsia"/>
                <w:i/>
                <w:iCs/>
                <w:sz w:val="21"/>
                <w:szCs w:val="21"/>
              </w:rPr>
            </w:pPr>
            <w:r>
              <w:rPr>
                <w:rFonts w:ascii="宋体" w:eastAsia="宋体" w:hAnsi="宋体" w:cs="宋体" w:hint="eastAsia"/>
                <w:i/>
                <w:iCs/>
                <w:sz w:val="21"/>
                <w:szCs w:val="21"/>
                <w:shd w:val="clear" w:color="auto" w:fill="FFFFFF"/>
              </w:rPr>
              <w:t>Glycyrrhiza inflata Batalin</w:t>
            </w:r>
          </w:p>
        </w:tc>
      </w:tr>
    </w:tbl>
    <w:p w14:paraId="59BFE5CF" w14:textId="77777777" w:rsidR="005A1A44" w:rsidRDefault="0008059E">
      <w:pPr>
        <w:pStyle w:val="3"/>
        <w:numPr>
          <w:ilvl w:val="2"/>
          <w:numId w:val="2"/>
        </w:numPr>
      </w:pPr>
      <w:r>
        <w:rPr>
          <w:rFonts w:hint="eastAsia"/>
        </w:rPr>
        <w:t xml:space="preserve"> </w:t>
      </w:r>
      <w:r>
        <w:rPr>
          <w:rFonts w:hint="eastAsia"/>
        </w:rPr>
        <w:t>野生动物</w:t>
      </w:r>
    </w:p>
    <w:p w14:paraId="31E0094C" w14:textId="77777777" w:rsidR="005A1A44" w:rsidRDefault="0008059E">
      <w:pPr>
        <w:ind w:firstLine="480"/>
      </w:pPr>
      <w:r>
        <w:rPr>
          <w:rFonts w:hint="eastAsia"/>
        </w:rPr>
        <w:t>经野外调查并结合访问调查和相关文献资料考证，玉龙喀什河流域有野生动物</w:t>
      </w:r>
      <w:r>
        <w:rPr>
          <w:rFonts w:hint="eastAsia"/>
        </w:rPr>
        <w:t>4</w:t>
      </w:r>
      <w:r>
        <w:rPr>
          <w:rFonts w:hint="eastAsia"/>
        </w:rPr>
        <w:t>纲</w:t>
      </w:r>
      <w:r>
        <w:rPr>
          <w:rFonts w:hint="eastAsia"/>
        </w:rPr>
        <w:t>25</w:t>
      </w:r>
      <w:r>
        <w:rPr>
          <w:rFonts w:hint="eastAsia"/>
        </w:rPr>
        <w:t>目</w:t>
      </w:r>
      <w:r>
        <w:rPr>
          <w:rFonts w:hint="eastAsia"/>
        </w:rPr>
        <w:t>55</w:t>
      </w:r>
      <w:r>
        <w:rPr>
          <w:rFonts w:hint="eastAsia"/>
        </w:rPr>
        <w:t>科</w:t>
      </w:r>
      <w:r>
        <w:rPr>
          <w:rFonts w:hint="eastAsia"/>
        </w:rPr>
        <w:t>249</w:t>
      </w:r>
      <w:r>
        <w:rPr>
          <w:rFonts w:hint="eastAsia"/>
        </w:rPr>
        <w:t>种。其中兽类以荒漠动物为主，共计</w:t>
      </w:r>
      <w:r>
        <w:rPr>
          <w:rFonts w:hint="eastAsia"/>
        </w:rPr>
        <w:t>6</w:t>
      </w:r>
      <w:r>
        <w:rPr>
          <w:rFonts w:hint="eastAsia"/>
        </w:rPr>
        <w:t>目</w:t>
      </w:r>
      <w:r>
        <w:rPr>
          <w:rFonts w:hint="eastAsia"/>
        </w:rPr>
        <w:t>14</w:t>
      </w:r>
      <w:r>
        <w:rPr>
          <w:rFonts w:hint="eastAsia"/>
        </w:rPr>
        <w:t>科</w:t>
      </w:r>
      <w:r>
        <w:rPr>
          <w:rFonts w:hint="eastAsia"/>
        </w:rPr>
        <w:t>41</w:t>
      </w:r>
      <w:r>
        <w:rPr>
          <w:rFonts w:hint="eastAsia"/>
        </w:rPr>
        <w:t>种，具保护级别兽类</w:t>
      </w:r>
      <w:r>
        <w:rPr>
          <w:rFonts w:hint="eastAsia"/>
        </w:rPr>
        <w:t>17</w:t>
      </w:r>
      <w:r>
        <w:rPr>
          <w:rFonts w:hint="eastAsia"/>
        </w:rPr>
        <w:t>种，包括国家Ⅰ级</w:t>
      </w:r>
      <w:r>
        <w:rPr>
          <w:rFonts w:hint="eastAsia"/>
        </w:rPr>
        <w:t>2</w:t>
      </w:r>
      <w:r>
        <w:rPr>
          <w:rFonts w:hint="eastAsia"/>
        </w:rPr>
        <w:t>种，为雪豹、北山羊；国家Ⅱ级</w:t>
      </w:r>
      <w:r>
        <w:rPr>
          <w:rFonts w:hint="eastAsia"/>
        </w:rPr>
        <w:t>9</w:t>
      </w:r>
      <w:r>
        <w:rPr>
          <w:rFonts w:hint="eastAsia"/>
        </w:rPr>
        <w:t>种，为石貂、猞猁、兔狲、野猫、马鹿、盘羊、岩羊、鹅喉羚、塔里木兔；自治区Ⅰ级</w:t>
      </w:r>
      <w:r>
        <w:rPr>
          <w:rFonts w:hint="eastAsia"/>
        </w:rPr>
        <w:t>4</w:t>
      </w:r>
      <w:r>
        <w:rPr>
          <w:rFonts w:hint="eastAsia"/>
        </w:rPr>
        <w:t>种，为白鼬、虎鼬、赤狐、沙狐；自治区Ⅱ级</w:t>
      </w:r>
      <w:r>
        <w:rPr>
          <w:rFonts w:hint="eastAsia"/>
        </w:rPr>
        <w:t>2</w:t>
      </w:r>
      <w:r>
        <w:rPr>
          <w:rFonts w:hint="eastAsia"/>
        </w:rPr>
        <w:t>种，为伶鼬、艾鼬。鸟类共计</w:t>
      </w:r>
      <w:r>
        <w:rPr>
          <w:rFonts w:hint="eastAsia"/>
        </w:rPr>
        <w:t>17</w:t>
      </w:r>
      <w:r>
        <w:rPr>
          <w:rFonts w:hint="eastAsia"/>
        </w:rPr>
        <w:t>目</w:t>
      </w:r>
      <w:r>
        <w:rPr>
          <w:rFonts w:hint="eastAsia"/>
        </w:rPr>
        <w:t>36</w:t>
      </w:r>
      <w:r>
        <w:rPr>
          <w:rFonts w:hint="eastAsia"/>
        </w:rPr>
        <w:t>科</w:t>
      </w:r>
      <w:r>
        <w:rPr>
          <w:rFonts w:hint="eastAsia"/>
        </w:rPr>
        <w:t>195</w:t>
      </w:r>
      <w:r>
        <w:rPr>
          <w:rFonts w:hint="eastAsia"/>
        </w:rPr>
        <w:t>种，具保护级别鸟类</w:t>
      </w:r>
      <w:r>
        <w:rPr>
          <w:rFonts w:hint="eastAsia"/>
        </w:rPr>
        <w:t>55</w:t>
      </w:r>
      <w:r>
        <w:rPr>
          <w:rFonts w:hint="eastAsia"/>
        </w:rPr>
        <w:t>种，其中国家</w:t>
      </w:r>
      <w:r>
        <w:rPr>
          <w:rFonts w:hint="eastAsia"/>
        </w:rPr>
        <w:t>I</w:t>
      </w:r>
      <w:r>
        <w:rPr>
          <w:rFonts w:hint="eastAsia"/>
        </w:rPr>
        <w:t>级</w:t>
      </w:r>
      <w:r>
        <w:rPr>
          <w:rFonts w:hint="eastAsia"/>
        </w:rPr>
        <w:t>2</w:t>
      </w:r>
      <w:r>
        <w:rPr>
          <w:rFonts w:hint="eastAsia"/>
        </w:rPr>
        <w:t>种，为黑鹳、胡兀鹫；</w:t>
      </w:r>
    </w:p>
    <w:p w14:paraId="7AD16CF1" w14:textId="77777777" w:rsidR="005A1A44" w:rsidRDefault="0008059E">
      <w:pPr>
        <w:ind w:firstLine="480"/>
      </w:pPr>
      <w:r>
        <w:rPr>
          <w:rFonts w:hint="eastAsia"/>
        </w:rPr>
        <w:t>国家Ⅱ级</w:t>
      </w:r>
      <w:r>
        <w:rPr>
          <w:rFonts w:hint="eastAsia"/>
        </w:rPr>
        <w:t>23</w:t>
      </w:r>
      <w:r>
        <w:rPr>
          <w:rFonts w:hint="eastAsia"/>
        </w:rPr>
        <w:t>种，为秃鹫、高山兀鹫、高山雪鸡、纵纹角鸮、纵纹腹小鸮、鸢、</w:t>
      </w:r>
      <w:r>
        <w:rPr>
          <w:rFonts w:hint="eastAsia"/>
        </w:rPr>
        <w:lastRenderedPageBreak/>
        <w:t>褐耳鹰、雀鹰、草原鹞、白头鹞、白尾鹞、普通鵟、毛脚鵟、猎隼、燕隼、红隼、灰背隼、游隼、白额雁、灰鹤、蓑羽鹤、姬田鸡、黑腹沙鸡；自治区</w:t>
      </w:r>
      <w:r>
        <w:rPr>
          <w:rFonts w:hint="eastAsia"/>
        </w:rPr>
        <w:t>I</w:t>
      </w:r>
      <w:r>
        <w:rPr>
          <w:rFonts w:hint="eastAsia"/>
        </w:rPr>
        <w:t>级</w:t>
      </w:r>
      <w:r>
        <w:rPr>
          <w:rFonts w:hint="eastAsia"/>
        </w:rPr>
        <w:t>6</w:t>
      </w:r>
      <w:r>
        <w:rPr>
          <w:rFonts w:hint="eastAsia"/>
        </w:rPr>
        <w:t>种，为黑颈鸊鷉、苍鹭、大白鹭、大麻开鸟、白头硬尾鸭、欧鸽；自治区Ⅱ级的</w:t>
      </w:r>
      <w:r>
        <w:rPr>
          <w:rFonts w:hint="eastAsia"/>
        </w:rPr>
        <w:t>5</w:t>
      </w:r>
      <w:r>
        <w:rPr>
          <w:rFonts w:hint="eastAsia"/>
        </w:rPr>
        <w:t>种，为翘鼻麻鸭、针尾鸭、白眼潜鸭、环颈雉、蓝胸佛法僧。两栖纲</w:t>
      </w:r>
      <w:r>
        <w:rPr>
          <w:rFonts w:hint="eastAsia"/>
        </w:rPr>
        <w:t>1</w:t>
      </w:r>
      <w:r>
        <w:rPr>
          <w:rFonts w:hint="eastAsia"/>
        </w:rPr>
        <w:t>目</w:t>
      </w:r>
      <w:r>
        <w:rPr>
          <w:rFonts w:hint="eastAsia"/>
        </w:rPr>
        <w:t>1</w:t>
      </w:r>
      <w:r>
        <w:rPr>
          <w:rFonts w:hint="eastAsia"/>
        </w:rPr>
        <w:t>科</w:t>
      </w:r>
      <w:r>
        <w:rPr>
          <w:rFonts w:hint="eastAsia"/>
        </w:rPr>
        <w:t>1</w:t>
      </w:r>
      <w:r>
        <w:rPr>
          <w:rFonts w:hint="eastAsia"/>
        </w:rPr>
        <w:t>种，爬行纲</w:t>
      </w:r>
      <w:r>
        <w:rPr>
          <w:rFonts w:hint="eastAsia"/>
        </w:rPr>
        <w:t>1</w:t>
      </w:r>
      <w:r>
        <w:rPr>
          <w:rFonts w:hint="eastAsia"/>
        </w:rPr>
        <w:t>目</w:t>
      </w:r>
      <w:r>
        <w:rPr>
          <w:rFonts w:hint="eastAsia"/>
        </w:rPr>
        <w:t>4</w:t>
      </w:r>
      <w:r>
        <w:rPr>
          <w:rFonts w:hint="eastAsia"/>
        </w:rPr>
        <w:t>科</w:t>
      </w:r>
      <w:r>
        <w:rPr>
          <w:rFonts w:hint="eastAsia"/>
        </w:rPr>
        <w:t>12</w:t>
      </w:r>
      <w:r>
        <w:rPr>
          <w:rFonts w:hint="eastAsia"/>
        </w:rPr>
        <w:t>种，其中包括自治区Ⅱ级保护动物新疆鬣蜥和棋斑游蛇两种。</w:t>
      </w:r>
    </w:p>
    <w:p w14:paraId="4F4D4C91" w14:textId="77777777" w:rsidR="005A1A44" w:rsidRDefault="0008059E">
      <w:pPr>
        <w:ind w:firstLine="480"/>
      </w:pPr>
      <w:r>
        <w:rPr>
          <w:rFonts w:hint="eastAsia"/>
        </w:rPr>
        <w:t>项目区位于人为活动较为剧烈的城镇，基本没有野生动物。</w:t>
      </w:r>
    </w:p>
    <w:p w14:paraId="637F299F" w14:textId="77777777" w:rsidR="005A1A44" w:rsidRDefault="0008059E">
      <w:pPr>
        <w:pStyle w:val="3"/>
        <w:numPr>
          <w:ilvl w:val="2"/>
          <w:numId w:val="2"/>
        </w:numPr>
      </w:pPr>
      <w:r>
        <w:rPr>
          <w:rFonts w:hint="eastAsia"/>
        </w:rPr>
        <w:t xml:space="preserve"> </w:t>
      </w:r>
      <w:r>
        <w:rPr>
          <w:rFonts w:hint="eastAsia"/>
        </w:rPr>
        <w:t>水生生态</w:t>
      </w:r>
    </w:p>
    <w:p w14:paraId="206C9586" w14:textId="77777777" w:rsidR="005A1A44" w:rsidRDefault="0008059E">
      <w:pPr>
        <w:ind w:firstLine="480"/>
      </w:pPr>
      <w:r>
        <w:rPr>
          <w:rFonts w:hint="eastAsia"/>
        </w:rPr>
        <w:t>根据《新疆和田河流域综合规划环境影响报告书》，和田河玉龙喀什河从源头到同古孜洛克（或玉龙喀什河渠首），为山谷河段，河谷多呈“</w:t>
      </w:r>
      <w:r>
        <w:rPr>
          <w:rFonts w:hint="eastAsia"/>
        </w:rPr>
        <w:t>U</w:t>
      </w:r>
      <w:r>
        <w:rPr>
          <w:rFonts w:hint="eastAsia"/>
        </w:rPr>
        <w:t>”型河谷嵌套“</w:t>
      </w:r>
      <w:r>
        <w:rPr>
          <w:rFonts w:hint="eastAsia"/>
        </w:rPr>
        <w:t>V</w:t>
      </w:r>
      <w:r>
        <w:rPr>
          <w:rFonts w:hint="eastAsia"/>
        </w:rPr>
        <w:t>”型河槽，是以塔里木裂腹鱼及斑重唇鱼等为代表的裂腹鱼及以长身高原鳅等为代表的高原鳅类的主要栖息地，裂腹鱼类主要选择上游河段泉水涌出地及支流河口河段进行繁殖活动，而定居型的高原鳅就类则在其栖息地选择合适的区域进行繁殖活动。该河段的回水湾、深潭和石砾缝隙为栖息于该水域的这土著鱼类的越冬场所。</w:t>
      </w:r>
    </w:p>
    <w:p w14:paraId="00B10A94" w14:textId="77777777" w:rsidR="005A1A44" w:rsidRDefault="0008059E">
      <w:pPr>
        <w:ind w:firstLine="480"/>
      </w:pPr>
      <w:r>
        <w:rPr>
          <w:rFonts w:hint="eastAsia"/>
        </w:rPr>
        <w:t>新疆健坤生态文旅有限公司玉龙喀什河河道治理及两岸生态修复项目位于玉龙喀什河渠首下游，因此不属于土著鱼类的“三场”范围。</w:t>
      </w:r>
    </w:p>
    <w:p w14:paraId="22EF7B87" w14:textId="77777777" w:rsidR="005A1A44" w:rsidRDefault="0008059E">
      <w:pPr>
        <w:pStyle w:val="3"/>
        <w:numPr>
          <w:ilvl w:val="2"/>
          <w:numId w:val="2"/>
        </w:numPr>
      </w:pPr>
      <w:r>
        <w:rPr>
          <w:rFonts w:hint="eastAsia"/>
        </w:rPr>
        <w:t xml:space="preserve"> </w:t>
      </w:r>
      <w:r>
        <w:rPr>
          <w:rFonts w:hint="eastAsia"/>
        </w:rPr>
        <w:t>项目区河道底质质量评价</w:t>
      </w:r>
    </w:p>
    <w:p w14:paraId="5862A084" w14:textId="77777777" w:rsidR="005A1A44" w:rsidRDefault="0008059E">
      <w:pPr>
        <w:ind w:firstLine="480"/>
      </w:pPr>
      <w:r>
        <w:rPr>
          <w:rFonts w:hint="eastAsia"/>
        </w:rPr>
        <w:t>鉴于本项目涉及河道底质疏浚，项目委托相关单位对玉龙喀什河的河道底泥质量进行了监测。监测布点见图</w:t>
      </w:r>
      <w:r>
        <w:rPr>
          <w:rFonts w:hint="eastAsia"/>
        </w:rPr>
        <w:t>4.6-5</w:t>
      </w:r>
      <w:r>
        <w:rPr>
          <w:rFonts w:hint="eastAsia"/>
        </w:rPr>
        <w:t>，主要位于治理河段的首末端。</w:t>
      </w:r>
    </w:p>
    <w:p w14:paraId="5AB4CF51" w14:textId="77777777" w:rsidR="005A1A44" w:rsidRDefault="0008059E">
      <w:pPr>
        <w:ind w:firstLine="480"/>
      </w:pPr>
      <w:r>
        <w:rPr>
          <w:rFonts w:hint="eastAsia"/>
        </w:rPr>
        <w:t>底质检测指标包括：总汞、总砷、总铬、镉、铅、镍、铜、锌，评价标准采用《土壤环境质量</w:t>
      </w:r>
      <w:r>
        <w:rPr>
          <w:rFonts w:hint="eastAsia"/>
        </w:rPr>
        <w:t xml:space="preserve"> </w:t>
      </w:r>
      <w:r>
        <w:rPr>
          <w:rFonts w:hint="eastAsia"/>
        </w:rPr>
        <w:t>农用地土壤污染风险管控标准（试行）》</w:t>
      </w:r>
      <w:r>
        <w:t>（</w:t>
      </w:r>
      <w:r>
        <w:t>GB</w:t>
      </w:r>
      <w:r>
        <w:rPr>
          <w:rFonts w:hint="eastAsia"/>
        </w:rPr>
        <w:t>15618</w:t>
      </w:r>
      <w:r>
        <w:t>-20</w:t>
      </w:r>
      <w:r>
        <w:rPr>
          <w:rFonts w:hint="eastAsia"/>
        </w:rPr>
        <w:t>1</w:t>
      </w:r>
      <w:r>
        <w:t>8</w:t>
      </w:r>
      <w:r>
        <w:t>）</w:t>
      </w:r>
      <w:r>
        <w:rPr>
          <w:rFonts w:hint="eastAsia"/>
        </w:rPr>
        <w:t>的第二类用地标准要求（见表</w:t>
      </w:r>
      <w:r>
        <w:rPr>
          <w:rFonts w:hint="eastAsia"/>
        </w:rPr>
        <w:t>2.3-5</w:t>
      </w:r>
      <w:r>
        <w:rPr>
          <w:rFonts w:hint="eastAsia"/>
        </w:rPr>
        <w:t>）。可以看出，河道内底质污染指标均未超过第二类用地的筛选值和管制值，质量较好，未受到污染。</w:t>
      </w:r>
    </w:p>
    <w:p w14:paraId="65823309" w14:textId="77777777" w:rsidR="005A1A44" w:rsidRDefault="005A1A44">
      <w:pPr>
        <w:ind w:firstLineChars="0" w:firstLine="0"/>
        <w:jc w:val="center"/>
        <w:rPr>
          <w:rFonts w:eastAsia="黑体"/>
          <w:color w:val="000000" w:themeColor="text1"/>
        </w:rPr>
      </w:pPr>
    </w:p>
    <w:p w14:paraId="4EECCD97" w14:textId="77777777" w:rsidR="005A1A44" w:rsidRDefault="005A1A44">
      <w:pPr>
        <w:ind w:firstLineChars="0" w:firstLine="0"/>
        <w:jc w:val="center"/>
        <w:rPr>
          <w:rFonts w:eastAsia="黑体"/>
          <w:color w:val="000000" w:themeColor="text1"/>
        </w:rPr>
      </w:pPr>
    </w:p>
    <w:p w14:paraId="6D97F437" w14:textId="77777777" w:rsidR="005A1A44" w:rsidRDefault="005A1A44">
      <w:pPr>
        <w:ind w:firstLineChars="0" w:firstLine="0"/>
        <w:jc w:val="center"/>
        <w:rPr>
          <w:rFonts w:eastAsia="黑体"/>
          <w:color w:val="000000" w:themeColor="text1"/>
        </w:rPr>
      </w:pPr>
    </w:p>
    <w:p w14:paraId="7980E46D" w14:textId="77777777" w:rsidR="005A1A44" w:rsidRDefault="0008059E">
      <w:pPr>
        <w:ind w:firstLineChars="0" w:firstLine="0"/>
        <w:jc w:val="center"/>
        <w:rPr>
          <w:rFonts w:eastAsia="黑体"/>
          <w:color w:val="000000" w:themeColor="text1"/>
        </w:rPr>
      </w:pPr>
      <w:r>
        <w:rPr>
          <w:rFonts w:eastAsia="黑体" w:hint="eastAsia"/>
          <w:color w:val="000000" w:themeColor="text1"/>
        </w:rPr>
        <w:lastRenderedPageBreak/>
        <w:t>表</w:t>
      </w:r>
      <w:r>
        <w:rPr>
          <w:rFonts w:eastAsia="黑体" w:hint="eastAsia"/>
          <w:color w:val="000000" w:themeColor="text1"/>
        </w:rPr>
        <w:t xml:space="preserve">4.6-4   </w:t>
      </w:r>
      <w:r>
        <w:rPr>
          <w:rFonts w:eastAsia="黑体" w:hint="eastAsia"/>
          <w:color w:val="000000" w:themeColor="text1"/>
        </w:rPr>
        <w:t>底质现状质量与达标评价（河流整治段上游</w:t>
      </w:r>
      <w:r>
        <w:rPr>
          <w:rFonts w:eastAsia="黑体" w:hint="eastAsia"/>
          <w:color w:val="000000" w:themeColor="text1"/>
        </w:rPr>
        <w:t>1#</w:t>
      </w:r>
      <w:r>
        <w:rPr>
          <w:rFonts w:eastAsia="黑体" w:hint="eastAsia"/>
          <w:color w:val="000000" w:themeColor="text1"/>
        </w:rPr>
        <w:t>）</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2214"/>
        <w:gridCol w:w="2210"/>
        <w:gridCol w:w="2212"/>
      </w:tblGrid>
      <w:tr w:rsidR="005A1A44" w14:paraId="30A2DD48" w14:textId="77777777">
        <w:trPr>
          <w:cantSplit/>
          <w:trHeight w:val="543"/>
          <w:jc w:val="center"/>
        </w:trPr>
        <w:tc>
          <w:tcPr>
            <w:tcW w:w="2214" w:type="dxa"/>
            <w:tcBorders>
              <w:top w:val="single" w:sz="4" w:space="0" w:color="auto"/>
              <w:left w:val="single" w:sz="4" w:space="0" w:color="auto"/>
              <w:bottom w:val="single" w:sz="4" w:space="0" w:color="auto"/>
              <w:right w:val="single" w:sz="4" w:space="0" w:color="auto"/>
            </w:tcBorders>
            <w:vAlign w:val="center"/>
          </w:tcPr>
          <w:p w14:paraId="60C832F1"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监</w:t>
            </w:r>
            <w:r>
              <w:rPr>
                <w:color w:val="000000" w:themeColor="text1"/>
                <w:sz w:val="21"/>
                <w:szCs w:val="21"/>
              </w:rPr>
              <w:t xml:space="preserve"> </w:t>
            </w:r>
            <w:r>
              <w:rPr>
                <w:color w:val="000000" w:themeColor="text1"/>
                <w:sz w:val="21"/>
                <w:szCs w:val="21"/>
              </w:rPr>
              <w:t>测</w:t>
            </w:r>
            <w:r>
              <w:rPr>
                <w:color w:val="000000" w:themeColor="text1"/>
                <w:sz w:val="21"/>
                <w:szCs w:val="21"/>
              </w:rPr>
              <w:t xml:space="preserve"> </w:t>
            </w:r>
            <w:r>
              <w:rPr>
                <w:color w:val="000000" w:themeColor="text1"/>
                <w:sz w:val="21"/>
                <w:szCs w:val="21"/>
              </w:rPr>
              <w:t>项</w:t>
            </w:r>
            <w:r>
              <w:rPr>
                <w:color w:val="000000" w:themeColor="text1"/>
                <w:sz w:val="21"/>
                <w:szCs w:val="21"/>
              </w:rPr>
              <w:t xml:space="preserve"> </w:t>
            </w:r>
            <w:r>
              <w:rPr>
                <w:color w:val="000000" w:themeColor="text1"/>
                <w:sz w:val="21"/>
                <w:szCs w:val="21"/>
              </w:rPr>
              <w:t>目</w:t>
            </w:r>
          </w:p>
        </w:tc>
        <w:tc>
          <w:tcPr>
            <w:tcW w:w="2214" w:type="dxa"/>
            <w:tcBorders>
              <w:top w:val="single" w:sz="4" w:space="0" w:color="auto"/>
              <w:left w:val="single" w:sz="4" w:space="0" w:color="auto"/>
              <w:bottom w:val="single" w:sz="4" w:space="0" w:color="auto"/>
              <w:right w:val="single" w:sz="4" w:space="0" w:color="auto"/>
            </w:tcBorders>
            <w:vAlign w:val="center"/>
          </w:tcPr>
          <w:p w14:paraId="7B571F70"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监测值（</w:t>
            </w:r>
            <w:r>
              <w:rPr>
                <w:rFonts w:hint="eastAsia"/>
                <w:color w:val="000000" w:themeColor="text1"/>
                <w:sz w:val="21"/>
                <w:szCs w:val="21"/>
              </w:rPr>
              <w:t>mg/kg</w:t>
            </w:r>
            <w:r>
              <w:rPr>
                <w:rFonts w:hint="eastAsia"/>
                <w:color w:val="000000" w:themeColor="text1"/>
                <w:sz w:val="21"/>
                <w:szCs w:val="21"/>
              </w:rPr>
              <w:t>）</w:t>
            </w:r>
          </w:p>
        </w:tc>
        <w:tc>
          <w:tcPr>
            <w:tcW w:w="2210" w:type="dxa"/>
            <w:tcBorders>
              <w:top w:val="single" w:sz="4" w:space="0" w:color="auto"/>
              <w:left w:val="single" w:sz="4" w:space="0" w:color="auto"/>
              <w:bottom w:val="single" w:sz="4" w:space="0" w:color="auto"/>
              <w:right w:val="single" w:sz="4" w:space="0" w:color="auto"/>
            </w:tcBorders>
            <w:vAlign w:val="center"/>
          </w:tcPr>
          <w:p w14:paraId="585E0E5C"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风险筛选值</w:t>
            </w:r>
          </w:p>
        </w:tc>
        <w:tc>
          <w:tcPr>
            <w:tcW w:w="2212" w:type="dxa"/>
            <w:tcBorders>
              <w:top w:val="single" w:sz="4" w:space="0" w:color="auto"/>
              <w:left w:val="single" w:sz="4" w:space="0" w:color="auto"/>
              <w:bottom w:val="single" w:sz="4" w:space="0" w:color="auto"/>
              <w:right w:val="single" w:sz="4" w:space="0" w:color="auto"/>
            </w:tcBorders>
            <w:vAlign w:val="center"/>
          </w:tcPr>
          <w:p w14:paraId="2B59D73C"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达标情况</w:t>
            </w:r>
          </w:p>
        </w:tc>
      </w:tr>
      <w:tr w:rsidR="005A1A44" w14:paraId="4257CD92" w14:textId="77777777">
        <w:trPr>
          <w:cantSplit/>
          <w:trHeight w:val="292"/>
          <w:jc w:val="center"/>
        </w:trPr>
        <w:tc>
          <w:tcPr>
            <w:tcW w:w="2214" w:type="dxa"/>
            <w:tcBorders>
              <w:top w:val="single" w:sz="4" w:space="0" w:color="auto"/>
              <w:left w:val="single" w:sz="4" w:space="0" w:color="auto"/>
              <w:bottom w:val="single" w:sz="4" w:space="0" w:color="auto"/>
              <w:right w:val="single" w:sz="4" w:space="0" w:color="auto"/>
            </w:tcBorders>
            <w:vAlign w:val="center"/>
          </w:tcPr>
          <w:p w14:paraId="730FEDBE"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pH</w:t>
            </w:r>
            <w:r>
              <w:rPr>
                <w:color w:val="000000" w:themeColor="text1"/>
                <w:sz w:val="21"/>
                <w:szCs w:val="21"/>
              </w:rPr>
              <w:t>（</w:t>
            </w:r>
            <w:r>
              <w:rPr>
                <w:rFonts w:hint="eastAsia"/>
                <w:color w:val="000000" w:themeColor="text1"/>
                <w:sz w:val="21"/>
                <w:szCs w:val="21"/>
              </w:rPr>
              <w:t>无量纲</w:t>
            </w:r>
            <w:r>
              <w:rPr>
                <w:color w:val="000000" w:themeColor="text1"/>
                <w:sz w:val="21"/>
                <w:szCs w:val="21"/>
              </w:rPr>
              <w:t>）</w:t>
            </w:r>
          </w:p>
        </w:tc>
        <w:tc>
          <w:tcPr>
            <w:tcW w:w="2214" w:type="dxa"/>
            <w:tcBorders>
              <w:top w:val="single" w:sz="4" w:space="0" w:color="auto"/>
              <w:left w:val="single" w:sz="4" w:space="0" w:color="auto"/>
              <w:bottom w:val="single" w:sz="4" w:space="0" w:color="auto"/>
              <w:right w:val="single" w:sz="4" w:space="0" w:color="auto"/>
            </w:tcBorders>
            <w:vAlign w:val="center"/>
          </w:tcPr>
          <w:p w14:paraId="45208304" w14:textId="77777777" w:rsidR="005A1A44" w:rsidRDefault="005A1A44">
            <w:pPr>
              <w:adjustRightInd w:val="0"/>
              <w:snapToGrid w:val="0"/>
              <w:spacing w:line="240" w:lineRule="auto"/>
              <w:ind w:firstLineChars="0" w:firstLine="0"/>
              <w:jc w:val="center"/>
              <w:rPr>
                <w:color w:val="000000" w:themeColor="text1"/>
                <w:sz w:val="21"/>
                <w:szCs w:val="21"/>
              </w:rPr>
            </w:pPr>
          </w:p>
        </w:tc>
        <w:tc>
          <w:tcPr>
            <w:tcW w:w="2210" w:type="dxa"/>
            <w:tcBorders>
              <w:top w:val="single" w:sz="4" w:space="0" w:color="auto"/>
              <w:left w:val="single" w:sz="4" w:space="0" w:color="auto"/>
              <w:bottom w:val="single" w:sz="4" w:space="0" w:color="auto"/>
              <w:right w:val="single" w:sz="4" w:space="0" w:color="auto"/>
            </w:tcBorders>
            <w:vAlign w:val="center"/>
          </w:tcPr>
          <w:p w14:paraId="0B4F0700" w14:textId="77777777" w:rsidR="005A1A44" w:rsidRDefault="0008059E">
            <w:pPr>
              <w:adjustRightInd w:val="0"/>
              <w:snapToGrid w:val="0"/>
              <w:spacing w:line="240" w:lineRule="auto"/>
              <w:ind w:firstLineChars="0" w:firstLine="0"/>
              <w:jc w:val="center"/>
              <w:rPr>
                <w:color w:val="000000" w:themeColor="text1"/>
                <w:sz w:val="21"/>
                <w:szCs w:val="21"/>
              </w:rPr>
            </w:pPr>
            <w:r>
              <w:rPr>
                <w:rFonts w:ascii="宋体" w:eastAsia="宋体" w:hAnsi="宋体" w:hint="eastAsia"/>
                <w:color w:val="000000" w:themeColor="text1"/>
                <w:sz w:val="21"/>
                <w:szCs w:val="21"/>
              </w:rPr>
              <w:t>&gt;</w:t>
            </w:r>
            <w:r>
              <w:rPr>
                <w:rFonts w:hint="eastAsia"/>
                <w:color w:val="000000" w:themeColor="text1"/>
                <w:sz w:val="21"/>
                <w:szCs w:val="21"/>
              </w:rPr>
              <w:t>7</w:t>
            </w:r>
            <w:r>
              <w:rPr>
                <w:color w:val="000000" w:themeColor="text1"/>
                <w:sz w:val="21"/>
                <w:szCs w:val="21"/>
              </w:rPr>
              <w:t>.5</w:t>
            </w:r>
          </w:p>
        </w:tc>
        <w:tc>
          <w:tcPr>
            <w:tcW w:w="2212" w:type="dxa"/>
            <w:tcBorders>
              <w:top w:val="single" w:sz="4" w:space="0" w:color="auto"/>
              <w:left w:val="single" w:sz="4" w:space="0" w:color="auto"/>
              <w:bottom w:val="single" w:sz="4" w:space="0" w:color="auto"/>
              <w:right w:val="single" w:sz="4" w:space="0" w:color="auto"/>
            </w:tcBorders>
            <w:vAlign w:val="center"/>
          </w:tcPr>
          <w:p w14:paraId="71CC369B"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达标</w:t>
            </w:r>
          </w:p>
        </w:tc>
      </w:tr>
      <w:tr w:rsidR="005A1A44" w14:paraId="740B292E" w14:textId="77777777">
        <w:trPr>
          <w:cantSplit/>
          <w:jc w:val="center"/>
        </w:trPr>
        <w:tc>
          <w:tcPr>
            <w:tcW w:w="2214" w:type="dxa"/>
            <w:tcBorders>
              <w:top w:val="single" w:sz="4" w:space="0" w:color="auto"/>
              <w:left w:val="single" w:sz="4" w:space="0" w:color="auto"/>
              <w:bottom w:val="single" w:sz="4" w:space="0" w:color="auto"/>
              <w:right w:val="single" w:sz="4" w:space="0" w:color="auto"/>
            </w:tcBorders>
            <w:vAlign w:val="center"/>
          </w:tcPr>
          <w:p w14:paraId="3D763E38"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汞，</w:t>
            </w:r>
            <w:r>
              <w:rPr>
                <w:color w:val="000000" w:themeColor="text1"/>
                <w:sz w:val="21"/>
                <w:szCs w:val="21"/>
              </w:rPr>
              <w:t>mg/kg</w:t>
            </w:r>
          </w:p>
        </w:tc>
        <w:tc>
          <w:tcPr>
            <w:tcW w:w="2214" w:type="dxa"/>
            <w:tcBorders>
              <w:top w:val="single" w:sz="4" w:space="0" w:color="auto"/>
              <w:left w:val="single" w:sz="4" w:space="0" w:color="auto"/>
              <w:bottom w:val="single" w:sz="4" w:space="0" w:color="auto"/>
              <w:right w:val="single" w:sz="4" w:space="0" w:color="auto"/>
            </w:tcBorders>
            <w:vAlign w:val="center"/>
          </w:tcPr>
          <w:p w14:paraId="7C3DBE8F"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0.038</w:t>
            </w:r>
          </w:p>
        </w:tc>
        <w:tc>
          <w:tcPr>
            <w:tcW w:w="2210" w:type="dxa"/>
            <w:tcBorders>
              <w:top w:val="single" w:sz="4" w:space="0" w:color="auto"/>
              <w:left w:val="single" w:sz="4" w:space="0" w:color="auto"/>
              <w:bottom w:val="single" w:sz="4" w:space="0" w:color="auto"/>
              <w:right w:val="single" w:sz="4" w:space="0" w:color="auto"/>
            </w:tcBorders>
            <w:vAlign w:val="center"/>
          </w:tcPr>
          <w:p w14:paraId="67C47A72"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3.4</w:t>
            </w:r>
          </w:p>
        </w:tc>
        <w:tc>
          <w:tcPr>
            <w:tcW w:w="2212" w:type="dxa"/>
            <w:tcBorders>
              <w:top w:val="single" w:sz="4" w:space="0" w:color="auto"/>
              <w:left w:val="single" w:sz="4" w:space="0" w:color="auto"/>
              <w:bottom w:val="single" w:sz="4" w:space="0" w:color="auto"/>
              <w:right w:val="single" w:sz="4" w:space="0" w:color="auto"/>
            </w:tcBorders>
            <w:vAlign w:val="center"/>
          </w:tcPr>
          <w:p w14:paraId="779A430C"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达标</w:t>
            </w:r>
          </w:p>
        </w:tc>
      </w:tr>
      <w:tr w:rsidR="005A1A44" w14:paraId="6A73A421" w14:textId="77777777">
        <w:trPr>
          <w:cantSplit/>
          <w:trHeight w:val="90"/>
          <w:jc w:val="center"/>
        </w:trPr>
        <w:tc>
          <w:tcPr>
            <w:tcW w:w="2214" w:type="dxa"/>
            <w:tcBorders>
              <w:top w:val="single" w:sz="4" w:space="0" w:color="auto"/>
              <w:left w:val="single" w:sz="4" w:space="0" w:color="auto"/>
              <w:bottom w:val="single" w:sz="4" w:space="0" w:color="auto"/>
              <w:right w:val="single" w:sz="4" w:space="0" w:color="auto"/>
            </w:tcBorders>
            <w:vAlign w:val="center"/>
          </w:tcPr>
          <w:p w14:paraId="6B37B36F"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砷，</w:t>
            </w:r>
            <w:r>
              <w:rPr>
                <w:color w:val="000000" w:themeColor="text1"/>
                <w:sz w:val="21"/>
                <w:szCs w:val="21"/>
              </w:rPr>
              <w:t>mg/kg</w:t>
            </w:r>
          </w:p>
        </w:tc>
        <w:tc>
          <w:tcPr>
            <w:tcW w:w="2214" w:type="dxa"/>
            <w:tcBorders>
              <w:top w:val="single" w:sz="4" w:space="0" w:color="auto"/>
              <w:left w:val="single" w:sz="4" w:space="0" w:color="auto"/>
              <w:bottom w:val="single" w:sz="4" w:space="0" w:color="auto"/>
              <w:right w:val="single" w:sz="4" w:space="0" w:color="auto"/>
            </w:tcBorders>
            <w:vAlign w:val="center"/>
          </w:tcPr>
          <w:p w14:paraId="52EB8E8D"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12.6</w:t>
            </w:r>
          </w:p>
        </w:tc>
        <w:tc>
          <w:tcPr>
            <w:tcW w:w="2210" w:type="dxa"/>
            <w:tcBorders>
              <w:top w:val="single" w:sz="4" w:space="0" w:color="auto"/>
              <w:left w:val="single" w:sz="4" w:space="0" w:color="auto"/>
              <w:bottom w:val="single" w:sz="4" w:space="0" w:color="auto"/>
              <w:right w:val="single" w:sz="4" w:space="0" w:color="auto"/>
            </w:tcBorders>
            <w:vAlign w:val="center"/>
          </w:tcPr>
          <w:p w14:paraId="31C8A059"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20</w:t>
            </w:r>
          </w:p>
        </w:tc>
        <w:tc>
          <w:tcPr>
            <w:tcW w:w="2212" w:type="dxa"/>
            <w:tcBorders>
              <w:top w:val="single" w:sz="4" w:space="0" w:color="auto"/>
              <w:left w:val="single" w:sz="4" w:space="0" w:color="auto"/>
              <w:bottom w:val="single" w:sz="4" w:space="0" w:color="auto"/>
              <w:right w:val="single" w:sz="4" w:space="0" w:color="auto"/>
            </w:tcBorders>
            <w:vAlign w:val="center"/>
          </w:tcPr>
          <w:p w14:paraId="78BC4A19"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达标</w:t>
            </w:r>
          </w:p>
        </w:tc>
      </w:tr>
      <w:tr w:rsidR="005A1A44" w14:paraId="4346A767" w14:textId="77777777">
        <w:trPr>
          <w:cantSplit/>
          <w:jc w:val="center"/>
        </w:trPr>
        <w:tc>
          <w:tcPr>
            <w:tcW w:w="2214" w:type="dxa"/>
            <w:tcBorders>
              <w:top w:val="single" w:sz="4" w:space="0" w:color="auto"/>
              <w:left w:val="single" w:sz="4" w:space="0" w:color="auto"/>
              <w:bottom w:val="single" w:sz="4" w:space="0" w:color="auto"/>
              <w:right w:val="single" w:sz="4" w:space="0" w:color="auto"/>
            </w:tcBorders>
            <w:vAlign w:val="center"/>
          </w:tcPr>
          <w:p w14:paraId="716C7A59"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镉，</w:t>
            </w:r>
            <w:r>
              <w:rPr>
                <w:color w:val="000000" w:themeColor="text1"/>
                <w:sz w:val="21"/>
                <w:szCs w:val="21"/>
              </w:rPr>
              <w:t>mg/kg</w:t>
            </w:r>
          </w:p>
        </w:tc>
        <w:tc>
          <w:tcPr>
            <w:tcW w:w="2214" w:type="dxa"/>
            <w:tcBorders>
              <w:top w:val="single" w:sz="4" w:space="0" w:color="auto"/>
              <w:left w:val="single" w:sz="4" w:space="0" w:color="auto"/>
              <w:bottom w:val="single" w:sz="4" w:space="0" w:color="auto"/>
              <w:right w:val="single" w:sz="4" w:space="0" w:color="auto"/>
            </w:tcBorders>
            <w:vAlign w:val="center"/>
          </w:tcPr>
          <w:p w14:paraId="699EABE7"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0.03</w:t>
            </w:r>
          </w:p>
        </w:tc>
        <w:tc>
          <w:tcPr>
            <w:tcW w:w="2210" w:type="dxa"/>
            <w:tcBorders>
              <w:top w:val="single" w:sz="4" w:space="0" w:color="auto"/>
              <w:left w:val="single" w:sz="4" w:space="0" w:color="auto"/>
              <w:bottom w:val="single" w:sz="4" w:space="0" w:color="auto"/>
              <w:right w:val="single" w:sz="4" w:space="0" w:color="auto"/>
            </w:tcBorders>
            <w:vAlign w:val="center"/>
          </w:tcPr>
          <w:p w14:paraId="0735BBA0"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0.6</w:t>
            </w:r>
          </w:p>
        </w:tc>
        <w:tc>
          <w:tcPr>
            <w:tcW w:w="2212" w:type="dxa"/>
            <w:tcBorders>
              <w:top w:val="single" w:sz="4" w:space="0" w:color="auto"/>
              <w:left w:val="single" w:sz="4" w:space="0" w:color="auto"/>
              <w:bottom w:val="single" w:sz="4" w:space="0" w:color="auto"/>
              <w:right w:val="single" w:sz="4" w:space="0" w:color="auto"/>
            </w:tcBorders>
            <w:vAlign w:val="center"/>
          </w:tcPr>
          <w:p w14:paraId="336BA285"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达标</w:t>
            </w:r>
          </w:p>
        </w:tc>
      </w:tr>
      <w:tr w:rsidR="005A1A44" w14:paraId="2FFBBF7D" w14:textId="77777777">
        <w:trPr>
          <w:cantSplit/>
          <w:jc w:val="center"/>
        </w:trPr>
        <w:tc>
          <w:tcPr>
            <w:tcW w:w="2214" w:type="dxa"/>
            <w:tcBorders>
              <w:top w:val="single" w:sz="4" w:space="0" w:color="auto"/>
              <w:left w:val="single" w:sz="4" w:space="0" w:color="auto"/>
              <w:bottom w:val="single" w:sz="4" w:space="0" w:color="auto"/>
              <w:right w:val="single" w:sz="4" w:space="0" w:color="auto"/>
            </w:tcBorders>
            <w:vAlign w:val="center"/>
          </w:tcPr>
          <w:p w14:paraId="0890E127"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铅，</w:t>
            </w:r>
            <w:r>
              <w:rPr>
                <w:color w:val="000000" w:themeColor="text1"/>
                <w:sz w:val="21"/>
                <w:szCs w:val="21"/>
              </w:rPr>
              <w:t>mg/kg</w:t>
            </w:r>
          </w:p>
        </w:tc>
        <w:tc>
          <w:tcPr>
            <w:tcW w:w="2214" w:type="dxa"/>
            <w:tcBorders>
              <w:top w:val="single" w:sz="4" w:space="0" w:color="auto"/>
              <w:left w:val="single" w:sz="4" w:space="0" w:color="auto"/>
              <w:bottom w:val="single" w:sz="4" w:space="0" w:color="auto"/>
              <w:right w:val="single" w:sz="4" w:space="0" w:color="auto"/>
            </w:tcBorders>
            <w:vAlign w:val="center"/>
          </w:tcPr>
          <w:p w14:paraId="391A5AA1"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17.6</w:t>
            </w:r>
          </w:p>
        </w:tc>
        <w:tc>
          <w:tcPr>
            <w:tcW w:w="2210" w:type="dxa"/>
            <w:tcBorders>
              <w:top w:val="single" w:sz="4" w:space="0" w:color="auto"/>
              <w:left w:val="single" w:sz="4" w:space="0" w:color="auto"/>
              <w:bottom w:val="single" w:sz="4" w:space="0" w:color="auto"/>
              <w:right w:val="single" w:sz="4" w:space="0" w:color="auto"/>
            </w:tcBorders>
            <w:vAlign w:val="center"/>
          </w:tcPr>
          <w:p w14:paraId="43139493"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170</w:t>
            </w:r>
          </w:p>
        </w:tc>
        <w:tc>
          <w:tcPr>
            <w:tcW w:w="2212" w:type="dxa"/>
            <w:tcBorders>
              <w:top w:val="single" w:sz="4" w:space="0" w:color="auto"/>
              <w:left w:val="single" w:sz="4" w:space="0" w:color="auto"/>
              <w:bottom w:val="single" w:sz="4" w:space="0" w:color="auto"/>
              <w:right w:val="single" w:sz="4" w:space="0" w:color="auto"/>
            </w:tcBorders>
            <w:vAlign w:val="center"/>
          </w:tcPr>
          <w:p w14:paraId="6137AD2F"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达标</w:t>
            </w:r>
          </w:p>
        </w:tc>
      </w:tr>
      <w:tr w:rsidR="005A1A44" w14:paraId="18521BAD" w14:textId="77777777">
        <w:trPr>
          <w:cantSplit/>
          <w:jc w:val="center"/>
        </w:trPr>
        <w:tc>
          <w:tcPr>
            <w:tcW w:w="2214" w:type="dxa"/>
            <w:tcBorders>
              <w:top w:val="single" w:sz="4" w:space="0" w:color="auto"/>
              <w:left w:val="single" w:sz="4" w:space="0" w:color="auto"/>
              <w:bottom w:val="single" w:sz="4" w:space="0" w:color="auto"/>
              <w:right w:val="single" w:sz="4" w:space="0" w:color="auto"/>
            </w:tcBorders>
            <w:vAlign w:val="center"/>
          </w:tcPr>
          <w:p w14:paraId="67EDE8F6"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镍，</w:t>
            </w:r>
            <w:r>
              <w:rPr>
                <w:color w:val="000000" w:themeColor="text1"/>
                <w:sz w:val="21"/>
                <w:szCs w:val="21"/>
              </w:rPr>
              <w:t>mg/kg</w:t>
            </w:r>
          </w:p>
        </w:tc>
        <w:tc>
          <w:tcPr>
            <w:tcW w:w="2214" w:type="dxa"/>
            <w:tcBorders>
              <w:top w:val="single" w:sz="4" w:space="0" w:color="auto"/>
              <w:left w:val="single" w:sz="4" w:space="0" w:color="auto"/>
              <w:bottom w:val="single" w:sz="4" w:space="0" w:color="auto"/>
              <w:right w:val="single" w:sz="4" w:space="0" w:color="auto"/>
            </w:tcBorders>
            <w:vAlign w:val="center"/>
          </w:tcPr>
          <w:p w14:paraId="2D0F1B4E"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30</w:t>
            </w:r>
          </w:p>
        </w:tc>
        <w:tc>
          <w:tcPr>
            <w:tcW w:w="2210" w:type="dxa"/>
            <w:tcBorders>
              <w:top w:val="single" w:sz="4" w:space="0" w:color="auto"/>
              <w:left w:val="single" w:sz="4" w:space="0" w:color="auto"/>
              <w:bottom w:val="single" w:sz="4" w:space="0" w:color="auto"/>
              <w:right w:val="single" w:sz="4" w:space="0" w:color="auto"/>
            </w:tcBorders>
            <w:vAlign w:val="center"/>
          </w:tcPr>
          <w:p w14:paraId="3797556E"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190</w:t>
            </w:r>
          </w:p>
        </w:tc>
        <w:tc>
          <w:tcPr>
            <w:tcW w:w="2212" w:type="dxa"/>
            <w:tcBorders>
              <w:top w:val="single" w:sz="4" w:space="0" w:color="auto"/>
              <w:left w:val="single" w:sz="4" w:space="0" w:color="auto"/>
              <w:bottom w:val="single" w:sz="4" w:space="0" w:color="auto"/>
              <w:right w:val="single" w:sz="4" w:space="0" w:color="auto"/>
            </w:tcBorders>
            <w:vAlign w:val="center"/>
          </w:tcPr>
          <w:p w14:paraId="43B52B7C"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达标</w:t>
            </w:r>
          </w:p>
        </w:tc>
      </w:tr>
      <w:tr w:rsidR="005A1A44" w14:paraId="404F9AF1" w14:textId="77777777">
        <w:trPr>
          <w:cantSplit/>
          <w:trHeight w:val="357"/>
          <w:jc w:val="center"/>
        </w:trPr>
        <w:tc>
          <w:tcPr>
            <w:tcW w:w="2214" w:type="dxa"/>
            <w:tcBorders>
              <w:top w:val="single" w:sz="4" w:space="0" w:color="auto"/>
              <w:left w:val="single" w:sz="4" w:space="0" w:color="auto"/>
              <w:bottom w:val="single" w:sz="4" w:space="0" w:color="auto"/>
              <w:right w:val="single" w:sz="4" w:space="0" w:color="auto"/>
            </w:tcBorders>
            <w:vAlign w:val="center"/>
          </w:tcPr>
          <w:p w14:paraId="20FC7758"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铜</w:t>
            </w:r>
            <w:r>
              <w:rPr>
                <w:color w:val="000000" w:themeColor="text1"/>
                <w:sz w:val="21"/>
                <w:szCs w:val="21"/>
              </w:rPr>
              <w:t>，</w:t>
            </w:r>
            <w:r>
              <w:rPr>
                <w:color w:val="000000" w:themeColor="text1"/>
                <w:sz w:val="21"/>
                <w:szCs w:val="21"/>
              </w:rPr>
              <w:t>mg/kg</w:t>
            </w:r>
          </w:p>
        </w:tc>
        <w:tc>
          <w:tcPr>
            <w:tcW w:w="2214" w:type="dxa"/>
            <w:tcBorders>
              <w:top w:val="single" w:sz="4" w:space="0" w:color="auto"/>
              <w:left w:val="single" w:sz="4" w:space="0" w:color="auto"/>
              <w:bottom w:val="single" w:sz="4" w:space="0" w:color="auto"/>
              <w:right w:val="single" w:sz="4" w:space="0" w:color="auto"/>
            </w:tcBorders>
            <w:vAlign w:val="center"/>
          </w:tcPr>
          <w:p w14:paraId="107B26FD"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18.3</w:t>
            </w:r>
          </w:p>
        </w:tc>
        <w:tc>
          <w:tcPr>
            <w:tcW w:w="2210" w:type="dxa"/>
            <w:tcBorders>
              <w:top w:val="single" w:sz="4" w:space="0" w:color="auto"/>
              <w:left w:val="single" w:sz="4" w:space="0" w:color="auto"/>
              <w:bottom w:val="single" w:sz="4" w:space="0" w:color="auto"/>
              <w:right w:val="single" w:sz="4" w:space="0" w:color="auto"/>
            </w:tcBorders>
            <w:vAlign w:val="center"/>
          </w:tcPr>
          <w:p w14:paraId="5F937E57"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100</w:t>
            </w:r>
          </w:p>
        </w:tc>
        <w:tc>
          <w:tcPr>
            <w:tcW w:w="2212" w:type="dxa"/>
            <w:tcBorders>
              <w:top w:val="single" w:sz="4" w:space="0" w:color="auto"/>
              <w:left w:val="single" w:sz="4" w:space="0" w:color="auto"/>
              <w:bottom w:val="single" w:sz="4" w:space="0" w:color="auto"/>
              <w:right w:val="single" w:sz="4" w:space="0" w:color="auto"/>
            </w:tcBorders>
            <w:vAlign w:val="center"/>
          </w:tcPr>
          <w:p w14:paraId="3862C5EB"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达标</w:t>
            </w:r>
          </w:p>
        </w:tc>
      </w:tr>
      <w:tr w:rsidR="005A1A44" w14:paraId="6A296F12" w14:textId="77777777">
        <w:trPr>
          <w:cantSplit/>
          <w:trHeight w:val="271"/>
          <w:jc w:val="center"/>
        </w:trPr>
        <w:tc>
          <w:tcPr>
            <w:tcW w:w="2214" w:type="dxa"/>
            <w:tcBorders>
              <w:top w:val="single" w:sz="4" w:space="0" w:color="auto"/>
              <w:left w:val="single" w:sz="4" w:space="0" w:color="auto"/>
              <w:right w:val="single" w:sz="4" w:space="0" w:color="auto"/>
            </w:tcBorders>
            <w:vAlign w:val="center"/>
          </w:tcPr>
          <w:p w14:paraId="48F7EFD5" w14:textId="77777777" w:rsidR="005A1A44" w:rsidRDefault="0008059E">
            <w:pPr>
              <w:widowControl/>
              <w:snapToGrid w:val="0"/>
              <w:spacing w:line="240" w:lineRule="auto"/>
              <w:ind w:firstLineChars="0" w:firstLine="0"/>
              <w:jc w:val="center"/>
              <w:rPr>
                <w:color w:val="000000" w:themeColor="text1"/>
                <w:sz w:val="21"/>
                <w:szCs w:val="21"/>
              </w:rPr>
            </w:pPr>
            <w:r>
              <w:rPr>
                <w:rFonts w:hint="eastAsia"/>
                <w:color w:val="000000" w:themeColor="text1"/>
                <w:sz w:val="21"/>
                <w:szCs w:val="21"/>
              </w:rPr>
              <w:t>铬</w:t>
            </w:r>
            <w:r>
              <w:rPr>
                <w:color w:val="000000" w:themeColor="text1"/>
                <w:sz w:val="21"/>
                <w:szCs w:val="21"/>
              </w:rPr>
              <w:t>，</w:t>
            </w:r>
            <w:r>
              <w:rPr>
                <w:color w:val="000000" w:themeColor="text1"/>
                <w:sz w:val="21"/>
                <w:szCs w:val="21"/>
              </w:rPr>
              <w:t>mg/kg</w:t>
            </w:r>
          </w:p>
        </w:tc>
        <w:tc>
          <w:tcPr>
            <w:tcW w:w="2214" w:type="dxa"/>
            <w:tcBorders>
              <w:top w:val="single" w:sz="4" w:space="0" w:color="auto"/>
              <w:left w:val="single" w:sz="4" w:space="0" w:color="auto"/>
              <w:right w:val="single" w:sz="4" w:space="0" w:color="auto"/>
            </w:tcBorders>
            <w:vAlign w:val="center"/>
          </w:tcPr>
          <w:p w14:paraId="6AB8A7E0"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49</w:t>
            </w:r>
          </w:p>
        </w:tc>
        <w:tc>
          <w:tcPr>
            <w:tcW w:w="2210" w:type="dxa"/>
            <w:tcBorders>
              <w:top w:val="single" w:sz="4" w:space="0" w:color="auto"/>
              <w:left w:val="single" w:sz="4" w:space="0" w:color="auto"/>
              <w:right w:val="single" w:sz="4" w:space="0" w:color="auto"/>
            </w:tcBorders>
            <w:vAlign w:val="center"/>
          </w:tcPr>
          <w:p w14:paraId="490D32FC"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250</w:t>
            </w:r>
          </w:p>
        </w:tc>
        <w:tc>
          <w:tcPr>
            <w:tcW w:w="2212" w:type="dxa"/>
            <w:tcBorders>
              <w:top w:val="single" w:sz="4" w:space="0" w:color="auto"/>
              <w:left w:val="single" w:sz="4" w:space="0" w:color="auto"/>
              <w:right w:val="single" w:sz="4" w:space="0" w:color="auto"/>
            </w:tcBorders>
            <w:vAlign w:val="center"/>
          </w:tcPr>
          <w:p w14:paraId="1A69DBFE"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达标</w:t>
            </w:r>
          </w:p>
        </w:tc>
      </w:tr>
    </w:tbl>
    <w:p w14:paraId="5296F089" w14:textId="77777777" w:rsidR="005A1A44" w:rsidRDefault="005A1A44">
      <w:pPr>
        <w:ind w:firstLine="480"/>
      </w:pPr>
    </w:p>
    <w:p w14:paraId="0396A04C" w14:textId="77777777" w:rsidR="005A1A44" w:rsidRDefault="0008059E">
      <w:pPr>
        <w:ind w:firstLineChars="0" w:firstLine="0"/>
        <w:jc w:val="center"/>
        <w:rPr>
          <w:rFonts w:eastAsia="黑体"/>
          <w:color w:val="000000" w:themeColor="text1"/>
        </w:rPr>
      </w:pPr>
      <w:r>
        <w:rPr>
          <w:rFonts w:eastAsia="黑体" w:hint="eastAsia"/>
          <w:color w:val="000000" w:themeColor="text1"/>
        </w:rPr>
        <w:t>表</w:t>
      </w:r>
      <w:r>
        <w:rPr>
          <w:rFonts w:eastAsia="黑体" w:hint="eastAsia"/>
          <w:color w:val="000000" w:themeColor="text1"/>
        </w:rPr>
        <w:t xml:space="preserve">4.6-5   </w:t>
      </w:r>
      <w:r>
        <w:rPr>
          <w:rFonts w:eastAsia="黑体" w:hint="eastAsia"/>
          <w:color w:val="000000" w:themeColor="text1"/>
        </w:rPr>
        <w:t>底质现状质量与达标评价（河流整治段上游</w:t>
      </w:r>
      <w:r>
        <w:rPr>
          <w:rFonts w:eastAsia="黑体" w:hint="eastAsia"/>
          <w:color w:val="000000" w:themeColor="text1"/>
        </w:rPr>
        <w:t>2#</w:t>
      </w:r>
      <w:r>
        <w:rPr>
          <w:rFonts w:eastAsia="黑体" w:hint="eastAsia"/>
          <w:color w:val="000000" w:themeColor="text1"/>
        </w:rPr>
        <w:t>）</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2214"/>
        <w:gridCol w:w="2211"/>
        <w:gridCol w:w="2211"/>
      </w:tblGrid>
      <w:tr w:rsidR="005A1A44" w14:paraId="45028C17" w14:textId="77777777">
        <w:trPr>
          <w:cantSplit/>
          <w:trHeight w:val="543"/>
          <w:jc w:val="center"/>
        </w:trPr>
        <w:tc>
          <w:tcPr>
            <w:tcW w:w="2214" w:type="dxa"/>
            <w:tcBorders>
              <w:tl2br w:val="nil"/>
              <w:tr2bl w:val="nil"/>
            </w:tcBorders>
            <w:vAlign w:val="center"/>
          </w:tcPr>
          <w:p w14:paraId="449045FF"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监</w:t>
            </w:r>
            <w:r>
              <w:rPr>
                <w:color w:val="000000" w:themeColor="text1"/>
                <w:sz w:val="21"/>
                <w:szCs w:val="21"/>
              </w:rPr>
              <w:t xml:space="preserve"> </w:t>
            </w:r>
            <w:r>
              <w:rPr>
                <w:color w:val="000000" w:themeColor="text1"/>
                <w:sz w:val="21"/>
                <w:szCs w:val="21"/>
              </w:rPr>
              <w:t>测</w:t>
            </w:r>
            <w:r>
              <w:rPr>
                <w:color w:val="000000" w:themeColor="text1"/>
                <w:sz w:val="21"/>
                <w:szCs w:val="21"/>
              </w:rPr>
              <w:t xml:space="preserve"> </w:t>
            </w:r>
            <w:r>
              <w:rPr>
                <w:color w:val="000000" w:themeColor="text1"/>
                <w:sz w:val="21"/>
                <w:szCs w:val="21"/>
              </w:rPr>
              <w:t>项</w:t>
            </w:r>
            <w:r>
              <w:rPr>
                <w:color w:val="000000" w:themeColor="text1"/>
                <w:sz w:val="21"/>
                <w:szCs w:val="21"/>
              </w:rPr>
              <w:t xml:space="preserve"> </w:t>
            </w:r>
            <w:r>
              <w:rPr>
                <w:color w:val="000000" w:themeColor="text1"/>
                <w:sz w:val="21"/>
                <w:szCs w:val="21"/>
              </w:rPr>
              <w:t>目</w:t>
            </w:r>
          </w:p>
        </w:tc>
        <w:tc>
          <w:tcPr>
            <w:tcW w:w="2214" w:type="dxa"/>
            <w:tcBorders>
              <w:tl2br w:val="nil"/>
              <w:tr2bl w:val="nil"/>
            </w:tcBorders>
            <w:vAlign w:val="center"/>
          </w:tcPr>
          <w:p w14:paraId="6DDA1EED"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监测值（</w:t>
            </w:r>
            <w:r>
              <w:rPr>
                <w:rFonts w:hint="eastAsia"/>
                <w:color w:val="000000" w:themeColor="text1"/>
                <w:sz w:val="21"/>
                <w:szCs w:val="21"/>
              </w:rPr>
              <w:t>mg/kg</w:t>
            </w:r>
            <w:r>
              <w:rPr>
                <w:rFonts w:hint="eastAsia"/>
                <w:color w:val="000000" w:themeColor="text1"/>
                <w:sz w:val="21"/>
                <w:szCs w:val="21"/>
              </w:rPr>
              <w:t>）</w:t>
            </w:r>
          </w:p>
        </w:tc>
        <w:tc>
          <w:tcPr>
            <w:tcW w:w="2211" w:type="dxa"/>
            <w:tcBorders>
              <w:tl2br w:val="nil"/>
              <w:tr2bl w:val="nil"/>
            </w:tcBorders>
            <w:vAlign w:val="center"/>
          </w:tcPr>
          <w:p w14:paraId="63E15B63"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风险筛选值</w:t>
            </w:r>
          </w:p>
        </w:tc>
        <w:tc>
          <w:tcPr>
            <w:tcW w:w="2211" w:type="dxa"/>
            <w:tcBorders>
              <w:tl2br w:val="nil"/>
              <w:tr2bl w:val="nil"/>
            </w:tcBorders>
            <w:vAlign w:val="center"/>
          </w:tcPr>
          <w:p w14:paraId="577BD761"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达标情况</w:t>
            </w:r>
          </w:p>
        </w:tc>
      </w:tr>
      <w:tr w:rsidR="005A1A44" w14:paraId="3D8C3D06" w14:textId="77777777">
        <w:trPr>
          <w:cantSplit/>
          <w:trHeight w:val="292"/>
          <w:jc w:val="center"/>
        </w:trPr>
        <w:tc>
          <w:tcPr>
            <w:tcW w:w="2214" w:type="dxa"/>
            <w:tcBorders>
              <w:tl2br w:val="nil"/>
              <w:tr2bl w:val="nil"/>
            </w:tcBorders>
            <w:vAlign w:val="center"/>
          </w:tcPr>
          <w:p w14:paraId="0DC51EC2"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pH</w:t>
            </w:r>
            <w:r>
              <w:rPr>
                <w:color w:val="000000" w:themeColor="text1"/>
                <w:sz w:val="21"/>
                <w:szCs w:val="21"/>
              </w:rPr>
              <w:t>（</w:t>
            </w:r>
            <w:r>
              <w:rPr>
                <w:rFonts w:hint="eastAsia"/>
                <w:color w:val="000000" w:themeColor="text1"/>
                <w:sz w:val="21"/>
                <w:szCs w:val="21"/>
              </w:rPr>
              <w:t>无量纲</w:t>
            </w:r>
            <w:r>
              <w:rPr>
                <w:color w:val="000000" w:themeColor="text1"/>
                <w:sz w:val="21"/>
                <w:szCs w:val="21"/>
              </w:rPr>
              <w:t>）</w:t>
            </w:r>
          </w:p>
        </w:tc>
        <w:tc>
          <w:tcPr>
            <w:tcW w:w="2214" w:type="dxa"/>
            <w:tcBorders>
              <w:tl2br w:val="nil"/>
              <w:tr2bl w:val="nil"/>
            </w:tcBorders>
            <w:vAlign w:val="center"/>
          </w:tcPr>
          <w:p w14:paraId="5E39A821" w14:textId="77777777" w:rsidR="005A1A44" w:rsidRDefault="005A1A44">
            <w:pPr>
              <w:adjustRightInd w:val="0"/>
              <w:snapToGrid w:val="0"/>
              <w:spacing w:line="240" w:lineRule="auto"/>
              <w:ind w:firstLineChars="0" w:firstLine="0"/>
              <w:jc w:val="center"/>
              <w:rPr>
                <w:color w:val="000000" w:themeColor="text1"/>
                <w:sz w:val="21"/>
                <w:szCs w:val="21"/>
              </w:rPr>
            </w:pPr>
          </w:p>
        </w:tc>
        <w:tc>
          <w:tcPr>
            <w:tcW w:w="2211" w:type="dxa"/>
            <w:tcBorders>
              <w:tl2br w:val="nil"/>
              <w:tr2bl w:val="nil"/>
            </w:tcBorders>
            <w:vAlign w:val="center"/>
          </w:tcPr>
          <w:p w14:paraId="64F3E7E8" w14:textId="77777777" w:rsidR="005A1A44" w:rsidRDefault="0008059E">
            <w:pPr>
              <w:adjustRightInd w:val="0"/>
              <w:snapToGrid w:val="0"/>
              <w:spacing w:line="240" w:lineRule="auto"/>
              <w:ind w:firstLineChars="0" w:firstLine="0"/>
              <w:jc w:val="center"/>
              <w:rPr>
                <w:color w:val="000000" w:themeColor="text1"/>
                <w:sz w:val="21"/>
                <w:szCs w:val="21"/>
              </w:rPr>
            </w:pPr>
            <w:r>
              <w:rPr>
                <w:rFonts w:ascii="宋体" w:eastAsia="宋体" w:hAnsi="宋体" w:hint="eastAsia"/>
                <w:color w:val="000000" w:themeColor="text1"/>
                <w:sz w:val="21"/>
                <w:szCs w:val="21"/>
              </w:rPr>
              <w:t>&gt;</w:t>
            </w:r>
            <w:r>
              <w:rPr>
                <w:rFonts w:hint="eastAsia"/>
                <w:color w:val="000000" w:themeColor="text1"/>
                <w:sz w:val="21"/>
                <w:szCs w:val="21"/>
              </w:rPr>
              <w:t>7</w:t>
            </w:r>
            <w:r>
              <w:rPr>
                <w:color w:val="000000" w:themeColor="text1"/>
                <w:sz w:val="21"/>
                <w:szCs w:val="21"/>
              </w:rPr>
              <w:t>.5</w:t>
            </w:r>
          </w:p>
        </w:tc>
        <w:tc>
          <w:tcPr>
            <w:tcW w:w="2211" w:type="dxa"/>
            <w:tcBorders>
              <w:tl2br w:val="nil"/>
              <w:tr2bl w:val="nil"/>
            </w:tcBorders>
            <w:vAlign w:val="center"/>
          </w:tcPr>
          <w:p w14:paraId="7C149B06"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达标</w:t>
            </w:r>
          </w:p>
        </w:tc>
      </w:tr>
      <w:tr w:rsidR="005A1A44" w14:paraId="5958D88E" w14:textId="77777777">
        <w:trPr>
          <w:cantSplit/>
          <w:jc w:val="center"/>
        </w:trPr>
        <w:tc>
          <w:tcPr>
            <w:tcW w:w="2214" w:type="dxa"/>
            <w:tcBorders>
              <w:tl2br w:val="nil"/>
              <w:tr2bl w:val="nil"/>
            </w:tcBorders>
            <w:vAlign w:val="center"/>
          </w:tcPr>
          <w:p w14:paraId="480DF528"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汞，</w:t>
            </w:r>
            <w:r>
              <w:rPr>
                <w:color w:val="000000" w:themeColor="text1"/>
                <w:sz w:val="21"/>
                <w:szCs w:val="21"/>
              </w:rPr>
              <w:t>mg/kg</w:t>
            </w:r>
          </w:p>
        </w:tc>
        <w:tc>
          <w:tcPr>
            <w:tcW w:w="2214" w:type="dxa"/>
            <w:tcBorders>
              <w:tl2br w:val="nil"/>
              <w:tr2bl w:val="nil"/>
            </w:tcBorders>
            <w:vAlign w:val="center"/>
          </w:tcPr>
          <w:p w14:paraId="5A82E189"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0.025</w:t>
            </w:r>
          </w:p>
        </w:tc>
        <w:tc>
          <w:tcPr>
            <w:tcW w:w="2211" w:type="dxa"/>
            <w:tcBorders>
              <w:tl2br w:val="nil"/>
              <w:tr2bl w:val="nil"/>
            </w:tcBorders>
            <w:vAlign w:val="center"/>
          </w:tcPr>
          <w:p w14:paraId="6A133516"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3.4</w:t>
            </w:r>
          </w:p>
        </w:tc>
        <w:tc>
          <w:tcPr>
            <w:tcW w:w="2211" w:type="dxa"/>
            <w:tcBorders>
              <w:tl2br w:val="nil"/>
              <w:tr2bl w:val="nil"/>
            </w:tcBorders>
            <w:vAlign w:val="center"/>
          </w:tcPr>
          <w:p w14:paraId="7DE8718B"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达标</w:t>
            </w:r>
          </w:p>
        </w:tc>
      </w:tr>
      <w:tr w:rsidR="005A1A44" w14:paraId="3AF63060" w14:textId="77777777">
        <w:trPr>
          <w:cantSplit/>
          <w:trHeight w:val="90"/>
          <w:jc w:val="center"/>
        </w:trPr>
        <w:tc>
          <w:tcPr>
            <w:tcW w:w="2214" w:type="dxa"/>
            <w:tcBorders>
              <w:tl2br w:val="nil"/>
              <w:tr2bl w:val="nil"/>
            </w:tcBorders>
            <w:vAlign w:val="center"/>
          </w:tcPr>
          <w:p w14:paraId="4078B18D"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砷，</w:t>
            </w:r>
            <w:r>
              <w:rPr>
                <w:color w:val="000000" w:themeColor="text1"/>
                <w:sz w:val="21"/>
                <w:szCs w:val="21"/>
              </w:rPr>
              <w:t>mg/kg</w:t>
            </w:r>
          </w:p>
        </w:tc>
        <w:tc>
          <w:tcPr>
            <w:tcW w:w="2214" w:type="dxa"/>
            <w:tcBorders>
              <w:tl2br w:val="nil"/>
              <w:tr2bl w:val="nil"/>
            </w:tcBorders>
            <w:vAlign w:val="center"/>
          </w:tcPr>
          <w:p w14:paraId="714052A0"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12.1</w:t>
            </w:r>
          </w:p>
        </w:tc>
        <w:tc>
          <w:tcPr>
            <w:tcW w:w="2211" w:type="dxa"/>
            <w:tcBorders>
              <w:tl2br w:val="nil"/>
              <w:tr2bl w:val="nil"/>
            </w:tcBorders>
            <w:vAlign w:val="center"/>
          </w:tcPr>
          <w:p w14:paraId="4BAEAD40"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20</w:t>
            </w:r>
          </w:p>
        </w:tc>
        <w:tc>
          <w:tcPr>
            <w:tcW w:w="2211" w:type="dxa"/>
            <w:tcBorders>
              <w:tl2br w:val="nil"/>
              <w:tr2bl w:val="nil"/>
            </w:tcBorders>
            <w:vAlign w:val="center"/>
          </w:tcPr>
          <w:p w14:paraId="07394419"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达标</w:t>
            </w:r>
          </w:p>
        </w:tc>
      </w:tr>
      <w:tr w:rsidR="005A1A44" w14:paraId="4814E849" w14:textId="77777777">
        <w:trPr>
          <w:cantSplit/>
          <w:jc w:val="center"/>
        </w:trPr>
        <w:tc>
          <w:tcPr>
            <w:tcW w:w="2214" w:type="dxa"/>
            <w:tcBorders>
              <w:tl2br w:val="nil"/>
              <w:tr2bl w:val="nil"/>
            </w:tcBorders>
            <w:vAlign w:val="center"/>
          </w:tcPr>
          <w:p w14:paraId="11AA9CAF"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镉，</w:t>
            </w:r>
            <w:r>
              <w:rPr>
                <w:color w:val="000000" w:themeColor="text1"/>
                <w:sz w:val="21"/>
                <w:szCs w:val="21"/>
              </w:rPr>
              <w:t>mg/kg</w:t>
            </w:r>
          </w:p>
        </w:tc>
        <w:tc>
          <w:tcPr>
            <w:tcW w:w="2214" w:type="dxa"/>
            <w:tcBorders>
              <w:tl2br w:val="nil"/>
              <w:tr2bl w:val="nil"/>
            </w:tcBorders>
            <w:vAlign w:val="center"/>
          </w:tcPr>
          <w:p w14:paraId="594995D4"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0.03</w:t>
            </w:r>
          </w:p>
        </w:tc>
        <w:tc>
          <w:tcPr>
            <w:tcW w:w="2211" w:type="dxa"/>
            <w:tcBorders>
              <w:tl2br w:val="nil"/>
              <w:tr2bl w:val="nil"/>
            </w:tcBorders>
            <w:vAlign w:val="center"/>
          </w:tcPr>
          <w:p w14:paraId="7705BEF4"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0.6</w:t>
            </w:r>
          </w:p>
        </w:tc>
        <w:tc>
          <w:tcPr>
            <w:tcW w:w="2211" w:type="dxa"/>
            <w:tcBorders>
              <w:tl2br w:val="nil"/>
              <w:tr2bl w:val="nil"/>
            </w:tcBorders>
            <w:vAlign w:val="center"/>
          </w:tcPr>
          <w:p w14:paraId="327B87C9"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达标</w:t>
            </w:r>
          </w:p>
        </w:tc>
      </w:tr>
      <w:tr w:rsidR="005A1A44" w14:paraId="702DEA1B" w14:textId="77777777">
        <w:trPr>
          <w:cantSplit/>
          <w:jc w:val="center"/>
        </w:trPr>
        <w:tc>
          <w:tcPr>
            <w:tcW w:w="2214" w:type="dxa"/>
            <w:tcBorders>
              <w:tl2br w:val="nil"/>
              <w:tr2bl w:val="nil"/>
            </w:tcBorders>
            <w:vAlign w:val="center"/>
          </w:tcPr>
          <w:p w14:paraId="6520102F"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铅，</w:t>
            </w:r>
            <w:r>
              <w:rPr>
                <w:color w:val="000000" w:themeColor="text1"/>
                <w:sz w:val="21"/>
                <w:szCs w:val="21"/>
              </w:rPr>
              <w:t>mg/kg</w:t>
            </w:r>
          </w:p>
        </w:tc>
        <w:tc>
          <w:tcPr>
            <w:tcW w:w="2214" w:type="dxa"/>
            <w:tcBorders>
              <w:tl2br w:val="nil"/>
              <w:tr2bl w:val="nil"/>
            </w:tcBorders>
            <w:vAlign w:val="center"/>
          </w:tcPr>
          <w:p w14:paraId="1A19C8D9"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16.1</w:t>
            </w:r>
          </w:p>
        </w:tc>
        <w:tc>
          <w:tcPr>
            <w:tcW w:w="2211" w:type="dxa"/>
            <w:tcBorders>
              <w:tl2br w:val="nil"/>
              <w:tr2bl w:val="nil"/>
            </w:tcBorders>
            <w:vAlign w:val="center"/>
          </w:tcPr>
          <w:p w14:paraId="6A3AE447"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170</w:t>
            </w:r>
          </w:p>
        </w:tc>
        <w:tc>
          <w:tcPr>
            <w:tcW w:w="2211" w:type="dxa"/>
            <w:tcBorders>
              <w:tl2br w:val="nil"/>
              <w:tr2bl w:val="nil"/>
            </w:tcBorders>
            <w:vAlign w:val="center"/>
          </w:tcPr>
          <w:p w14:paraId="70546184"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达标</w:t>
            </w:r>
          </w:p>
        </w:tc>
      </w:tr>
      <w:tr w:rsidR="005A1A44" w14:paraId="2549C0C1" w14:textId="77777777">
        <w:trPr>
          <w:cantSplit/>
          <w:jc w:val="center"/>
        </w:trPr>
        <w:tc>
          <w:tcPr>
            <w:tcW w:w="2214" w:type="dxa"/>
            <w:tcBorders>
              <w:tl2br w:val="nil"/>
              <w:tr2bl w:val="nil"/>
            </w:tcBorders>
            <w:vAlign w:val="center"/>
          </w:tcPr>
          <w:p w14:paraId="2C7AF00B" w14:textId="77777777" w:rsidR="005A1A44" w:rsidRDefault="0008059E">
            <w:pPr>
              <w:adjustRightInd w:val="0"/>
              <w:snapToGrid w:val="0"/>
              <w:spacing w:line="240" w:lineRule="auto"/>
              <w:ind w:firstLineChars="0" w:firstLine="0"/>
              <w:jc w:val="center"/>
              <w:rPr>
                <w:color w:val="000000" w:themeColor="text1"/>
                <w:sz w:val="21"/>
                <w:szCs w:val="21"/>
              </w:rPr>
            </w:pPr>
            <w:r>
              <w:rPr>
                <w:color w:val="000000" w:themeColor="text1"/>
                <w:sz w:val="21"/>
                <w:szCs w:val="21"/>
              </w:rPr>
              <w:t>镍，</w:t>
            </w:r>
            <w:r>
              <w:rPr>
                <w:color w:val="000000" w:themeColor="text1"/>
                <w:sz w:val="21"/>
                <w:szCs w:val="21"/>
              </w:rPr>
              <w:t>mg/kg</w:t>
            </w:r>
          </w:p>
        </w:tc>
        <w:tc>
          <w:tcPr>
            <w:tcW w:w="2214" w:type="dxa"/>
            <w:tcBorders>
              <w:tl2br w:val="nil"/>
              <w:tr2bl w:val="nil"/>
            </w:tcBorders>
            <w:vAlign w:val="center"/>
          </w:tcPr>
          <w:p w14:paraId="03578E92"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22</w:t>
            </w:r>
          </w:p>
        </w:tc>
        <w:tc>
          <w:tcPr>
            <w:tcW w:w="2211" w:type="dxa"/>
            <w:tcBorders>
              <w:tl2br w:val="nil"/>
              <w:tr2bl w:val="nil"/>
            </w:tcBorders>
            <w:vAlign w:val="center"/>
          </w:tcPr>
          <w:p w14:paraId="51052FD6"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190</w:t>
            </w:r>
          </w:p>
        </w:tc>
        <w:tc>
          <w:tcPr>
            <w:tcW w:w="2211" w:type="dxa"/>
            <w:tcBorders>
              <w:tl2br w:val="nil"/>
              <w:tr2bl w:val="nil"/>
            </w:tcBorders>
            <w:vAlign w:val="center"/>
          </w:tcPr>
          <w:p w14:paraId="4F08F271"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达标</w:t>
            </w:r>
          </w:p>
        </w:tc>
      </w:tr>
      <w:tr w:rsidR="005A1A44" w14:paraId="4ED45BC6" w14:textId="77777777">
        <w:trPr>
          <w:cantSplit/>
          <w:trHeight w:val="90"/>
          <w:jc w:val="center"/>
        </w:trPr>
        <w:tc>
          <w:tcPr>
            <w:tcW w:w="2214" w:type="dxa"/>
            <w:tcBorders>
              <w:tl2br w:val="nil"/>
              <w:tr2bl w:val="nil"/>
            </w:tcBorders>
            <w:vAlign w:val="center"/>
          </w:tcPr>
          <w:p w14:paraId="19746E94"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铜</w:t>
            </w:r>
            <w:r>
              <w:rPr>
                <w:color w:val="000000" w:themeColor="text1"/>
                <w:sz w:val="21"/>
                <w:szCs w:val="21"/>
              </w:rPr>
              <w:t>，</w:t>
            </w:r>
            <w:r>
              <w:rPr>
                <w:color w:val="000000" w:themeColor="text1"/>
                <w:sz w:val="21"/>
                <w:szCs w:val="21"/>
              </w:rPr>
              <w:t>mg/kg</w:t>
            </w:r>
          </w:p>
        </w:tc>
        <w:tc>
          <w:tcPr>
            <w:tcW w:w="2214" w:type="dxa"/>
            <w:tcBorders>
              <w:tl2br w:val="nil"/>
              <w:tr2bl w:val="nil"/>
            </w:tcBorders>
            <w:vAlign w:val="center"/>
          </w:tcPr>
          <w:p w14:paraId="22C2DBAA"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17.0</w:t>
            </w:r>
          </w:p>
        </w:tc>
        <w:tc>
          <w:tcPr>
            <w:tcW w:w="2211" w:type="dxa"/>
            <w:tcBorders>
              <w:tl2br w:val="nil"/>
              <w:tr2bl w:val="nil"/>
            </w:tcBorders>
            <w:vAlign w:val="center"/>
          </w:tcPr>
          <w:p w14:paraId="2871CF91"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100</w:t>
            </w:r>
          </w:p>
        </w:tc>
        <w:tc>
          <w:tcPr>
            <w:tcW w:w="2211" w:type="dxa"/>
            <w:tcBorders>
              <w:tl2br w:val="nil"/>
              <w:tr2bl w:val="nil"/>
            </w:tcBorders>
            <w:vAlign w:val="center"/>
          </w:tcPr>
          <w:p w14:paraId="3134BA1B"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达标</w:t>
            </w:r>
          </w:p>
        </w:tc>
      </w:tr>
      <w:tr w:rsidR="005A1A44" w14:paraId="24276891" w14:textId="77777777">
        <w:trPr>
          <w:cantSplit/>
          <w:trHeight w:val="90"/>
          <w:jc w:val="center"/>
        </w:trPr>
        <w:tc>
          <w:tcPr>
            <w:tcW w:w="2214" w:type="dxa"/>
            <w:tcBorders>
              <w:tl2br w:val="nil"/>
              <w:tr2bl w:val="nil"/>
            </w:tcBorders>
            <w:vAlign w:val="center"/>
          </w:tcPr>
          <w:p w14:paraId="43D19D16" w14:textId="77777777" w:rsidR="005A1A44" w:rsidRDefault="0008059E">
            <w:pPr>
              <w:widowControl/>
              <w:snapToGrid w:val="0"/>
              <w:spacing w:line="240" w:lineRule="auto"/>
              <w:ind w:firstLineChars="0" w:firstLine="0"/>
              <w:jc w:val="center"/>
              <w:rPr>
                <w:color w:val="000000" w:themeColor="text1"/>
                <w:sz w:val="21"/>
                <w:szCs w:val="21"/>
              </w:rPr>
            </w:pPr>
            <w:r>
              <w:rPr>
                <w:rFonts w:hint="eastAsia"/>
                <w:color w:val="000000" w:themeColor="text1"/>
                <w:sz w:val="21"/>
                <w:szCs w:val="21"/>
              </w:rPr>
              <w:t>铬</w:t>
            </w:r>
            <w:r>
              <w:rPr>
                <w:color w:val="000000" w:themeColor="text1"/>
                <w:sz w:val="21"/>
                <w:szCs w:val="21"/>
              </w:rPr>
              <w:t>，</w:t>
            </w:r>
            <w:r>
              <w:rPr>
                <w:color w:val="000000" w:themeColor="text1"/>
                <w:sz w:val="21"/>
                <w:szCs w:val="21"/>
              </w:rPr>
              <w:t>mg/kg</w:t>
            </w:r>
          </w:p>
        </w:tc>
        <w:tc>
          <w:tcPr>
            <w:tcW w:w="2214" w:type="dxa"/>
            <w:tcBorders>
              <w:tl2br w:val="nil"/>
              <w:tr2bl w:val="nil"/>
            </w:tcBorders>
            <w:vAlign w:val="center"/>
          </w:tcPr>
          <w:p w14:paraId="5B842CE2"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58</w:t>
            </w:r>
          </w:p>
        </w:tc>
        <w:tc>
          <w:tcPr>
            <w:tcW w:w="2211" w:type="dxa"/>
            <w:tcBorders>
              <w:tl2br w:val="nil"/>
              <w:tr2bl w:val="nil"/>
            </w:tcBorders>
            <w:vAlign w:val="center"/>
          </w:tcPr>
          <w:p w14:paraId="78BAB669" w14:textId="77777777" w:rsidR="005A1A44" w:rsidRDefault="0008059E">
            <w:pPr>
              <w:adjustRightInd w:val="0"/>
              <w:snapToGrid w:val="0"/>
              <w:spacing w:line="240" w:lineRule="auto"/>
              <w:ind w:firstLineChars="0" w:firstLine="0"/>
              <w:jc w:val="center"/>
              <w:rPr>
                <w:color w:val="000000" w:themeColor="text1"/>
                <w:sz w:val="21"/>
                <w:szCs w:val="21"/>
              </w:rPr>
            </w:pPr>
            <w:r>
              <w:rPr>
                <w:rFonts w:hint="eastAsia"/>
                <w:color w:val="000000" w:themeColor="text1"/>
                <w:sz w:val="21"/>
                <w:szCs w:val="21"/>
              </w:rPr>
              <w:t>250</w:t>
            </w:r>
          </w:p>
        </w:tc>
        <w:tc>
          <w:tcPr>
            <w:tcW w:w="2211" w:type="dxa"/>
            <w:tcBorders>
              <w:tl2br w:val="nil"/>
              <w:tr2bl w:val="nil"/>
            </w:tcBorders>
            <w:vAlign w:val="center"/>
          </w:tcPr>
          <w:p w14:paraId="2DF4D1F5" w14:textId="77777777" w:rsidR="005A1A44" w:rsidRDefault="005A1A44">
            <w:pPr>
              <w:adjustRightInd w:val="0"/>
              <w:snapToGrid w:val="0"/>
              <w:spacing w:line="240" w:lineRule="auto"/>
              <w:ind w:firstLineChars="0" w:firstLine="0"/>
              <w:jc w:val="center"/>
              <w:rPr>
                <w:color w:val="000000" w:themeColor="text1"/>
                <w:sz w:val="21"/>
                <w:szCs w:val="21"/>
              </w:rPr>
            </w:pPr>
          </w:p>
        </w:tc>
      </w:tr>
    </w:tbl>
    <w:p w14:paraId="16E33DDF" w14:textId="77777777" w:rsidR="005A1A44" w:rsidRDefault="005A1A44">
      <w:pPr>
        <w:ind w:firstLine="480"/>
      </w:pPr>
    </w:p>
    <w:p w14:paraId="26C95A85" w14:textId="77777777" w:rsidR="005A1A44" w:rsidRDefault="0008059E">
      <w:pPr>
        <w:pStyle w:val="3"/>
        <w:numPr>
          <w:ilvl w:val="2"/>
          <w:numId w:val="2"/>
        </w:numPr>
      </w:pPr>
      <w:r>
        <w:rPr>
          <w:rFonts w:hint="eastAsia"/>
        </w:rPr>
        <w:t xml:space="preserve"> </w:t>
      </w:r>
      <w:r>
        <w:rPr>
          <w:rFonts w:hint="eastAsia"/>
        </w:rPr>
        <w:t>和田市自然保护区、森林公园和风景名胜区概况</w:t>
      </w:r>
    </w:p>
    <w:p w14:paraId="15A2773C" w14:textId="77777777" w:rsidR="005A1A44" w:rsidRDefault="0008059E">
      <w:pPr>
        <w:ind w:firstLine="480"/>
        <w:rPr>
          <w:color w:val="FF0000"/>
        </w:rPr>
      </w:pPr>
      <w:r>
        <w:rPr>
          <w:rFonts w:hint="eastAsia"/>
        </w:rPr>
        <w:t>和田市没有自然保护区、森林公园和风景名胜区等重点区域。</w:t>
      </w:r>
    </w:p>
    <w:p w14:paraId="14C50740" w14:textId="77777777" w:rsidR="005A1A44" w:rsidRDefault="0008059E">
      <w:pPr>
        <w:pStyle w:val="3"/>
        <w:numPr>
          <w:ilvl w:val="2"/>
          <w:numId w:val="2"/>
        </w:numPr>
      </w:pPr>
      <w:r>
        <w:rPr>
          <w:rFonts w:hint="eastAsia"/>
        </w:rPr>
        <w:t xml:space="preserve"> </w:t>
      </w:r>
      <w:r>
        <w:rPr>
          <w:rFonts w:hint="eastAsia"/>
        </w:rPr>
        <w:t>生态环境调查小结</w:t>
      </w:r>
    </w:p>
    <w:p w14:paraId="65B3DC8B" w14:textId="77777777" w:rsidR="005A1A44" w:rsidRDefault="0008059E">
      <w:pPr>
        <w:ind w:firstLine="480"/>
      </w:pPr>
      <w:r>
        <w:rPr>
          <w:rFonts w:hint="eastAsia"/>
        </w:rPr>
        <w:t>由上述生态现状调查结果可知，项目所在地生态现状良好，无国家和地方重点保护的野生动植物、濒危物种的存在。</w:t>
      </w:r>
    </w:p>
    <w:p w14:paraId="4020A679" w14:textId="77777777" w:rsidR="005A1A44" w:rsidRDefault="0008059E">
      <w:pPr>
        <w:pStyle w:val="2"/>
        <w:numPr>
          <w:ilvl w:val="1"/>
          <w:numId w:val="2"/>
        </w:numPr>
      </w:pPr>
      <w:bookmarkStart w:id="172" w:name="_Toc465790233"/>
      <w:bookmarkStart w:id="173" w:name="_Toc21689_WPSOffice_Level2"/>
      <w:r>
        <w:rPr>
          <w:rFonts w:hint="eastAsia"/>
        </w:rPr>
        <w:t xml:space="preserve"> </w:t>
      </w:r>
      <w:bookmarkStart w:id="174" w:name="_Toc29767_WPSOffice_Level2"/>
      <w:bookmarkStart w:id="175" w:name="_Toc28005_WPSOffice_Level2"/>
      <w:r>
        <w:t>结论</w:t>
      </w:r>
      <w:bookmarkEnd w:id="172"/>
      <w:bookmarkEnd w:id="173"/>
      <w:bookmarkEnd w:id="174"/>
      <w:bookmarkEnd w:id="175"/>
    </w:p>
    <w:p w14:paraId="3F9F51F7" w14:textId="77777777" w:rsidR="005A1A44" w:rsidRDefault="0008059E">
      <w:pPr>
        <w:ind w:firstLine="480"/>
      </w:pPr>
      <w:r>
        <w:t>（</w:t>
      </w:r>
      <w:r>
        <w:t>1</w:t>
      </w:r>
      <w:r>
        <w:t>）大气环境现状调查表明，工</w:t>
      </w:r>
      <w:r>
        <w:rPr>
          <w:rFonts w:hint="eastAsia"/>
        </w:rPr>
        <w:t>项目区</w:t>
      </w:r>
      <w:r>
        <w:t>PM</w:t>
      </w:r>
      <w:r>
        <w:rPr>
          <w:vertAlign w:val="subscript"/>
        </w:rPr>
        <w:t>10</w:t>
      </w:r>
      <w:r>
        <w:rPr>
          <w:rFonts w:hint="eastAsia"/>
        </w:rPr>
        <w:t>、</w:t>
      </w:r>
      <w:r>
        <w:rPr>
          <w:rFonts w:hint="eastAsia"/>
        </w:rPr>
        <w:t>PM</w:t>
      </w:r>
      <w:r>
        <w:rPr>
          <w:rFonts w:hint="eastAsia"/>
          <w:vertAlign w:val="subscript"/>
        </w:rPr>
        <w:t>2.5</w:t>
      </w:r>
      <w:r>
        <w:rPr>
          <w:rFonts w:hint="eastAsia"/>
        </w:rPr>
        <w:t>达不到</w:t>
      </w:r>
      <w:r>
        <w:t>达到《环境空气质</w:t>
      </w:r>
      <w:r>
        <w:lastRenderedPageBreak/>
        <w:t>量标准》（</w:t>
      </w:r>
      <w:r>
        <w:t>GB3095-2012</w:t>
      </w:r>
      <w:r>
        <w:t>）中二级标准</w:t>
      </w:r>
      <w:r>
        <w:rPr>
          <w:rFonts w:hint="eastAsia"/>
        </w:rPr>
        <w:t>，主要为本底所致</w:t>
      </w:r>
      <w:r>
        <w:t>。</w:t>
      </w:r>
    </w:p>
    <w:p w14:paraId="5E183AAF" w14:textId="77777777" w:rsidR="005A1A44" w:rsidRDefault="0008059E">
      <w:pPr>
        <w:ind w:firstLine="480"/>
      </w:pPr>
      <w:r>
        <w:t>（</w:t>
      </w:r>
      <w:r>
        <w:t>2</w:t>
      </w:r>
      <w:r>
        <w:t>）地表水现状调查结果表明，</w:t>
      </w:r>
      <w:r>
        <w:rPr>
          <w:rFonts w:hint="eastAsia"/>
        </w:rPr>
        <w:t>玉龙喀什河现状各监测断面水质较好，各断面均满足河段水环境功能区划确定的水质目标要求。</w:t>
      </w:r>
    </w:p>
    <w:p w14:paraId="62903020" w14:textId="77777777" w:rsidR="005A1A44" w:rsidRDefault="0008059E">
      <w:pPr>
        <w:ind w:firstLine="480"/>
      </w:pPr>
      <w:r>
        <w:t>（</w:t>
      </w:r>
      <w:r>
        <w:t>3</w:t>
      </w:r>
      <w:r>
        <w:t>）</w:t>
      </w:r>
      <w:r>
        <w:rPr>
          <w:rFonts w:hint="eastAsia"/>
        </w:rPr>
        <w:t>项目区</w:t>
      </w:r>
      <w:r>
        <w:t>内</w:t>
      </w:r>
      <w:r>
        <w:rPr>
          <w:rFonts w:hint="eastAsia"/>
        </w:rPr>
        <w:t>大部分</w:t>
      </w:r>
      <w:r>
        <w:t>测点昼</w:t>
      </w:r>
      <w:r>
        <w:rPr>
          <w:rFonts w:hint="eastAsia"/>
        </w:rPr>
        <w:t>夜</w:t>
      </w:r>
      <w:r>
        <w:t>间噪声</w:t>
      </w:r>
      <w:r>
        <w:rPr>
          <w:rFonts w:hint="eastAsia"/>
        </w:rPr>
        <w:t>分别</w:t>
      </w:r>
      <w:r>
        <w:t>满足《声环境质量标准》（</w:t>
      </w:r>
      <w:r>
        <w:t>GB3096-2008</w:t>
      </w:r>
      <w:r>
        <w:t>）</w:t>
      </w:r>
      <w:r>
        <w:t>2</w:t>
      </w:r>
      <w:r>
        <w:t>类</w:t>
      </w:r>
      <w:r>
        <w:rPr>
          <w:rFonts w:hint="eastAsia"/>
        </w:rPr>
        <w:t>和</w:t>
      </w:r>
      <w:r>
        <w:rPr>
          <w:rFonts w:hint="eastAsia"/>
        </w:rPr>
        <w:t>4a</w:t>
      </w:r>
      <w:r>
        <w:t>标准</w:t>
      </w:r>
      <w:r>
        <w:rPr>
          <w:rFonts w:hint="eastAsia"/>
        </w:rPr>
        <w:t>，仅一个监测点夜间超标。</w:t>
      </w:r>
    </w:p>
    <w:p w14:paraId="509332AF" w14:textId="77777777" w:rsidR="005A1A44" w:rsidRDefault="0008059E">
      <w:pPr>
        <w:ind w:firstLine="480"/>
      </w:pPr>
      <w:r>
        <w:t>（</w:t>
      </w:r>
      <w:r>
        <w:t>4</w:t>
      </w:r>
      <w:r>
        <w:t>）</w:t>
      </w:r>
      <w:r>
        <w:rPr>
          <w:rFonts w:hint="eastAsia"/>
        </w:rPr>
        <w:t>河道底质未受到污染，质量较好</w:t>
      </w:r>
      <w:r>
        <w:t>。</w:t>
      </w:r>
    </w:p>
    <w:p w14:paraId="3A0C5577" w14:textId="77777777" w:rsidR="005A1A44" w:rsidRDefault="005A1A44">
      <w:pPr>
        <w:pStyle w:val="1"/>
        <w:adjustRightInd w:val="0"/>
        <w:snapToGrid w:val="0"/>
        <w:spacing w:before="0" w:after="0" w:line="360" w:lineRule="auto"/>
        <w:ind w:left="431" w:hanging="431"/>
        <w:sectPr w:rsidR="005A1A44">
          <w:pgSz w:w="12240" w:h="15840"/>
          <w:pgMar w:top="1440" w:right="1803" w:bottom="1440" w:left="1803" w:header="720" w:footer="720" w:gutter="0"/>
          <w:cols w:space="0"/>
          <w:docGrid w:linePitch="312"/>
        </w:sectPr>
      </w:pPr>
      <w:bookmarkStart w:id="176" w:name="_Toc23571_WPSOffice_Level1"/>
    </w:p>
    <w:bookmarkEnd w:id="176"/>
    <w:p w14:paraId="063793AB" w14:textId="77777777" w:rsidR="005A1A44" w:rsidRDefault="0008059E">
      <w:pPr>
        <w:pStyle w:val="1"/>
        <w:numPr>
          <w:ilvl w:val="0"/>
          <w:numId w:val="2"/>
        </w:numPr>
      </w:pPr>
      <w:r>
        <w:rPr>
          <w:rFonts w:hint="eastAsia"/>
        </w:rPr>
        <w:lastRenderedPageBreak/>
        <w:t xml:space="preserve"> </w:t>
      </w:r>
      <w:bookmarkStart w:id="177" w:name="_Toc28293_WPSOffice_Level1"/>
      <w:bookmarkStart w:id="178" w:name="_Toc23520_WPSOffice_Level1"/>
      <w:bookmarkStart w:id="179" w:name="_Toc21861_WPSOffice_Level1"/>
      <w:r>
        <w:rPr>
          <w:rFonts w:hint="eastAsia"/>
        </w:rPr>
        <w:t>施工期环境影响预测与评价</w:t>
      </w:r>
      <w:bookmarkEnd w:id="177"/>
      <w:bookmarkEnd w:id="178"/>
      <w:bookmarkEnd w:id="179"/>
    </w:p>
    <w:p w14:paraId="1D28CE01" w14:textId="77777777" w:rsidR="005A1A44" w:rsidRDefault="0008059E">
      <w:pPr>
        <w:pStyle w:val="2"/>
        <w:numPr>
          <w:ilvl w:val="1"/>
          <w:numId w:val="2"/>
        </w:numPr>
      </w:pPr>
      <w:bookmarkStart w:id="180" w:name="_Toc24780_WPSOffice_Level2"/>
      <w:r>
        <w:rPr>
          <w:rFonts w:hint="eastAsia"/>
        </w:rPr>
        <w:t xml:space="preserve"> </w:t>
      </w:r>
      <w:bookmarkStart w:id="181" w:name="_Toc7705_WPSOffice_Level2"/>
      <w:bookmarkStart w:id="182" w:name="_Toc8198_WPSOffice_Level2"/>
      <w:r>
        <w:rPr>
          <w:rFonts w:hint="eastAsia"/>
        </w:rPr>
        <w:t>施工期大气环境影响分析</w:t>
      </w:r>
      <w:bookmarkEnd w:id="180"/>
      <w:bookmarkEnd w:id="181"/>
      <w:bookmarkEnd w:id="182"/>
    </w:p>
    <w:p w14:paraId="4173CFC2" w14:textId="77777777" w:rsidR="005A1A44" w:rsidRDefault="0008059E">
      <w:pPr>
        <w:ind w:firstLine="480"/>
      </w:pPr>
      <w:r>
        <w:rPr>
          <w:rFonts w:hint="eastAsia"/>
        </w:rPr>
        <w:t>拟建项目对大气环境的影响主要源于燃油动力机械尾气和扬尘。由于施工属于暂时性行为，施工机械间断作业，且使用数量不大，因此其污染物排放量不大，对大气环境的影响不明显。</w:t>
      </w:r>
      <w:r>
        <w:rPr>
          <w:rFonts w:hint="eastAsia"/>
        </w:rPr>
        <w:t xml:space="preserve"> </w:t>
      </w:r>
    </w:p>
    <w:p w14:paraId="12F625B0" w14:textId="77777777" w:rsidR="005A1A44" w:rsidRDefault="0008059E">
      <w:pPr>
        <w:pStyle w:val="3"/>
        <w:numPr>
          <w:ilvl w:val="2"/>
          <w:numId w:val="2"/>
        </w:numPr>
      </w:pPr>
      <w:r>
        <w:rPr>
          <w:rFonts w:hint="eastAsia"/>
        </w:rPr>
        <w:t xml:space="preserve"> </w:t>
      </w:r>
      <w:r>
        <w:rPr>
          <w:rFonts w:hint="eastAsia"/>
        </w:rPr>
        <w:t>施工场地扬尘环境影响分析</w:t>
      </w:r>
    </w:p>
    <w:p w14:paraId="08108D1C" w14:textId="77777777" w:rsidR="005A1A44" w:rsidRDefault="0008059E">
      <w:pPr>
        <w:ind w:firstLine="480"/>
      </w:pPr>
      <w:r>
        <w:rPr>
          <w:rFonts w:hint="eastAsia"/>
        </w:rPr>
        <w:t>工程施工建设过程中主要大气污染物为扬尘及废气气，主要来源如下：施工产生的扬尘主要集中在土建施工阶段，按起尘的原因可分为风力起尘和动力起尘，其中风力起尘主要是由于露天堆放的土方，建材（如砂石、水泥等）及裸露的施工区表层浮尘，由于天气干燥及大风，产生风力扬尘；而动力起尘，主要在建材的装卸、搅拌过程中，由于外力而产生的尘粒再悬浮而造成。</w:t>
      </w:r>
    </w:p>
    <w:p w14:paraId="7E02192D" w14:textId="77777777" w:rsidR="005A1A44" w:rsidRDefault="0008059E">
      <w:pPr>
        <w:ind w:firstLine="480"/>
      </w:pPr>
      <w:r>
        <w:rPr>
          <w:rFonts w:hint="eastAsia"/>
        </w:rPr>
        <w:t>（</w:t>
      </w:r>
      <w:r>
        <w:rPr>
          <w:rFonts w:hint="eastAsia"/>
        </w:rPr>
        <w:t>1</w:t>
      </w:r>
      <w:r>
        <w:rPr>
          <w:rFonts w:hint="eastAsia"/>
        </w:rPr>
        <w:t>）运输车辆往来造成的地面扬尘</w:t>
      </w:r>
    </w:p>
    <w:p w14:paraId="318CC16B" w14:textId="77777777" w:rsidR="005A1A44" w:rsidRDefault="0008059E">
      <w:pPr>
        <w:ind w:firstLine="480"/>
      </w:pPr>
      <w:r>
        <w:rPr>
          <w:rFonts w:hint="eastAsia"/>
        </w:rPr>
        <w:t>施工工地的扬尘一部分是由运输车辆行驶产生，据有关调查显示，施工工地的扬尘主要是由运输车辆行驶产生，与道路路面及车辆行驶速度有关，约占扬尘总量的</w:t>
      </w:r>
      <w:r>
        <w:rPr>
          <w:rFonts w:hint="eastAsia"/>
        </w:rPr>
        <w:t>60%</w:t>
      </w:r>
      <w:r>
        <w:rPr>
          <w:rFonts w:hint="eastAsia"/>
        </w:rPr>
        <w:t>。在完全干燥情况下，可按经验公式计算：</w:t>
      </w:r>
    </w:p>
    <w:p w14:paraId="7FE4F943" w14:textId="77777777" w:rsidR="005A1A44" w:rsidRDefault="0008059E">
      <w:pPr>
        <w:pStyle w:val="Char"/>
        <w:ind w:firstLineChars="0" w:firstLine="0"/>
        <w:jc w:val="center"/>
      </w:pPr>
      <w:r>
        <w:rPr>
          <w:rFonts w:hint="eastAsia"/>
          <w:noProof/>
        </w:rPr>
        <w:drawing>
          <wp:inline distT="0" distB="0" distL="114300" distR="114300" wp14:anchorId="05B2FF7F" wp14:editId="3F0051BA">
            <wp:extent cx="2448560" cy="655955"/>
            <wp:effectExtent l="0" t="0" r="8890" b="10795"/>
            <wp:docPr id="55" name="图片 55" descr="新文档 2019-05-20 12.37.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新文档 2019-05-20 12.37.29_1"/>
                    <pic:cNvPicPr>
                      <a:picLocks noChangeAspect="1"/>
                    </pic:cNvPicPr>
                  </pic:nvPicPr>
                  <pic:blipFill>
                    <a:blip r:embed="rId36" cstate="print"/>
                    <a:stretch>
                      <a:fillRect/>
                    </a:stretch>
                  </pic:blipFill>
                  <pic:spPr>
                    <a:xfrm>
                      <a:off x="0" y="0"/>
                      <a:ext cx="2448560" cy="655955"/>
                    </a:xfrm>
                    <a:prstGeom prst="rect">
                      <a:avLst/>
                    </a:prstGeom>
                  </pic:spPr>
                </pic:pic>
              </a:graphicData>
            </a:graphic>
          </wp:inline>
        </w:drawing>
      </w:r>
    </w:p>
    <w:p w14:paraId="0E3B85EA" w14:textId="77777777" w:rsidR="005A1A44" w:rsidRDefault="0008059E">
      <w:pPr>
        <w:ind w:firstLine="480"/>
      </w:pPr>
      <w:r>
        <w:rPr>
          <w:rFonts w:hint="eastAsia"/>
        </w:rPr>
        <w:t>式中：</w:t>
      </w:r>
      <w:r>
        <w:rPr>
          <w:rFonts w:hint="eastAsia"/>
        </w:rPr>
        <w:t>Q</w:t>
      </w:r>
      <w:r>
        <w:rPr>
          <w:rFonts w:hint="eastAsia"/>
        </w:rPr>
        <w:t>一汽车行驶的扬尘，</w:t>
      </w:r>
      <w:r>
        <w:rPr>
          <w:rFonts w:hint="eastAsia"/>
        </w:rPr>
        <w:t>kg/km</w:t>
      </w:r>
      <w:r>
        <w:rPr>
          <w:rFonts w:hint="eastAsia"/>
        </w:rPr>
        <w:t>辆；</w:t>
      </w:r>
      <w:r>
        <w:rPr>
          <w:rFonts w:hint="eastAsia"/>
        </w:rPr>
        <w:t>v</w:t>
      </w:r>
      <w:r>
        <w:rPr>
          <w:rFonts w:hint="eastAsia"/>
        </w:rPr>
        <w:t>一汽车速度，</w:t>
      </w:r>
      <w:r>
        <w:rPr>
          <w:rFonts w:hint="eastAsia"/>
        </w:rPr>
        <w:t>km/h</w:t>
      </w:r>
      <w:r>
        <w:rPr>
          <w:rFonts w:hint="eastAsia"/>
        </w:rPr>
        <w:t>；</w:t>
      </w:r>
      <w:r>
        <w:rPr>
          <w:rFonts w:hint="eastAsia"/>
        </w:rPr>
        <w:t>W</w:t>
      </w:r>
      <w:r>
        <w:rPr>
          <w:rFonts w:hint="eastAsia"/>
        </w:rPr>
        <w:t>一汽车载重量，</w:t>
      </w:r>
      <w:r>
        <w:rPr>
          <w:rFonts w:hint="eastAsia"/>
        </w:rPr>
        <w:t>t</w:t>
      </w:r>
      <w:r>
        <w:rPr>
          <w:rFonts w:hint="eastAsia"/>
        </w:rPr>
        <w:t>；</w:t>
      </w:r>
      <w:r>
        <w:rPr>
          <w:rFonts w:hint="eastAsia"/>
        </w:rPr>
        <w:t>P</w:t>
      </w:r>
      <w:r>
        <w:rPr>
          <w:rFonts w:hint="eastAsia"/>
        </w:rPr>
        <w:t>一道路表面粉尘量，</w:t>
      </w:r>
      <w:r>
        <w:rPr>
          <w:rFonts w:hint="eastAsia"/>
        </w:rPr>
        <w:t>kg/m</w:t>
      </w:r>
      <w:r>
        <w:rPr>
          <w:rFonts w:hint="eastAsia"/>
          <w:vertAlign w:val="superscript"/>
        </w:rPr>
        <w:t>2</w:t>
      </w:r>
      <w:r>
        <w:rPr>
          <w:rFonts w:hint="eastAsia"/>
        </w:rPr>
        <w:t>。</w:t>
      </w:r>
    </w:p>
    <w:p w14:paraId="1C8D1E2D" w14:textId="77777777" w:rsidR="005A1A44" w:rsidRDefault="0008059E">
      <w:pPr>
        <w:ind w:firstLine="480"/>
      </w:pPr>
      <w:r>
        <w:rPr>
          <w:rFonts w:hint="eastAsia"/>
        </w:rPr>
        <w:t>一辆载重</w:t>
      </w:r>
      <w:r>
        <w:rPr>
          <w:rFonts w:hint="eastAsia"/>
        </w:rPr>
        <w:t>5t</w:t>
      </w:r>
      <w:r>
        <w:rPr>
          <w:rFonts w:hint="eastAsia"/>
        </w:rPr>
        <w:t>的卡车，通过一段长度为</w:t>
      </w:r>
      <w:r>
        <w:rPr>
          <w:rFonts w:hint="eastAsia"/>
        </w:rPr>
        <w:t>500m</w:t>
      </w:r>
      <w:r>
        <w:rPr>
          <w:rFonts w:hint="eastAsia"/>
        </w:rPr>
        <w:t>的路面时，不同表面清洁程度，不同行驶速度情况下产生的扬尘量如表</w:t>
      </w:r>
      <w:r>
        <w:rPr>
          <w:rFonts w:hint="eastAsia"/>
        </w:rPr>
        <w:t>5.1-1</w:t>
      </w:r>
      <w:r>
        <w:rPr>
          <w:rFonts w:hint="eastAsia"/>
        </w:rPr>
        <w:t>。</w:t>
      </w:r>
    </w:p>
    <w:p w14:paraId="6CCB78B7" w14:textId="77777777" w:rsidR="005A1A44" w:rsidRDefault="0008059E">
      <w:pPr>
        <w:ind w:firstLine="480"/>
        <w:jc w:val="center"/>
        <w:rPr>
          <w:rFonts w:ascii="黑体" w:eastAsia="黑体" w:hAnsi="黑体" w:cs="黑体" w:hint="eastAsia"/>
        </w:rPr>
      </w:pPr>
      <w:r>
        <w:rPr>
          <w:rFonts w:ascii="黑体" w:eastAsia="黑体" w:hAnsi="黑体" w:cs="黑体" w:hint="eastAsia"/>
        </w:rPr>
        <w:lastRenderedPageBreak/>
        <w:t>表5.1-1   不同车速和地面清洁程度时的汽车扬尘</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
        <w:gridCol w:w="1372"/>
        <w:gridCol w:w="1069"/>
        <w:gridCol w:w="1070"/>
        <w:gridCol w:w="1069"/>
        <w:gridCol w:w="1069"/>
        <w:gridCol w:w="1069"/>
        <w:gridCol w:w="1070"/>
      </w:tblGrid>
      <w:tr w:rsidR="005A1A44" w14:paraId="71D9D054" w14:textId="77777777">
        <w:trPr>
          <w:trHeight w:val="384"/>
          <w:jc w:val="center"/>
        </w:trPr>
        <w:tc>
          <w:tcPr>
            <w:tcW w:w="2434" w:type="dxa"/>
            <w:gridSpan w:val="2"/>
            <w:vAlign w:val="center"/>
          </w:tcPr>
          <w:p w14:paraId="54E2F28D" w14:textId="77777777" w:rsidR="005A1A44" w:rsidRDefault="005A1A44">
            <w:pPr>
              <w:widowControl/>
              <w:snapToGrid w:val="0"/>
              <w:spacing w:line="240" w:lineRule="auto"/>
              <w:ind w:firstLineChars="0" w:firstLine="0"/>
              <w:jc w:val="center"/>
              <w:rPr>
                <w:rFonts w:ascii="宋体" w:eastAsia="宋体" w:hAnsi="宋体" w:cs="宋体" w:hint="eastAsia"/>
                <w:sz w:val="21"/>
                <w:szCs w:val="21"/>
              </w:rPr>
            </w:pPr>
          </w:p>
          <w:p w14:paraId="217FDE9F" w14:textId="77777777" w:rsidR="005A1A44" w:rsidRDefault="0008059E">
            <w:pPr>
              <w:widowControl/>
              <w:snapToGrid w:val="0"/>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P（kg/m</w:t>
            </w:r>
            <w:r>
              <w:rPr>
                <w:rFonts w:ascii="宋体" w:eastAsia="宋体" w:hAnsi="宋体" w:cs="宋体" w:hint="eastAsia"/>
                <w:sz w:val="21"/>
                <w:szCs w:val="21"/>
                <w:vertAlign w:val="superscript"/>
              </w:rPr>
              <w:t>2</w:t>
            </w:r>
            <w:r>
              <w:rPr>
                <w:rFonts w:ascii="宋体" w:eastAsia="宋体" w:hAnsi="宋体" w:cs="宋体" w:hint="eastAsia"/>
                <w:sz w:val="21"/>
                <w:szCs w:val="21"/>
              </w:rPr>
              <w:t>）</w:t>
            </w:r>
          </w:p>
        </w:tc>
        <w:tc>
          <w:tcPr>
            <w:tcW w:w="1069" w:type="dxa"/>
            <w:vAlign w:val="center"/>
          </w:tcPr>
          <w:p w14:paraId="418C339B"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0.1</w:t>
            </w:r>
          </w:p>
        </w:tc>
        <w:tc>
          <w:tcPr>
            <w:tcW w:w="1070" w:type="dxa"/>
            <w:vAlign w:val="center"/>
          </w:tcPr>
          <w:p w14:paraId="3AA4A3D7"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0.2</w:t>
            </w:r>
          </w:p>
        </w:tc>
        <w:tc>
          <w:tcPr>
            <w:tcW w:w="1069" w:type="dxa"/>
            <w:vAlign w:val="center"/>
          </w:tcPr>
          <w:p w14:paraId="592E4379"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0.3</w:t>
            </w:r>
          </w:p>
        </w:tc>
        <w:tc>
          <w:tcPr>
            <w:tcW w:w="1069" w:type="dxa"/>
            <w:vAlign w:val="center"/>
          </w:tcPr>
          <w:p w14:paraId="5EDF6706"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0.4</w:t>
            </w:r>
          </w:p>
        </w:tc>
        <w:tc>
          <w:tcPr>
            <w:tcW w:w="1069" w:type="dxa"/>
            <w:vAlign w:val="center"/>
          </w:tcPr>
          <w:p w14:paraId="3B804ADD"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0.5</w:t>
            </w:r>
          </w:p>
        </w:tc>
        <w:tc>
          <w:tcPr>
            <w:tcW w:w="1070" w:type="dxa"/>
            <w:vAlign w:val="center"/>
          </w:tcPr>
          <w:p w14:paraId="43C4D986"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1.0</w:t>
            </w:r>
          </w:p>
        </w:tc>
      </w:tr>
      <w:tr w:rsidR="005A1A44" w14:paraId="352D153D" w14:textId="77777777">
        <w:trPr>
          <w:trHeight w:val="397"/>
          <w:jc w:val="center"/>
        </w:trPr>
        <w:tc>
          <w:tcPr>
            <w:tcW w:w="1062" w:type="dxa"/>
            <w:vMerge w:val="restart"/>
            <w:vAlign w:val="center"/>
          </w:tcPr>
          <w:p w14:paraId="4C1A20E0" w14:textId="77777777" w:rsidR="005A1A44" w:rsidRDefault="0008059E">
            <w:pPr>
              <w:pStyle w:val="Char"/>
              <w:ind w:firstLineChars="0" w:firstLine="0"/>
              <w:jc w:val="right"/>
              <w:rPr>
                <w:rFonts w:ascii="宋体" w:eastAsia="宋体" w:hAnsi="宋体" w:cs="宋体" w:hint="eastAsia"/>
                <w:b w:val="0"/>
                <w:sz w:val="21"/>
                <w:szCs w:val="21"/>
              </w:rPr>
            </w:pPr>
            <w:r>
              <w:rPr>
                <w:rFonts w:ascii="宋体" w:eastAsia="宋体" w:hAnsi="宋体" w:cs="宋体" w:hint="eastAsia"/>
                <w:b w:val="0"/>
                <w:sz w:val="21"/>
                <w:szCs w:val="21"/>
              </w:rPr>
              <w:t>速（km/h）</w:t>
            </w:r>
          </w:p>
          <w:p w14:paraId="216BFCAE" w14:textId="77777777" w:rsidR="005A1A44" w:rsidRDefault="005A1A44">
            <w:pPr>
              <w:widowControl/>
              <w:snapToGrid w:val="0"/>
              <w:spacing w:line="240" w:lineRule="auto"/>
              <w:ind w:firstLineChars="0" w:firstLine="0"/>
              <w:jc w:val="center"/>
              <w:rPr>
                <w:rFonts w:ascii="宋体" w:eastAsia="宋体" w:hAnsi="宋体" w:cs="宋体" w:hint="eastAsia"/>
                <w:kern w:val="0"/>
                <w:sz w:val="21"/>
                <w:szCs w:val="21"/>
              </w:rPr>
            </w:pPr>
          </w:p>
        </w:tc>
        <w:tc>
          <w:tcPr>
            <w:tcW w:w="1372" w:type="dxa"/>
            <w:vAlign w:val="center"/>
          </w:tcPr>
          <w:p w14:paraId="46C967BE"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5</w:t>
            </w:r>
          </w:p>
        </w:tc>
        <w:tc>
          <w:tcPr>
            <w:tcW w:w="1069" w:type="dxa"/>
            <w:vAlign w:val="center"/>
          </w:tcPr>
          <w:p w14:paraId="379DB745"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0.0283</w:t>
            </w:r>
          </w:p>
        </w:tc>
        <w:tc>
          <w:tcPr>
            <w:tcW w:w="1070" w:type="dxa"/>
            <w:vAlign w:val="center"/>
          </w:tcPr>
          <w:p w14:paraId="388CA457"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0.0476</w:t>
            </w:r>
          </w:p>
        </w:tc>
        <w:tc>
          <w:tcPr>
            <w:tcW w:w="1069" w:type="dxa"/>
            <w:vAlign w:val="center"/>
          </w:tcPr>
          <w:p w14:paraId="06896205"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0.0646</w:t>
            </w:r>
          </w:p>
        </w:tc>
        <w:tc>
          <w:tcPr>
            <w:tcW w:w="1069" w:type="dxa"/>
            <w:vAlign w:val="center"/>
          </w:tcPr>
          <w:p w14:paraId="5F820712"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0.0801</w:t>
            </w:r>
          </w:p>
        </w:tc>
        <w:tc>
          <w:tcPr>
            <w:tcW w:w="1069" w:type="dxa"/>
            <w:vAlign w:val="center"/>
          </w:tcPr>
          <w:p w14:paraId="1A5632A8"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0.0947</w:t>
            </w:r>
          </w:p>
        </w:tc>
        <w:tc>
          <w:tcPr>
            <w:tcW w:w="1070" w:type="dxa"/>
            <w:vAlign w:val="center"/>
          </w:tcPr>
          <w:p w14:paraId="77E206D5"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01593</w:t>
            </w:r>
          </w:p>
        </w:tc>
      </w:tr>
      <w:tr w:rsidR="005A1A44" w14:paraId="5B0EBC86" w14:textId="77777777">
        <w:trPr>
          <w:trHeight w:val="397"/>
          <w:jc w:val="center"/>
        </w:trPr>
        <w:tc>
          <w:tcPr>
            <w:tcW w:w="1062" w:type="dxa"/>
            <w:vMerge/>
            <w:vAlign w:val="center"/>
          </w:tcPr>
          <w:p w14:paraId="1D948261" w14:textId="77777777" w:rsidR="005A1A44" w:rsidRDefault="005A1A44">
            <w:pPr>
              <w:widowControl/>
              <w:snapToGrid w:val="0"/>
              <w:spacing w:line="240" w:lineRule="auto"/>
              <w:ind w:firstLineChars="0" w:firstLine="0"/>
              <w:jc w:val="center"/>
              <w:rPr>
                <w:rFonts w:ascii="宋体" w:eastAsia="宋体" w:hAnsi="宋体" w:cs="宋体" w:hint="eastAsia"/>
                <w:kern w:val="0"/>
                <w:sz w:val="21"/>
                <w:szCs w:val="21"/>
              </w:rPr>
            </w:pPr>
          </w:p>
        </w:tc>
        <w:tc>
          <w:tcPr>
            <w:tcW w:w="1372" w:type="dxa"/>
            <w:vAlign w:val="center"/>
          </w:tcPr>
          <w:p w14:paraId="655A8613"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10</w:t>
            </w:r>
          </w:p>
        </w:tc>
        <w:tc>
          <w:tcPr>
            <w:tcW w:w="1069" w:type="dxa"/>
            <w:vAlign w:val="center"/>
          </w:tcPr>
          <w:p w14:paraId="5CD661A4"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0.0566</w:t>
            </w:r>
          </w:p>
        </w:tc>
        <w:tc>
          <w:tcPr>
            <w:tcW w:w="1070" w:type="dxa"/>
            <w:vAlign w:val="center"/>
          </w:tcPr>
          <w:p w14:paraId="276CA925"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0.0953</w:t>
            </w:r>
          </w:p>
        </w:tc>
        <w:tc>
          <w:tcPr>
            <w:tcW w:w="1069" w:type="dxa"/>
            <w:vAlign w:val="center"/>
          </w:tcPr>
          <w:p w14:paraId="0EA1BEBF"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0.1291</w:t>
            </w:r>
          </w:p>
        </w:tc>
        <w:tc>
          <w:tcPr>
            <w:tcW w:w="1069" w:type="dxa"/>
            <w:vAlign w:val="center"/>
          </w:tcPr>
          <w:p w14:paraId="6E1F51BE"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0.1602</w:t>
            </w:r>
          </w:p>
        </w:tc>
        <w:tc>
          <w:tcPr>
            <w:tcW w:w="1069" w:type="dxa"/>
            <w:vAlign w:val="center"/>
          </w:tcPr>
          <w:p w14:paraId="428FD43E"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0.1894</w:t>
            </w:r>
          </w:p>
        </w:tc>
        <w:tc>
          <w:tcPr>
            <w:tcW w:w="1070" w:type="dxa"/>
            <w:vAlign w:val="center"/>
          </w:tcPr>
          <w:p w14:paraId="22CE2FDB"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0.3186</w:t>
            </w:r>
          </w:p>
        </w:tc>
      </w:tr>
      <w:tr w:rsidR="005A1A44" w14:paraId="5E2F2780" w14:textId="77777777">
        <w:trPr>
          <w:trHeight w:val="397"/>
          <w:jc w:val="center"/>
        </w:trPr>
        <w:tc>
          <w:tcPr>
            <w:tcW w:w="1062" w:type="dxa"/>
            <w:vMerge/>
            <w:vAlign w:val="center"/>
          </w:tcPr>
          <w:p w14:paraId="5F6343F5" w14:textId="77777777" w:rsidR="005A1A44" w:rsidRDefault="005A1A44">
            <w:pPr>
              <w:widowControl/>
              <w:snapToGrid w:val="0"/>
              <w:spacing w:line="240" w:lineRule="auto"/>
              <w:ind w:firstLineChars="0" w:firstLine="0"/>
              <w:jc w:val="center"/>
              <w:rPr>
                <w:rFonts w:ascii="宋体" w:eastAsia="宋体" w:hAnsi="宋体" w:cs="宋体" w:hint="eastAsia"/>
                <w:kern w:val="0"/>
                <w:sz w:val="21"/>
                <w:szCs w:val="21"/>
              </w:rPr>
            </w:pPr>
          </w:p>
        </w:tc>
        <w:tc>
          <w:tcPr>
            <w:tcW w:w="1372" w:type="dxa"/>
            <w:vAlign w:val="center"/>
          </w:tcPr>
          <w:p w14:paraId="7E3301B1"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15</w:t>
            </w:r>
          </w:p>
        </w:tc>
        <w:tc>
          <w:tcPr>
            <w:tcW w:w="1069" w:type="dxa"/>
            <w:vAlign w:val="center"/>
          </w:tcPr>
          <w:p w14:paraId="05D4CE87"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0.0850</w:t>
            </w:r>
          </w:p>
        </w:tc>
        <w:tc>
          <w:tcPr>
            <w:tcW w:w="1070" w:type="dxa"/>
            <w:vAlign w:val="center"/>
          </w:tcPr>
          <w:p w14:paraId="5003C1D2"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0.1429</w:t>
            </w:r>
          </w:p>
        </w:tc>
        <w:tc>
          <w:tcPr>
            <w:tcW w:w="1069" w:type="dxa"/>
            <w:vAlign w:val="center"/>
          </w:tcPr>
          <w:p w14:paraId="3B2F78A5"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0.1937</w:t>
            </w:r>
          </w:p>
        </w:tc>
        <w:tc>
          <w:tcPr>
            <w:tcW w:w="1069" w:type="dxa"/>
            <w:vAlign w:val="center"/>
          </w:tcPr>
          <w:p w14:paraId="2734263D"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0.2403</w:t>
            </w:r>
          </w:p>
        </w:tc>
        <w:tc>
          <w:tcPr>
            <w:tcW w:w="1069" w:type="dxa"/>
            <w:vAlign w:val="center"/>
          </w:tcPr>
          <w:p w14:paraId="16ABB2E7"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0.2841</w:t>
            </w:r>
          </w:p>
        </w:tc>
        <w:tc>
          <w:tcPr>
            <w:tcW w:w="1070" w:type="dxa"/>
            <w:vAlign w:val="center"/>
          </w:tcPr>
          <w:p w14:paraId="53FAF8FF"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0.4778</w:t>
            </w:r>
          </w:p>
        </w:tc>
      </w:tr>
      <w:tr w:rsidR="005A1A44" w14:paraId="2ABD10FE" w14:textId="77777777">
        <w:trPr>
          <w:trHeight w:val="397"/>
          <w:jc w:val="center"/>
        </w:trPr>
        <w:tc>
          <w:tcPr>
            <w:tcW w:w="1062" w:type="dxa"/>
            <w:vMerge/>
            <w:vAlign w:val="center"/>
          </w:tcPr>
          <w:p w14:paraId="520B43AC" w14:textId="77777777" w:rsidR="005A1A44" w:rsidRDefault="005A1A44">
            <w:pPr>
              <w:widowControl/>
              <w:snapToGrid w:val="0"/>
              <w:spacing w:line="240" w:lineRule="auto"/>
              <w:ind w:firstLineChars="0" w:firstLine="0"/>
              <w:jc w:val="center"/>
              <w:rPr>
                <w:rFonts w:ascii="宋体" w:eastAsia="宋体" w:hAnsi="宋体" w:cs="宋体" w:hint="eastAsia"/>
                <w:kern w:val="0"/>
                <w:sz w:val="21"/>
                <w:szCs w:val="21"/>
              </w:rPr>
            </w:pPr>
          </w:p>
        </w:tc>
        <w:tc>
          <w:tcPr>
            <w:tcW w:w="1372" w:type="dxa"/>
            <w:vAlign w:val="center"/>
          </w:tcPr>
          <w:p w14:paraId="15300616"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20</w:t>
            </w:r>
          </w:p>
        </w:tc>
        <w:tc>
          <w:tcPr>
            <w:tcW w:w="1069" w:type="dxa"/>
            <w:vAlign w:val="center"/>
          </w:tcPr>
          <w:p w14:paraId="6E664358"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0.1133</w:t>
            </w:r>
          </w:p>
        </w:tc>
        <w:tc>
          <w:tcPr>
            <w:tcW w:w="1070" w:type="dxa"/>
            <w:vAlign w:val="center"/>
          </w:tcPr>
          <w:p w14:paraId="64328080"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0.1905</w:t>
            </w:r>
          </w:p>
        </w:tc>
        <w:tc>
          <w:tcPr>
            <w:tcW w:w="1069" w:type="dxa"/>
            <w:vAlign w:val="center"/>
          </w:tcPr>
          <w:p w14:paraId="0078A052"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0.2583</w:t>
            </w:r>
          </w:p>
        </w:tc>
        <w:tc>
          <w:tcPr>
            <w:tcW w:w="1069" w:type="dxa"/>
            <w:vAlign w:val="center"/>
          </w:tcPr>
          <w:p w14:paraId="2EAB19E5"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0.3204</w:t>
            </w:r>
          </w:p>
        </w:tc>
        <w:tc>
          <w:tcPr>
            <w:tcW w:w="1069" w:type="dxa"/>
            <w:vAlign w:val="center"/>
          </w:tcPr>
          <w:p w14:paraId="750D3131"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0.3788</w:t>
            </w:r>
          </w:p>
        </w:tc>
        <w:tc>
          <w:tcPr>
            <w:tcW w:w="1070" w:type="dxa"/>
            <w:vAlign w:val="center"/>
          </w:tcPr>
          <w:p w14:paraId="162529B0"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0.6371</w:t>
            </w:r>
          </w:p>
        </w:tc>
      </w:tr>
    </w:tbl>
    <w:p w14:paraId="3241A1C3" w14:textId="77777777" w:rsidR="005A1A44" w:rsidRDefault="0008059E">
      <w:pPr>
        <w:ind w:firstLine="480"/>
      </w:pPr>
      <w:r>
        <w:rPr>
          <w:rFonts w:ascii="宋体" w:eastAsia="宋体" w:hAnsi="宋体" w:cs="宋体" w:hint="eastAsia"/>
          <w:kern w:val="0"/>
        </w:rPr>
        <w:t>可以看出，</w:t>
      </w:r>
      <w:r>
        <w:rPr>
          <w:rFonts w:ascii="宋体" w:eastAsia="宋体" w:hAnsi="宋体" w:cs="宋体"/>
          <w:kern w:val="0"/>
        </w:rPr>
        <w:t>在同样路面清洁情况下</w:t>
      </w:r>
      <w:r>
        <w:rPr>
          <w:rFonts w:ascii="宋体" w:eastAsia="宋体" w:hAnsi="宋体" w:cs="宋体" w:hint="eastAsia"/>
          <w:kern w:val="0"/>
        </w:rPr>
        <w:t>，</w:t>
      </w:r>
      <w:r>
        <w:rPr>
          <w:rFonts w:ascii="宋体" w:eastAsia="宋体" w:hAnsi="宋体" w:cs="宋体"/>
          <w:kern w:val="0"/>
        </w:rPr>
        <w:t>车速越快</w:t>
      </w:r>
      <w:r>
        <w:rPr>
          <w:rFonts w:ascii="宋体" w:eastAsia="宋体" w:hAnsi="宋体" w:cs="宋体" w:hint="eastAsia"/>
          <w:kern w:val="0"/>
        </w:rPr>
        <w:t>，</w:t>
      </w:r>
      <w:r>
        <w:rPr>
          <w:rFonts w:ascii="宋体" w:eastAsia="宋体" w:hAnsi="宋体" w:cs="宋体"/>
          <w:kern w:val="0"/>
        </w:rPr>
        <w:t>扬尘量越大</w:t>
      </w:r>
      <w:r>
        <w:rPr>
          <w:rFonts w:ascii="宋体" w:eastAsia="宋体" w:hAnsi="宋体" w:cs="宋体" w:hint="eastAsia"/>
          <w:kern w:val="0"/>
        </w:rPr>
        <w:t>；</w:t>
      </w:r>
      <w:r>
        <w:rPr>
          <w:rFonts w:ascii="宋体" w:eastAsia="宋体" w:hAnsi="宋体" w:cs="宋体"/>
          <w:kern w:val="0"/>
        </w:rPr>
        <w:t>而在</w:t>
      </w:r>
      <w:r>
        <w:rPr>
          <w:rFonts w:ascii="宋体" w:eastAsia="宋体" w:hAnsi="宋体" w:cs="宋体" w:hint="eastAsia"/>
          <w:kern w:val="0"/>
        </w:rPr>
        <w:t>同</w:t>
      </w:r>
      <w:r>
        <w:rPr>
          <w:rFonts w:ascii="宋体" w:eastAsia="宋体" w:hAnsi="宋体" w:cs="宋体"/>
          <w:kern w:val="0"/>
        </w:rPr>
        <w:t>样车速情况</w:t>
      </w:r>
      <w:r>
        <w:t>下</w:t>
      </w:r>
      <w:r>
        <w:rPr>
          <w:rFonts w:hint="eastAsia"/>
        </w:rPr>
        <w:t>，</w:t>
      </w:r>
      <w:r>
        <w:t>路面清洁度越差</w:t>
      </w:r>
      <w:r>
        <w:rPr>
          <w:rFonts w:hint="eastAsia"/>
        </w:rPr>
        <w:t>，</w:t>
      </w:r>
      <w:r>
        <w:t>则扬尘量越大</w:t>
      </w:r>
      <w:r>
        <w:rPr>
          <w:rFonts w:hint="eastAsia"/>
        </w:rPr>
        <w:t>。</w:t>
      </w:r>
    </w:p>
    <w:p w14:paraId="1AE7863E" w14:textId="77777777" w:rsidR="005A1A44" w:rsidRDefault="0008059E">
      <w:pPr>
        <w:ind w:firstLine="480"/>
        <w:rPr>
          <w:rFonts w:ascii="宋体" w:eastAsia="宋体" w:hAnsi="宋体" w:cs="宋体" w:hint="eastAsia"/>
          <w:kern w:val="0"/>
        </w:rPr>
      </w:pPr>
      <w:r>
        <w:t>根据类比调查</w:t>
      </w:r>
      <w:r>
        <w:rPr>
          <w:rFonts w:hint="eastAsia"/>
        </w:rPr>
        <w:t>，</w:t>
      </w:r>
      <w:r>
        <w:t>一般情况下</w:t>
      </w:r>
      <w:r>
        <w:rPr>
          <w:rFonts w:hint="eastAsia"/>
        </w:rPr>
        <w:t>，</w:t>
      </w:r>
      <w:r>
        <w:t>施工场地</w:t>
      </w:r>
      <w:r>
        <w:rPr>
          <w:rFonts w:hint="eastAsia"/>
        </w:rPr>
        <w:t>、</w:t>
      </w:r>
      <w:r>
        <w:t>施工道路在自然风作用下产生的扬尘所影响的范</w:t>
      </w:r>
      <w:r>
        <w:rPr>
          <w:rFonts w:ascii="宋体" w:eastAsia="宋体" w:hAnsi="宋体" w:cs="宋体"/>
          <w:kern w:val="0"/>
        </w:rPr>
        <w:t>围在100m以内。项目工程车辆所经外运道路为已建成的柏油路</w:t>
      </w:r>
      <w:r>
        <w:rPr>
          <w:rFonts w:ascii="宋体" w:eastAsia="宋体" w:hAnsi="宋体" w:cs="宋体" w:hint="eastAsia"/>
          <w:kern w:val="0"/>
        </w:rPr>
        <w:t>，</w:t>
      </w:r>
      <w:r>
        <w:rPr>
          <w:rFonts w:ascii="宋体" w:eastAsia="宋体" w:hAnsi="宋体" w:cs="宋体"/>
          <w:kern w:val="0"/>
        </w:rPr>
        <w:t>扬尘产生量较少</w:t>
      </w:r>
      <w:r>
        <w:rPr>
          <w:rFonts w:ascii="宋体" w:eastAsia="宋体" w:hAnsi="宋体" w:cs="宋体" w:hint="eastAsia"/>
          <w:kern w:val="0"/>
        </w:rPr>
        <w:t>，</w:t>
      </w:r>
      <w:r>
        <w:rPr>
          <w:rFonts w:ascii="宋体" w:eastAsia="宋体" w:hAnsi="宋体" w:cs="宋体"/>
          <w:kern w:val="0"/>
        </w:rPr>
        <w:t>运输车辆加盖苫布</w:t>
      </w:r>
      <w:r>
        <w:rPr>
          <w:rFonts w:ascii="宋体" w:eastAsia="宋体" w:hAnsi="宋体" w:cs="宋体" w:hint="eastAsia"/>
          <w:kern w:val="0"/>
        </w:rPr>
        <w:t>，</w:t>
      </w:r>
      <w:r>
        <w:rPr>
          <w:rFonts w:ascii="宋体" w:eastAsia="宋体" w:hAnsi="宋体" w:cs="宋体"/>
          <w:kern w:val="0"/>
        </w:rPr>
        <w:t>防</w:t>
      </w:r>
      <w:r>
        <w:rPr>
          <w:rFonts w:ascii="宋体" w:eastAsia="宋体" w:hAnsi="宋体" w:cs="宋体" w:hint="eastAsia"/>
          <w:kern w:val="0"/>
        </w:rPr>
        <w:t>止</w:t>
      </w:r>
      <w:r>
        <w:rPr>
          <w:rFonts w:ascii="宋体" w:eastAsia="宋体" w:hAnsi="宋体" w:cs="宋体"/>
          <w:kern w:val="0"/>
        </w:rPr>
        <w:t>物料的散落引起二次扬尘。施工场地工程车辆所经路面为砂石路或土路</w:t>
      </w:r>
      <w:r>
        <w:rPr>
          <w:rFonts w:ascii="宋体" w:eastAsia="宋体" w:hAnsi="宋体" w:cs="宋体" w:hint="eastAsia"/>
          <w:kern w:val="0"/>
        </w:rPr>
        <w:t>，</w:t>
      </w:r>
      <w:r>
        <w:rPr>
          <w:rFonts w:ascii="宋体" w:eastAsia="宋体" w:hAnsi="宋体" w:cs="宋体"/>
          <w:kern w:val="0"/>
        </w:rPr>
        <w:t>产生大量的扬尘</w:t>
      </w:r>
      <w:r>
        <w:rPr>
          <w:rFonts w:ascii="宋体" w:eastAsia="宋体" w:hAnsi="宋体" w:cs="宋体" w:hint="eastAsia"/>
          <w:kern w:val="0"/>
        </w:rPr>
        <w:t>，应</w:t>
      </w:r>
      <w:r>
        <w:rPr>
          <w:rFonts w:ascii="宋体" w:eastAsia="宋体" w:hAnsi="宋体" w:cs="宋体"/>
          <w:kern w:val="0"/>
        </w:rPr>
        <w:t>采用洒水抑尘措施。</w:t>
      </w:r>
    </w:p>
    <w:p w14:paraId="3F15A82E" w14:textId="77777777" w:rsidR="005A1A44" w:rsidRDefault="0008059E">
      <w:pPr>
        <w:ind w:firstLine="480"/>
        <w:rPr>
          <w:rFonts w:ascii="宋体" w:eastAsia="宋体" w:hAnsi="宋体" w:cs="宋体" w:hint="eastAsia"/>
          <w:kern w:val="0"/>
        </w:rPr>
      </w:pPr>
      <w:r>
        <w:rPr>
          <w:rFonts w:ascii="宋体" w:eastAsia="宋体" w:hAnsi="宋体" w:cs="宋体"/>
          <w:kern w:val="0"/>
        </w:rPr>
        <w:t>在施工期内对车辆行驶的土路面实施洒水抑尘</w:t>
      </w:r>
      <w:r>
        <w:rPr>
          <w:rFonts w:ascii="宋体" w:eastAsia="宋体" w:hAnsi="宋体" w:cs="宋体" w:hint="eastAsia"/>
          <w:kern w:val="0"/>
        </w:rPr>
        <w:t>，</w:t>
      </w:r>
      <w:r>
        <w:rPr>
          <w:rFonts w:ascii="宋体" w:eastAsia="宋体" w:hAnsi="宋体" w:cs="宋体"/>
          <w:kern w:val="0"/>
        </w:rPr>
        <w:t>每天酒水4</w:t>
      </w:r>
      <w:r>
        <w:rPr>
          <w:rFonts w:asciiTheme="majorHAnsi" w:eastAsia="宋体" w:hAnsi="宋体" w:cs="宋体"/>
          <w:kern w:val="0"/>
        </w:rPr>
        <w:t>~</w:t>
      </w:r>
      <w:r>
        <w:rPr>
          <w:rFonts w:ascii="宋体" w:eastAsia="宋体" w:hAnsi="宋体" w:cs="宋体"/>
          <w:kern w:val="0"/>
        </w:rPr>
        <w:t>5次</w:t>
      </w:r>
      <w:r>
        <w:rPr>
          <w:rFonts w:ascii="宋体" w:eastAsia="宋体" w:hAnsi="宋体" w:cs="宋体" w:hint="eastAsia"/>
          <w:kern w:val="0"/>
        </w:rPr>
        <w:t>，</w:t>
      </w:r>
      <w:r>
        <w:rPr>
          <w:rFonts w:ascii="宋体" w:eastAsia="宋体" w:hAnsi="宋体" w:cs="宋体"/>
          <w:kern w:val="0"/>
        </w:rPr>
        <w:t>可使扬尘减少70%左右。表5</w:t>
      </w:r>
      <w:r>
        <w:rPr>
          <w:rFonts w:ascii="宋体" w:eastAsia="宋体" w:hAnsi="宋体" w:cs="宋体" w:hint="eastAsia"/>
          <w:kern w:val="0"/>
        </w:rPr>
        <w:t>.1</w:t>
      </w:r>
      <w:r>
        <w:rPr>
          <w:rFonts w:ascii="宋体" w:eastAsia="宋体" w:hAnsi="宋体" w:cs="宋体"/>
          <w:kern w:val="0"/>
        </w:rPr>
        <w:t>-2为施工场地洒水抑尘的试验结果</w:t>
      </w:r>
      <w:r>
        <w:rPr>
          <w:rFonts w:ascii="宋体" w:eastAsia="宋体" w:hAnsi="宋体" w:cs="宋体" w:hint="eastAsia"/>
          <w:kern w:val="0"/>
        </w:rPr>
        <w:t>，</w:t>
      </w:r>
      <w:r>
        <w:rPr>
          <w:rFonts w:ascii="宋体" w:eastAsia="宋体" w:hAnsi="宋体" w:cs="宋体"/>
          <w:kern w:val="0"/>
        </w:rPr>
        <w:t>可看出对施工场地实施每天洒水4</w:t>
      </w:r>
      <w:r>
        <w:rPr>
          <w:rFonts w:asciiTheme="majorHAnsi" w:eastAsia="宋体" w:hAnsi="宋体" w:cs="宋体"/>
          <w:kern w:val="0"/>
        </w:rPr>
        <w:t>~</w:t>
      </w:r>
      <w:r>
        <w:rPr>
          <w:rFonts w:ascii="宋体" w:eastAsia="宋体" w:hAnsi="宋体" w:cs="宋体"/>
          <w:kern w:val="0"/>
        </w:rPr>
        <w:t>5次进行抑尘</w:t>
      </w:r>
      <w:r>
        <w:rPr>
          <w:rFonts w:ascii="宋体" w:eastAsia="宋体" w:hAnsi="宋体" w:cs="宋体" w:hint="eastAsia"/>
          <w:kern w:val="0"/>
        </w:rPr>
        <w:t>，</w:t>
      </w:r>
      <w:r>
        <w:rPr>
          <w:rFonts w:ascii="宋体" w:eastAsia="宋体" w:hAnsi="宋体" w:cs="宋体"/>
          <w:kern w:val="0"/>
        </w:rPr>
        <w:t>可有效地控制施工扬尘</w:t>
      </w:r>
      <w:r>
        <w:rPr>
          <w:rFonts w:ascii="宋体" w:eastAsia="宋体" w:hAnsi="宋体" w:cs="宋体" w:hint="eastAsia"/>
          <w:kern w:val="0"/>
        </w:rPr>
        <w:t>，</w:t>
      </w:r>
      <w:r>
        <w:rPr>
          <w:rFonts w:ascii="宋体" w:eastAsia="宋体" w:hAnsi="宋体" w:cs="宋体"/>
          <w:kern w:val="0"/>
        </w:rPr>
        <w:t>并可将TSP污染距离缩小到20</w:t>
      </w:r>
      <w:r>
        <w:rPr>
          <w:rFonts w:asciiTheme="majorHAnsi" w:eastAsia="宋体" w:hAnsi="宋体" w:cs="宋体"/>
          <w:kern w:val="0"/>
        </w:rPr>
        <w:t>~</w:t>
      </w:r>
      <w:r>
        <w:rPr>
          <w:rFonts w:ascii="宋体" w:eastAsia="宋体" w:hAnsi="宋体" w:cs="宋体"/>
          <w:kern w:val="0"/>
        </w:rPr>
        <w:t>50m范围</w:t>
      </w:r>
      <w:r>
        <w:rPr>
          <w:rFonts w:ascii="宋体" w:eastAsia="宋体" w:hAnsi="宋体" w:cs="宋体" w:hint="eastAsia"/>
          <w:kern w:val="0"/>
        </w:rPr>
        <w:t>，所有的敏感目标受到影响均不大。</w:t>
      </w:r>
    </w:p>
    <w:p w14:paraId="3CE1B445" w14:textId="77777777" w:rsidR="005A1A44" w:rsidRDefault="0008059E">
      <w:pPr>
        <w:ind w:firstLine="480"/>
        <w:jc w:val="center"/>
        <w:rPr>
          <w:rFonts w:ascii="黑体" w:eastAsia="黑体" w:hAnsi="黑体" w:cs="黑体" w:hint="eastAsia"/>
          <w:kern w:val="0"/>
        </w:rPr>
      </w:pPr>
      <w:r>
        <w:rPr>
          <w:rFonts w:ascii="黑体" w:eastAsia="黑体" w:hAnsi="黑体" w:cs="黑体" w:hint="eastAsia"/>
          <w:kern w:val="0"/>
        </w:rPr>
        <w:t>表5.1-2 施工场地洒水抑尘试验结果</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1475"/>
        <w:gridCol w:w="1475"/>
        <w:gridCol w:w="1475"/>
        <w:gridCol w:w="1474"/>
        <w:gridCol w:w="1476"/>
      </w:tblGrid>
      <w:tr w:rsidR="005A1A44" w14:paraId="42ABD654" w14:textId="77777777">
        <w:trPr>
          <w:trHeight w:val="456"/>
          <w:jc w:val="center"/>
        </w:trPr>
        <w:tc>
          <w:tcPr>
            <w:tcW w:w="2950" w:type="dxa"/>
            <w:gridSpan w:val="2"/>
            <w:vAlign w:val="center"/>
          </w:tcPr>
          <w:p w14:paraId="39CD8073"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距离</w:t>
            </w:r>
          </w:p>
        </w:tc>
        <w:tc>
          <w:tcPr>
            <w:tcW w:w="1475" w:type="dxa"/>
            <w:vAlign w:val="center"/>
          </w:tcPr>
          <w:p w14:paraId="1BC59D43"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5m</w:t>
            </w:r>
          </w:p>
        </w:tc>
        <w:tc>
          <w:tcPr>
            <w:tcW w:w="1475" w:type="dxa"/>
            <w:vAlign w:val="center"/>
          </w:tcPr>
          <w:p w14:paraId="072ED2E2"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20m</w:t>
            </w:r>
          </w:p>
        </w:tc>
        <w:tc>
          <w:tcPr>
            <w:tcW w:w="1474" w:type="dxa"/>
            <w:vAlign w:val="center"/>
          </w:tcPr>
          <w:p w14:paraId="2A5CDCC7"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50m</w:t>
            </w:r>
          </w:p>
        </w:tc>
        <w:tc>
          <w:tcPr>
            <w:tcW w:w="1476" w:type="dxa"/>
            <w:vAlign w:val="center"/>
          </w:tcPr>
          <w:p w14:paraId="478E8C5E"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100m</w:t>
            </w:r>
          </w:p>
        </w:tc>
      </w:tr>
      <w:tr w:rsidR="005A1A44" w14:paraId="4FEE338C" w14:textId="77777777">
        <w:trPr>
          <w:trHeight w:val="397"/>
          <w:jc w:val="center"/>
        </w:trPr>
        <w:tc>
          <w:tcPr>
            <w:tcW w:w="1475" w:type="dxa"/>
            <w:vMerge w:val="restart"/>
            <w:vAlign w:val="center"/>
          </w:tcPr>
          <w:p w14:paraId="554A28BC"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TSP小时平均浓度</w:t>
            </w:r>
          </w:p>
        </w:tc>
        <w:tc>
          <w:tcPr>
            <w:tcW w:w="1475" w:type="dxa"/>
            <w:vAlign w:val="center"/>
          </w:tcPr>
          <w:p w14:paraId="1909946F"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不洒水</w:t>
            </w:r>
          </w:p>
        </w:tc>
        <w:tc>
          <w:tcPr>
            <w:tcW w:w="1475" w:type="dxa"/>
            <w:vAlign w:val="center"/>
          </w:tcPr>
          <w:p w14:paraId="1F901B87"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10.14</w:t>
            </w:r>
          </w:p>
        </w:tc>
        <w:tc>
          <w:tcPr>
            <w:tcW w:w="1475" w:type="dxa"/>
            <w:vAlign w:val="center"/>
          </w:tcPr>
          <w:p w14:paraId="767CBC2B"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2.89</w:t>
            </w:r>
          </w:p>
        </w:tc>
        <w:tc>
          <w:tcPr>
            <w:tcW w:w="1474" w:type="dxa"/>
            <w:vAlign w:val="center"/>
          </w:tcPr>
          <w:p w14:paraId="2A4BAB51"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1.15</w:t>
            </w:r>
          </w:p>
        </w:tc>
        <w:tc>
          <w:tcPr>
            <w:tcW w:w="1476" w:type="dxa"/>
            <w:vAlign w:val="center"/>
          </w:tcPr>
          <w:p w14:paraId="33F81945"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0.86</w:t>
            </w:r>
          </w:p>
        </w:tc>
      </w:tr>
      <w:tr w:rsidR="005A1A44" w14:paraId="2F4A2A36" w14:textId="77777777">
        <w:trPr>
          <w:trHeight w:val="397"/>
          <w:jc w:val="center"/>
        </w:trPr>
        <w:tc>
          <w:tcPr>
            <w:tcW w:w="1475" w:type="dxa"/>
            <w:vMerge/>
            <w:vAlign w:val="center"/>
          </w:tcPr>
          <w:p w14:paraId="003C66A4" w14:textId="77777777" w:rsidR="005A1A44" w:rsidRDefault="005A1A44">
            <w:pPr>
              <w:widowControl/>
              <w:snapToGrid w:val="0"/>
              <w:spacing w:line="240" w:lineRule="auto"/>
              <w:ind w:firstLineChars="0" w:firstLine="0"/>
              <w:jc w:val="center"/>
              <w:rPr>
                <w:rFonts w:ascii="宋体" w:eastAsia="宋体" w:hAnsi="宋体" w:cs="宋体" w:hint="eastAsia"/>
                <w:kern w:val="0"/>
                <w:sz w:val="21"/>
                <w:szCs w:val="21"/>
              </w:rPr>
            </w:pPr>
          </w:p>
        </w:tc>
        <w:tc>
          <w:tcPr>
            <w:tcW w:w="1475" w:type="dxa"/>
            <w:vAlign w:val="center"/>
          </w:tcPr>
          <w:p w14:paraId="283A60D2"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洒水</w:t>
            </w:r>
          </w:p>
        </w:tc>
        <w:tc>
          <w:tcPr>
            <w:tcW w:w="1475" w:type="dxa"/>
            <w:vAlign w:val="center"/>
          </w:tcPr>
          <w:p w14:paraId="62A11774"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2.01</w:t>
            </w:r>
          </w:p>
        </w:tc>
        <w:tc>
          <w:tcPr>
            <w:tcW w:w="1475" w:type="dxa"/>
            <w:vAlign w:val="center"/>
          </w:tcPr>
          <w:p w14:paraId="590DAA16"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1.40</w:t>
            </w:r>
          </w:p>
        </w:tc>
        <w:tc>
          <w:tcPr>
            <w:tcW w:w="1474" w:type="dxa"/>
            <w:vAlign w:val="center"/>
          </w:tcPr>
          <w:p w14:paraId="7C42EBE0"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0.67</w:t>
            </w:r>
          </w:p>
        </w:tc>
        <w:tc>
          <w:tcPr>
            <w:tcW w:w="1476" w:type="dxa"/>
            <w:vAlign w:val="center"/>
          </w:tcPr>
          <w:p w14:paraId="2E5FE112" w14:textId="77777777" w:rsidR="005A1A44" w:rsidRDefault="0008059E">
            <w:pPr>
              <w:widowControl/>
              <w:snapToGrid w:val="0"/>
              <w:spacing w:line="240" w:lineRule="auto"/>
              <w:ind w:firstLineChars="0" w:firstLine="0"/>
              <w:jc w:val="center"/>
              <w:rPr>
                <w:rFonts w:ascii="宋体" w:eastAsia="宋体" w:hAnsi="宋体" w:cs="宋体" w:hint="eastAsia"/>
                <w:kern w:val="0"/>
                <w:sz w:val="21"/>
                <w:szCs w:val="21"/>
              </w:rPr>
            </w:pPr>
            <w:r>
              <w:rPr>
                <w:rFonts w:ascii="宋体" w:eastAsia="宋体" w:hAnsi="宋体" w:cs="宋体" w:hint="eastAsia"/>
                <w:kern w:val="0"/>
                <w:sz w:val="21"/>
                <w:szCs w:val="21"/>
              </w:rPr>
              <w:t>0.60</w:t>
            </w:r>
          </w:p>
        </w:tc>
      </w:tr>
    </w:tbl>
    <w:p w14:paraId="4B4215B6" w14:textId="77777777" w:rsidR="005A1A44" w:rsidRDefault="005A1A44">
      <w:pPr>
        <w:ind w:firstLine="480"/>
        <w:rPr>
          <w:rFonts w:ascii="宋体" w:eastAsia="宋体" w:hAnsi="宋体" w:cs="宋体" w:hint="eastAsia"/>
          <w:kern w:val="0"/>
        </w:rPr>
      </w:pPr>
    </w:p>
    <w:p w14:paraId="4147B485"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为此，</w:t>
      </w:r>
      <w:r>
        <w:rPr>
          <w:rFonts w:ascii="宋体" w:eastAsia="宋体" w:hAnsi="宋体" w:cs="宋体"/>
          <w:kern w:val="0"/>
        </w:rPr>
        <w:t>在建设期应对沙石</w:t>
      </w:r>
      <w:r>
        <w:rPr>
          <w:rFonts w:ascii="宋体" w:eastAsia="宋体" w:hAnsi="宋体" w:cs="宋体" w:hint="eastAsia"/>
          <w:kern w:val="0"/>
        </w:rPr>
        <w:t>、土</w:t>
      </w:r>
      <w:r>
        <w:rPr>
          <w:rFonts w:ascii="宋体" w:eastAsia="宋体" w:hAnsi="宋体" w:cs="宋体"/>
          <w:kern w:val="0"/>
        </w:rPr>
        <w:t>路面的运输道路及时清扫和浇水</w:t>
      </w:r>
      <w:r>
        <w:rPr>
          <w:rFonts w:ascii="宋体" w:eastAsia="宋体" w:hAnsi="宋体" w:cs="宋体" w:hint="eastAsia"/>
          <w:kern w:val="0"/>
        </w:rPr>
        <w:t>，</w:t>
      </w:r>
      <w:r>
        <w:rPr>
          <w:rFonts w:ascii="宋体" w:eastAsia="宋体" w:hAnsi="宋体" w:cs="宋体"/>
          <w:kern w:val="0"/>
        </w:rPr>
        <w:t>对于施工中产生的扬尘较大的施工工点、物料堆积场</w:t>
      </w:r>
      <w:r>
        <w:rPr>
          <w:rFonts w:ascii="宋体" w:eastAsia="宋体" w:hAnsi="宋体" w:cs="宋体" w:hint="eastAsia"/>
          <w:kern w:val="0"/>
        </w:rPr>
        <w:t>，</w:t>
      </w:r>
      <w:r>
        <w:rPr>
          <w:rFonts w:ascii="宋体" w:eastAsia="宋体" w:hAnsi="宋体" w:cs="宋体"/>
          <w:kern w:val="0"/>
        </w:rPr>
        <w:t>采取定点、定时喷水作业</w:t>
      </w:r>
      <w:r>
        <w:rPr>
          <w:rFonts w:ascii="宋体" w:eastAsia="宋体" w:hAnsi="宋体" w:cs="宋体" w:hint="eastAsia"/>
          <w:kern w:val="0"/>
        </w:rPr>
        <w:t>；</w:t>
      </w:r>
      <w:r>
        <w:rPr>
          <w:rFonts w:ascii="宋体" w:eastAsia="宋体" w:hAnsi="宋体" w:cs="宋体"/>
          <w:kern w:val="0"/>
        </w:rPr>
        <w:t>为控制车辆运输过程中的扬尘污染</w:t>
      </w:r>
      <w:r>
        <w:rPr>
          <w:rFonts w:ascii="宋体" w:eastAsia="宋体" w:hAnsi="宋体" w:cs="宋体" w:hint="eastAsia"/>
          <w:kern w:val="0"/>
        </w:rPr>
        <w:t>，可</w:t>
      </w:r>
      <w:r>
        <w:rPr>
          <w:rFonts w:ascii="宋体" w:eastAsia="宋体" w:hAnsi="宋体" w:cs="宋体"/>
          <w:kern w:val="0"/>
        </w:rPr>
        <w:t>采用加盖篷布或使用封闭车辆的办法进行控制。</w:t>
      </w:r>
    </w:p>
    <w:p w14:paraId="76E51E24" w14:textId="77777777" w:rsidR="005A1A44" w:rsidRDefault="0008059E">
      <w:pPr>
        <w:numPr>
          <w:ilvl w:val="0"/>
          <w:numId w:val="11"/>
        </w:numPr>
        <w:ind w:firstLine="480"/>
        <w:rPr>
          <w:rFonts w:ascii="宋体" w:eastAsia="宋体" w:hAnsi="宋体" w:cs="宋体" w:hint="eastAsia"/>
          <w:kern w:val="0"/>
        </w:rPr>
      </w:pPr>
      <w:r>
        <w:rPr>
          <w:rFonts w:ascii="宋体" w:eastAsia="宋体" w:hAnsi="宋体" w:cs="宋体"/>
          <w:kern w:val="0"/>
        </w:rPr>
        <w:t>混凝土拌合系统产生的粉尘</w:t>
      </w:r>
    </w:p>
    <w:p w14:paraId="4EC24463" w14:textId="77777777" w:rsidR="005A1A44" w:rsidRDefault="0008059E">
      <w:pPr>
        <w:ind w:firstLine="480"/>
        <w:rPr>
          <w:rFonts w:ascii="宋体" w:eastAsia="宋体" w:hAnsi="宋体" w:cs="宋体" w:hint="eastAsia"/>
          <w:kern w:val="0"/>
        </w:rPr>
      </w:pPr>
      <w:r>
        <w:rPr>
          <w:rFonts w:ascii="宋体" w:eastAsia="宋体" w:hAnsi="宋体" w:cs="宋体"/>
          <w:kern w:val="0"/>
        </w:rPr>
        <w:t>混凝土拌合系统粉尘产生于水泥装卸和进料过程中</w:t>
      </w:r>
      <w:r>
        <w:rPr>
          <w:rFonts w:ascii="宋体" w:eastAsia="宋体" w:hAnsi="宋体" w:cs="宋体" w:hint="eastAsia"/>
          <w:kern w:val="0"/>
        </w:rPr>
        <w:t>，</w:t>
      </w:r>
      <w:r>
        <w:rPr>
          <w:rFonts w:ascii="宋体" w:eastAsia="宋体" w:hAnsi="宋体" w:cs="宋体"/>
          <w:kern w:val="0"/>
        </w:rPr>
        <w:t>在无防治措施情况下</w:t>
      </w:r>
      <w:r>
        <w:rPr>
          <w:rFonts w:ascii="宋体" w:eastAsia="宋体" w:hAnsi="宋体" w:cs="宋体" w:hint="eastAsia"/>
          <w:kern w:val="0"/>
        </w:rPr>
        <w:t>，</w:t>
      </w:r>
      <w:r>
        <w:rPr>
          <w:rFonts w:ascii="宋体" w:eastAsia="宋体" w:hAnsi="宋体" w:cs="宋体"/>
          <w:kern w:val="0"/>
        </w:rPr>
        <w:t>粉尘排放系数为0.91kg/t</w:t>
      </w:r>
      <w:r>
        <w:rPr>
          <w:rFonts w:ascii="宋体" w:eastAsia="宋体" w:hAnsi="宋体" w:cs="宋体" w:hint="eastAsia"/>
          <w:kern w:val="0"/>
        </w:rPr>
        <w:t>，向缪共计</w:t>
      </w:r>
      <w:r>
        <w:rPr>
          <w:rFonts w:ascii="宋体" w:eastAsia="宋体" w:hAnsi="宋体" w:cs="宋体"/>
          <w:kern w:val="0"/>
        </w:rPr>
        <w:t>混凝土拌合系统粉尘产生</w:t>
      </w:r>
      <w:r>
        <w:rPr>
          <w:rFonts w:ascii="宋体" w:eastAsia="宋体" w:hAnsi="宋体" w:cs="宋体" w:hint="eastAsia"/>
          <w:kern w:val="0"/>
        </w:rPr>
        <w:t>量为13.19t。为减少拌合系统产生的粉尘量，环评要求将拌合系统进行封闭，或直接采用商用砼，由此</w:t>
      </w:r>
      <w:r>
        <w:rPr>
          <w:rFonts w:ascii="宋体" w:eastAsia="宋体" w:hAnsi="宋体" w:cs="宋体" w:hint="eastAsia"/>
          <w:kern w:val="0"/>
        </w:rPr>
        <w:lastRenderedPageBreak/>
        <w:t>可极大减少拌合系统的扬尘。</w:t>
      </w:r>
    </w:p>
    <w:p w14:paraId="0DC666CE" w14:textId="77777777" w:rsidR="005A1A44" w:rsidRDefault="0008059E">
      <w:pPr>
        <w:numPr>
          <w:ilvl w:val="0"/>
          <w:numId w:val="11"/>
        </w:numPr>
        <w:ind w:firstLine="480"/>
        <w:rPr>
          <w:rFonts w:ascii="宋体" w:eastAsia="宋体" w:hAnsi="宋体" w:cs="宋体" w:hint="eastAsia"/>
          <w:kern w:val="0"/>
        </w:rPr>
      </w:pPr>
      <w:r>
        <w:rPr>
          <w:rFonts w:ascii="宋体" w:eastAsia="宋体" w:hAnsi="宋体" w:cs="宋体"/>
          <w:kern w:val="0"/>
        </w:rPr>
        <w:t>土石方开挖粉尘</w:t>
      </w:r>
    </w:p>
    <w:p w14:paraId="0F62A257" w14:textId="77777777" w:rsidR="005A1A44" w:rsidRDefault="0008059E">
      <w:pPr>
        <w:ind w:firstLine="480"/>
      </w:pPr>
      <w:r>
        <w:rPr>
          <w:rFonts w:ascii="宋体" w:eastAsia="宋体" w:hAnsi="宋体" w:cs="宋体"/>
          <w:kern w:val="0"/>
        </w:rPr>
        <w:t>工程施工过程中土石方开挖会产生</w:t>
      </w:r>
      <w:r>
        <w:rPr>
          <w:rFonts w:ascii="宋体" w:eastAsia="宋体" w:hAnsi="宋体" w:cs="宋体" w:hint="eastAsia"/>
          <w:kern w:val="0"/>
        </w:rPr>
        <w:t>较大</w:t>
      </w:r>
      <w:r>
        <w:rPr>
          <w:rFonts w:ascii="宋体" w:eastAsia="宋体" w:hAnsi="宋体" w:cs="宋体"/>
          <w:kern w:val="0"/>
        </w:rPr>
        <w:t>的扬尘</w:t>
      </w:r>
      <w:r>
        <w:rPr>
          <w:rFonts w:ascii="宋体" w:eastAsia="宋体" w:hAnsi="宋体" w:cs="宋体" w:hint="eastAsia"/>
          <w:kern w:val="0"/>
        </w:rPr>
        <w:t>，</w:t>
      </w:r>
      <w:r>
        <w:rPr>
          <w:rFonts w:ascii="宋体" w:eastAsia="宋体" w:hAnsi="宋体" w:cs="宋体"/>
          <w:kern w:val="0"/>
        </w:rPr>
        <w:t>在不采取防护措施和土壤较为干燥时</w:t>
      </w:r>
      <w:r>
        <w:rPr>
          <w:rFonts w:ascii="宋体" w:eastAsia="宋体" w:hAnsi="宋体" w:cs="宋体" w:hint="eastAsia"/>
          <w:kern w:val="0"/>
        </w:rPr>
        <w:t>，</w:t>
      </w:r>
      <w:r>
        <w:rPr>
          <w:rFonts w:ascii="宋体" w:eastAsia="宋体" w:hAnsi="宋体" w:cs="宋体"/>
          <w:kern w:val="0"/>
        </w:rPr>
        <w:t>开挖时广生时取大物尘最多为1%取一定防护措施和土壤较湿时</w:t>
      </w:r>
      <w:r>
        <w:rPr>
          <w:rFonts w:ascii="宋体" w:eastAsia="宋体" w:hAnsi="宋体" w:cs="宋体" w:hint="eastAsia"/>
          <w:kern w:val="0"/>
        </w:rPr>
        <w:t>，</w:t>
      </w:r>
      <w:r>
        <w:rPr>
          <w:rFonts w:ascii="宋体" w:eastAsia="宋体" w:hAnsi="宋体" w:cs="宋体"/>
          <w:kern w:val="0"/>
        </w:rPr>
        <w:t>开挖产生的物生重判万0.1%</w:t>
      </w:r>
      <w:r>
        <w:rPr>
          <w:rFonts w:ascii="宋体" w:eastAsia="宋体" w:hAnsi="宋体" w:cs="宋体" w:hint="eastAsia"/>
          <w:kern w:val="0"/>
        </w:rPr>
        <w:t>（</w:t>
      </w:r>
      <w:r>
        <w:rPr>
          <w:rFonts w:ascii="宋体" w:eastAsia="宋体" w:hAnsi="宋体" w:cs="宋体"/>
          <w:kern w:val="0"/>
        </w:rPr>
        <w:t>回填扬尘产生</w:t>
      </w:r>
      <w:r>
        <w:rPr>
          <w:rFonts w:ascii="宋体" w:eastAsia="宋体" w:hAnsi="宋体" w:cs="宋体" w:hint="eastAsia"/>
          <w:kern w:val="0"/>
        </w:rPr>
        <w:t>量也</w:t>
      </w:r>
      <w:r>
        <w:rPr>
          <w:rFonts w:ascii="宋体" w:eastAsia="宋体" w:hAnsi="宋体" w:cs="宋体"/>
          <w:kern w:val="0"/>
        </w:rPr>
        <w:t>为0.1%</w:t>
      </w:r>
      <w:r>
        <w:rPr>
          <w:rFonts w:ascii="宋体" w:eastAsia="宋体" w:hAnsi="宋体" w:cs="宋体" w:hint="eastAsia"/>
          <w:kern w:val="0"/>
        </w:rPr>
        <w:t>），</w:t>
      </w:r>
      <w:r>
        <w:rPr>
          <w:rFonts w:hint="eastAsia"/>
        </w:rPr>
        <w:t>由于本工程所在区域降雨量较少，蒸发量较大，空气干燥，且风沙很大，本工程开挖及回填过程中估算扬尘量取</w:t>
      </w:r>
      <w:r>
        <w:rPr>
          <w:rFonts w:hint="eastAsia"/>
        </w:rPr>
        <w:t>0.1%</w:t>
      </w:r>
      <w:r>
        <w:rPr>
          <w:rFonts w:hint="eastAsia"/>
        </w:rPr>
        <w:t>，施工期扬尘量约为</w:t>
      </w:r>
      <w:r>
        <w:rPr>
          <w:rFonts w:hint="eastAsia"/>
        </w:rPr>
        <w:t>1.76</w:t>
      </w:r>
      <w:r>
        <w:rPr>
          <w:rFonts w:hint="eastAsia"/>
        </w:rPr>
        <w:t>万</w:t>
      </w:r>
      <w:r>
        <w:rPr>
          <w:rFonts w:hint="eastAsia"/>
        </w:rPr>
        <w:t>t</w:t>
      </w:r>
      <w:r>
        <w:rPr>
          <w:rFonts w:hint="eastAsia"/>
        </w:rPr>
        <w:t>。</w:t>
      </w:r>
    </w:p>
    <w:p w14:paraId="55FA8B3E" w14:textId="77777777" w:rsidR="005A1A44" w:rsidRDefault="0008059E">
      <w:pPr>
        <w:ind w:firstLine="480"/>
        <w:rPr>
          <w:rFonts w:ascii="宋体" w:eastAsia="宋体" w:hAnsi="宋体" w:cs="宋体" w:hint="eastAsia"/>
          <w:kern w:val="0"/>
        </w:rPr>
      </w:pPr>
      <w:r>
        <w:rPr>
          <w:rFonts w:ascii="宋体" w:eastAsia="宋体" w:hAnsi="宋体" w:cs="宋体"/>
          <w:kern w:val="0"/>
        </w:rPr>
        <w:t>由于工程所在地</w:t>
      </w:r>
      <w:r>
        <w:rPr>
          <w:rFonts w:ascii="宋体" w:eastAsia="宋体" w:hAnsi="宋体" w:cs="宋体" w:hint="eastAsia"/>
          <w:kern w:val="0"/>
        </w:rPr>
        <w:t>两侧为居民及商业、工业区域，</w:t>
      </w:r>
      <w:r>
        <w:rPr>
          <w:rFonts w:ascii="宋体" w:eastAsia="宋体" w:hAnsi="宋体" w:cs="宋体"/>
          <w:kern w:val="0"/>
        </w:rPr>
        <w:t>且</w:t>
      </w:r>
      <w:r>
        <w:rPr>
          <w:rFonts w:ascii="宋体" w:eastAsia="宋体" w:hAnsi="宋体" w:cs="宋体" w:hint="eastAsia"/>
          <w:kern w:val="0"/>
        </w:rPr>
        <w:t>1</w:t>
      </w:r>
      <w:r>
        <w:rPr>
          <w:rFonts w:ascii="宋体" w:eastAsia="宋体" w:hAnsi="宋体" w:cs="宋体"/>
          <w:kern w:val="0"/>
        </w:rPr>
        <w:t>km</w:t>
      </w:r>
      <w:r>
        <w:rPr>
          <w:rFonts w:ascii="宋体" w:eastAsia="宋体" w:hAnsi="宋体" w:cs="宋体" w:hint="eastAsia"/>
          <w:kern w:val="0"/>
        </w:rPr>
        <w:t>范围</w:t>
      </w:r>
      <w:r>
        <w:rPr>
          <w:rFonts w:ascii="宋体" w:eastAsia="宋体" w:hAnsi="宋体" w:cs="宋体"/>
          <w:kern w:val="0"/>
        </w:rPr>
        <w:t>内</w:t>
      </w:r>
      <w:r>
        <w:rPr>
          <w:rFonts w:ascii="宋体" w:eastAsia="宋体" w:hAnsi="宋体" w:cs="宋体" w:hint="eastAsia"/>
          <w:kern w:val="0"/>
        </w:rPr>
        <w:t>有</w:t>
      </w:r>
      <w:r>
        <w:rPr>
          <w:rFonts w:ascii="宋体" w:eastAsia="宋体" w:hAnsi="宋体" w:cs="宋体"/>
          <w:kern w:val="0"/>
        </w:rPr>
        <w:t>环境敏感</w:t>
      </w:r>
      <w:r>
        <w:rPr>
          <w:rFonts w:ascii="宋体" w:eastAsia="宋体" w:hAnsi="宋体" w:cs="宋体" w:hint="eastAsia"/>
          <w:kern w:val="0"/>
        </w:rPr>
        <w:t>，</w:t>
      </w:r>
      <w:r>
        <w:rPr>
          <w:rFonts w:ascii="宋体" w:eastAsia="宋体" w:hAnsi="宋体" w:cs="宋体"/>
          <w:kern w:val="0"/>
        </w:rPr>
        <w:t>故</w:t>
      </w:r>
      <w:r>
        <w:rPr>
          <w:rFonts w:ascii="宋体" w:eastAsia="宋体" w:hAnsi="宋体" w:cs="宋体" w:hint="eastAsia"/>
          <w:kern w:val="0"/>
        </w:rPr>
        <w:t>需要</w:t>
      </w:r>
      <w:r>
        <w:rPr>
          <w:rFonts w:ascii="宋体" w:eastAsia="宋体" w:hAnsi="宋体" w:cs="宋体"/>
          <w:kern w:val="0"/>
        </w:rPr>
        <w:t>采</w:t>
      </w:r>
      <w:r>
        <w:rPr>
          <w:rFonts w:ascii="宋体" w:eastAsia="宋体" w:hAnsi="宋体" w:cs="宋体" w:hint="eastAsia"/>
          <w:kern w:val="0"/>
        </w:rPr>
        <w:t>取有效的</w:t>
      </w:r>
      <w:r>
        <w:rPr>
          <w:rFonts w:ascii="宋体" w:eastAsia="宋体" w:hAnsi="宋体" w:cs="宋体"/>
          <w:kern w:val="0"/>
        </w:rPr>
        <w:t>防护措施</w:t>
      </w:r>
      <w:r>
        <w:rPr>
          <w:rFonts w:ascii="宋体" w:eastAsia="宋体" w:hAnsi="宋体" w:cs="宋体" w:hint="eastAsia"/>
          <w:kern w:val="0"/>
        </w:rPr>
        <w:t>。</w:t>
      </w:r>
    </w:p>
    <w:p w14:paraId="07BCA6BD" w14:textId="77777777" w:rsidR="005A1A44" w:rsidRDefault="0008059E">
      <w:pPr>
        <w:numPr>
          <w:ilvl w:val="0"/>
          <w:numId w:val="11"/>
        </w:numPr>
        <w:ind w:firstLine="480"/>
        <w:rPr>
          <w:rFonts w:ascii="宋体" w:eastAsia="宋体" w:hAnsi="宋体" w:cs="宋体" w:hint="eastAsia"/>
          <w:kern w:val="0"/>
        </w:rPr>
      </w:pPr>
      <w:r>
        <w:rPr>
          <w:rFonts w:ascii="宋体" w:eastAsia="宋体" w:hAnsi="宋体" w:cs="宋体"/>
          <w:kern w:val="0"/>
        </w:rPr>
        <w:t>临时堆土场</w:t>
      </w:r>
      <w:r>
        <w:rPr>
          <w:rFonts w:ascii="宋体" w:eastAsia="宋体" w:hAnsi="宋体" w:cs="宋体" w:hint="eastAsia"/>
          <w:kern w:val="0"/>
        </w:rPr>
        <w:t>粉尘</w:t>
      </w:r>
    </w:p>
    <w:p w14:paraId="6B5552A3" w14:textId="77777777" w:rsidR="005A1A44" w:rsidRDefault="0008059E">
      <w:pPr>
        <w:ind w:firstLine="480"/>
        <w:rPr>
          <w:rFonts w:ascii="宋体" w:eastAsia="宋体" w:hAnsi="宋体" w:cs="宋体" w:hint="eastAsia"/>
          <w:kern w:val="0"/>
        </w:rPr>
      </w:pPr>
      <w:r>
        <w:rPr>
          <w:rFonts w:ascii="宋体" w:eastAsia="宋体" w:hAnsi="宋体" w:cs="宋体"/>
          <w:kern w:val="0"/>
        </w:rPr>
        <w:t>临时堆土场产生的废气主要是堆存过程中产生的扬尘。弃土粒径的分布</w:t>
      </w:r>
      <w:r>
        <w:rPr>
          <w:rFonts w:ascii="宋体" w:eastAsia="宋体" w:hAnsi="宋体" w:cs="宋体" w:hint="eastAsia"/>
          <w:kern w:val="0"/>
        </w:rPr>
        <w:t>，</w:t>
      </w:r>
      <w:r>
        <w:rPr>
          <w:rFonts w:ascii="宋体" w:eastAsia="宋体" w:hAnsi="宋体" w:cs="宋体"/>
          <w:kern w:val="0"/>
        </w:rPr>
        <w:t>含水率及外界风场等决定起尘量的大小。环评要求</w:t>
      </w:r>
      <w:r>
        <w:rPr>
          <w:rFonts w:ascii="宋体" w:eastAsia="宋体" w:hAnsi="宋体" w:cs="宋体" w:hint="eastAsia"/>
          <w:kern w:val="0"/>
        </w:rPr>
        <w:t>建设过程中</w:t>
      </w:r>
      <w:r>
        <w:rPr>
          <w:rFonts w:ascii="宋体" w:eastAsia="宋体" w:hAnsi="宋体" w:cs="宋体"/>
          <w:kern w:val="0"/>
        </w:rPr>
        <w:t>对排土场表面进行分层压实</w:t>
      </w:r>
      <w:r>
        <w:rPr>
          <w:rFonts w:ascii="宋体" w:eastAsia="宋体" w:hAnsi="宋体" w:cs="宋体" w:hint="eastAsia"/>
          <w:kern w:val="0"/>
        </w:rPr>
        <w:t>，</w:t>
      </w:r>
      <w:r>
        <w:rPr>
          <w:rFonts w:ascii="宋体" w:eastAsia="宋体" w:hAnsi="宋体" w:cs="宋体"/>
          <w:kern w:val="0"/>
        </w:rPr>
        <w:t>边坡进行机械拍实</w:t>
      </w:r>
      <w:r>
        <w:rPr>
          <w:rFonts w:ascii="宋体" w:eastAsia="宋体" w:hAnsi="宋体" w:cs="宋体" w:hint="eastAsia"/>
          <w:kern w:val="0"/>
        </w:rPr>
        <w:t>，并</w:t>
      </w:r>
      <w:r>
        <w:rPr>
          <w:rFonts w:ascii="宋体" w:eastAsia="宋体" w:hAnsi="宋体" w:cs="宋体"/>
          <w:kern w:val="0"/>
        </w:rPr>
        <w:t>定期洒水降尘</w:t>
      </w:r>
      <w:r>
        <w:rPr>
          <w:rFonts w:ascii="宋体" w:eastAsia="宋体" w:hAnsi="宋体" w:cs="宋体" w:hint="eastAsia"/>
          <w:kern w:val="0"/>
        </w:rPr>
        <w:t>，</w:t>
      </w:r>
      <w:r>
        <w:rPr>
          <w:rFonts w:ascii="宋体" w:eastAsia="宋体" w:hAnsi="宋体" w:cs="宋体"/>
          <w:kern w:val="0"/>
        </w:rPr>
        <w:t>在采取环评提出的措施后起尘量可减少60%</w:t>
      </w:r>
      <w:r>
        <w:rPr>
          <w:rFonts w:ascii="宋体" w:eastAsia="宋体" w:hAnsi="宋体" w:cs="宋体" w:hint="eastAsia"/>
          <w:kern w:val="0"/>
        </w:rPr>
        <w:t>。</w:t>
      </w:r>
    </w:p>
    <w:p w14:paraId="435016F9"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同时，环评要求</w:t>
      </w:r>
      <w:r>
        <w:rPr>
          <w:rFonts w:ascii="宋体" w:eastAsia="宋体" w:hAnsi="宋体" w:cs="宋体"/>
          <w:kern w:val="0"/>
        </w:rPr>
        <w:t>临时堆土场设在设在施工区旁</w:t>
      </w:r>
      <w:r>
        <w:rPr>
          <w:rFonts w:ascii="宋体" w:eastAsia="宋体" w:hAnsi="宋体" w:cs="宋体" w:hint="eastAsia"/>
          <w:kern w:val="0"/>
        </w:rPr>
        <w:t>，</w:t>
      </w:r>
      <w:r>
        <w:rPr>
          <w:rFonts w:ascii="宋体" w:eastAsia="宋体" w:hAnsi="宋体" w:cs="宋体"/>
          <w:kern w:val="0"/>
        </w:rPr>
        <w:t>减少弃土作业和排土场回填作业的运</w:t>
      </w:r>
      <w:r>
        <w:rPr>
          <w:rFonts w:ascii="宋体" w:eastAsia="宋体" w:hAnsi="宋体" w:cs="宋体" w:hint="eastAsia"/>
          <w:kern w:val="0"/>
        </w:rPr>
        <w:t>距，避免运距较大时产生更大的扬尘量。</w:t>
      </w:r>
    </w:p>
    <w:p w14:paraId="728E2DB0" w14:textId="77777777" w:rsidR="005A1A44" w:rsidRDefault="0008059E">
      <w:pPr>
        <w:pStyle w:val="3"/>
        <w:numPr>
          <w:ilvl w:val="2"/>
          <w:numId w:val="2"/>
        </w:numPr>
      </w:pPr>
      <w:r>
        <w:rPr>
          <w:rFonts w:hint="eastAsia"/>
        </w:rPr>
        <w:t xml:space="preserve"> </w:t>
      </w:r>
      <w:r>
        <w:rPr>
          <w:rFonts w:hint="eastAsia"/>
        </w:rPr>
        <w:t>汽车尾气及燃油废气环境影响分析</w:t>
      </w:r>
    </w:p>
    <w:p w14:paraId="537BB3F8" w14:textId="77777777" w:rsidR="005A1A44" w:rsidRDefault="0008059E">
      <w:pPr>
        <w:numPr>
          <w:ilvl w:val="0"/>
          <w:numId w:val="12"/>
        </w:numPr>
        <w:ind w:firstLine="480"/>
        <w:rPr>
          <w:rFonts w:ascii="宋体" w:eastAsia="宋体" w:hAnsi="宋体" w:cs="宋体" w:hint="eastAsia"/>
          <w:kern w:val="0"/>
        </w:rPr>
      </w:pPr>
      <w:r>
        <w:rPr>
          <w:rFonts w:ascii="宋体" w:eastAsia="宋体" w:hAnsi="宋体" w:cs="宋体" w:hint="eastAsia"/>
          <w:kern w:val="0"/>
        </w:rPr>
        <w:t>汽车尾气</w:t>
      </w:r>
    </w:p>
    <w:p w14:paraId="4BB414D3" w14:textId="77777777" w:rsidR="005A1A44" w:rsidRDefault="0008059E">
      <w:pPr>
        <w:ind w:firstLine="480"/>
      </w:pPr>
      <w:r>
        <w:rPr>
          <w:rFonts w:hint="eastAsia"/>
        </w:rPr>
        <w:t>汽车尾气污染物主要来自曲轴箱漏气、燃料系部分碳氢化合物和几乎全部的氮氧化物及一氧统挥发和排气筒的排放管。氮氧化物产生于由过量空气（氧气和氮气）的高温高压的气缸内。由于目前国内无铅汽油的推广使用，铅的影响不大。汽车尾气的总排放量较小，对工程区环境影响较小。</w:t>
      </w:r>
    </w:p>
    <w:p w14:paraId="568FB36D" w14:textId="77777777" w:rsidR="005A1A44" w:rsidRDefault="0008059E">
      <w:pPr>
        <w:ind w:firstLine="480"/>
      </w:pPr>
      <w:r>
        <w:rPr>
          <w:rFonts w:hint="eastAsia"/>
        </w:rPr>
        <w:t>（</w:t>
      </w:r>
      <w:r>
        <w:rPr>
          <w:rFonts w:hint="eastAsia"/>
        </w:rPr>
        <w:t>2</w:t>
      </w:r>
      <w:r>
        <w:rPr>
          <w:rFonts w:hint="eastAsia"/>
        </w:rPr>
        <w:t>）</w:t>
      </w:r>
      <w:r>
        <w:t>施工机械</w:t>
      </w:r>
    </w:p>
    <w:p w14:paraId="61E32F18" w14:textId="77777777" w:rsidR="005A1A44" w:rsidRDefault="0008059E">
      <w:pPr>
        <w:ind w:firstLine="480"/>
      </w:pPr>
      <w:r>
        <w:rPr>
          <w:rFonts w:hint="eastAsia"/>
        </w:rPr>
        <w:t>施工</w:t>
      </w:r>
      <w:r>
        <w:t>机械大多以柴油作为燃料</w:t>
      </w:r>
      <w:r>
        <w:rPr>
          <w:rFonts w:hint="eastAsia"/>
        </w:rPr>
        <w:t>，</w:t>
      </w:r>
      <w:r>
        <w:t>根据施工组织设计</w:t>
      </w:r>
      <w:r>
        <w:rPr>
          <w:rFonts w:hint="eastAsia"/>
        </w:rPr>
        <w:t>，</w:t>
      </w:r>
      <w:r>
        <w:t>本工程施工燃油使用量</w:t>
      </w:r>
      <w:r>
        <w:br/>
      </w:r>
      <w:r>
        <w:rPr>
          <w:rFonts w:hint="eastAsia"/>
        </w:rPr>
        <w:t>51.88</w:t>
      </w:r>
      <w:r>
        <w:t>t</w:t>
      </w:r>
      <w:r>
        <w:rPr>
          <w:rFonts w:hint="eastAsia"/>
        </w:rPr>
        <w:t>，</w:t>
      </w:r>
      <w:r>
        <w:t>施工期燃油废气污染物的排放量</w:t>
      </w:r>
      <w:r>
        <w:t>SO</w:t>
      </w:r>
      <w:r>
        <w:rPr>
          <w:vertAlign w:val="subscript"/>
        </w:rPr>
        <w:t>2</w:t>
      </w:r>
      <w:r>
        <w:t>、</w:t>
      </w:r>
      <w:r>
        <w:t>CO</w:t>
      </w:r>
      <w:r>
        <w:t>、</w:t>
      </w:r>
      <w:r>
        <w:t>NO</w:t>
      </w:r>
      <w:r>
        <w:rPr>
          <w:rFonts w:hint="eastAsia"/>
        </w:rPr>
        <w:t>x</w:t>
      </w:r>
      <w:r>
        <w:t>和烃类污染物分别为</w:t>
      </w:r>
      <w:r>
        <w:rPr>
          <w:rFonts w:hint="eastAsia"/>
        </w:rPr>
        <w:t>1.79</w:t>
      </w:r>
      <w:r>
        <w:t>t</w:t>
      </w:r>
      <w:r>
        <w:t>、</w:t>
      </w:r>
      <w:r>
        <w:rPr>
          <w:rFonts w:hint="eastAsia"/>
        </w:rPr>
        <w:t>14.98.78</w:t>
      </w:r>
      <w:r>
        <w:t>t</w:t>
      </w:r>
      <w:r>
        <w:t>、</w:t>
      </w:r>
      <w:r>
        <w:rPr>
          <w:rFonts w:hint="eastAsia"/>
        </w:rPr>
        <w:t>23.32</w:t>
      </w:r>
      <w:r>
        <w:t>t</w:t>
      </w:r>
      <w:r>
        <w:t>和</w:t>
      </w:r>
      <w:r>
        <w:rPr>
          <w:rFonts w:hint="eastAsia"/>
        </w:rPr>
        <w:t>2.67</w:t>
      </w:r>
      <w:r>
        <w:t>t</w:t>
      </w:r>
      <w:r>
        <w:t>。</w:t>
      </w:r>
    </w:p>
    <w:p w14:paraId="63928508" w14:textId="77777777" w:rsidR="005A1A44" w:rsidRDefault="0008059E">
      <w:pPr>
        <w:ind w:firstLine="480"/>
        <w:rPr>
          <w:b/>
          <w:sz w:val="28"/>
        </w:rPr>
      </w:pPr>
      <w:r>
        <w:rPr>
          <w:rFonts w:ascii="宋体" w:eastAsia="宋体" w:hAnsi="宋体" w:cs="宋体" w:hint="eastAsia"/>
          <w:kern w:val="0"/>
        </w:rPr>
        <w:lastRenderedPageBreak/>
        <w:t>燃料</w:t>
      </w:r>
      <w:r>
        <w:rPr>
          <w:rFonts w:ascii="宋体" w:eastAsia="宋体" w:hAnsi="宋体" w:cs="宋体"/>
          <w:kern w:val="0"/>
        </w:rPr>
        <w:t>燃烧过程中会产生SO</w:t>
      </w:r>
      <w:r>
        <w:rPr>
          <w:rFonts w:ascii="宋体" w:eastAsia="宋体" w:hAnsi="宋体" w:cs="宋体" w:hint="eastAsia"/>
          <w:kern w:val="0"/>
          <w:vertAlign w:val="subscript"/>
        </w:rPr>
        <w:t>2</w:t>
      </w:r>
      <w:r>
        <w:rPr>
          <w:rFonts w:ascii="宋体" w:eastAsia="宋体" w:hAnsi="宋体" w:cs="宋体" w:hint="eastAsia"/>
          <w:kern w:val="0"/>
        </w:rPr>
        <w:t>、</w:t>
      </w:r>
      <w:r>
        <w:rPr>
          <w:rFonts w:ascii="宋体" w:eastAsia="宋体" w:hAnsi="宋体" w:cs="宋体"/>
          <w:kern w:val="0"/>
        </w:rPr>
        <w:t>NO</w:t>
      </w:r>
      <w:r>
        <w:rPr>
          <w:rFonts w:ascii="宋体" w:eastAsia="宋体" w:hAnsi="宋体" w:cs="宋体" w:hint="eastAsia"/>
          <w:kern w:val="0"/>
        </w:rPr>
        <w:t>x、</w:t>
      </w:r>
      <w:r>
        <w:rPr>
          <w:rFonts w:ascii="宋体" w:eastAsia="宋体" w:hAnsi="宋体" w:cs="宋体"/>
          <w:kern w:val="0"/>
        </w:rPr>
        <w:t>CO</w:t>
      </w:r>
      <w:r>
        <w:rPr>
          <w:rFonts w:ascii="宋体" w:eastAsia="宋体" w:hAnsi="宋体" w:cs="宋体" w:hint="eastAsia"/>
          <w:kern w:val="0"/>
        </w:rPr>
        <w:t>、</w:t>
      </w:r>
      <w:r>
        <w:rPr>
          <w:rFonts w:ascii="宋体" w:eastAsia="宋体" w:hAnsi="宋体" w:cs="宋体"/>
          <w:kern w:val="0"/>
        </w:rPr>
        <w:t>碳氢化合物和烟尘</w:t>
      </w:r>
      <w:r>
        <w:rPr>
          <w:rFonts w:ascii="宋体" w:eastAsia="宋体" w:hAnsi="宋体" w:cs="宋体" w:hint="eastAsia"/>
          <w:kern w:val="0"/>
        </w:rPr>
        <w:t>，</w:t>
      </w:r>
      <w:r>
        <w:rPr>
          <w:rFonts w:ascii="宋体" w:eastAsia="宋体" w:hAnsi="宋体" w:cs="宋体"/>
          <w:kern w:val="0"/>
        </w:rPr>
        <w:t>产生情况主要决宝因素为燃料油种类</w:t>
      </w:r>
      <w:r>
        <w:rPr>
          <w:rFonts w:ascii="宋体" w:eastAsia="宋体" w:hAnsi="宋体" w:cs="宋体" w:hint="eastAsia"/>
          <w:kern w:val="0"/>
        </w:rPr>
        <w:t>、</w:t>
      </w:r>
      <w:r>
        <w:rPr>
          <w:rFonts w:ascii="宋体" w:eastAsia="宋体" w:hAnsi="宋体" w:cs="宋体"/>
          <w:kern w:val="0"/>
        </w:rPr>
        <w:t>机械性能、作业方式和风力等</w:t>
      </w:r>
      <w:r>
        <w:rPr>
          <w:rFonts w:ascii="宋体" w:eastAsia="宋体" w:hAnsi="宋体" w:cs="宋体" w:hint="eastAsia"/>
          <w:kern w:val="0"/>
        </w:rPr>
        <w:t>，</w:t>
      </w:r>
      <w:r>
        <w:rPr>
          <w:rFonts w:ascii="宋体" w:eastAsia="宋体" w:hAnsi="宋体" w:cs="宋体"/>
          <w:kern w:val="0"/>
        </w:rPr>
        <w:t>其中属机械性能</w:t>
      </w:r>
      <w:r>
        <w:rPr>
          <w:rFonts w:ascii="宋体" w:eastAsia="宋体" w:hAnsi="宋体" w:cs="宋体" w:hint="eastAsia"/>
          <w:kern w:val="0"/>
        </w:rPr>
        <w:t>、</w:t>
      </w:r>
      <w:r>
        <w:rPr>
          <w:rFonts w:ascii="宋体" w:eastAsia="宋体" w:hAnsi="宋体" w:cs="宋体"/>
          <w:kern w:val="0"/>
        </w:rPr>
        <w:t>作业方式因素的影响最大</w:t>
      </w:r>
      <w:r>
        <w:rPr>
          <w:rFonts w:ascii="宋体" w:eastAsia="宋体" w:hAnsi="宋体" w:cs="宋体" w:hint="eastAsia"/>
          <w:kern w:val="0"/>
        </w:rPr>
        <w:t>、</w:t>
      </w:r>
      <w:r>
        <w:rPr>
          <w:rFonts w:ascii="宋体" w:eastAsia="宋体" w:hAnsi="宋体" w:cs="宋体"/>
          <w:kern w:val="0"/>
        </w:rPr>
        <w:t>如运输车辆和部分施工机械在怠速、减速和加速时产生的污</w:t>
      </w:r>
      <w:r>
        <w:rPr>
          <w:rFonts w:ascii="宋体" w:eastAsia="宋体" w:hAnsi="宋体" w:cs="宋体" w:hint="eastAsia"/>
          <w:kern w:val="0"/>
        </w:rPr>
        <w:t>染</w:t>
      </w:r>
      <w:r>
        <w:rPr>
          <w:rFonts w:ascii="宋体" w:eastAsia="宋体" w:hAnsi="宋体" w:cs="宋体"/>
          <w:kern w:val="0"/>
        </w:rPr>
        <w:t>较为严重。各类施工机械流动性较强</w:t>
      </w:r>
      <w:r>
        <w:rPr>
          <w:rFonts w:ascii="宋体" w:eastAsia="宋体" w:hAnsi="宋体" w:cs="宋体" w:hint="eastAsia"/>
          <w:kern w:val="0"/>
        </w:rPr>
        <w:t>，</w:t>
      </w:r>
      <w:r>
        <w:rPr>
          <w:rFonts w:ascii="宋体" w:eastAsia="宋体" w:hAnsi="宋体" w:cs="宋体"/>
          <w:kern w:val="0"/>
        </w:rPr>
        <w:t>且燃料用量不大</w:t>
      </w:r>
      <w:r>
        <w:rPr>
          <w:rFonts w:ascii="宋体" w:eastAsia="宋体" w:hAnsi="宋体" w:cs="宋体" w:hint="eastAsia"/>
          <w:kern w:val="0"/>
        </w:rPr>
        <w:t>，</w:t>
      </w:r>
      <w:r>
        <w:rPr>
          <w:rFonts w:ascii="宋体" w:eastAsia="宋体" w:hAnsi="宋体" w:cs="宋体"/>
          <w:kern w:val="0"/>
        </w:rPr>
        <w:t>在易于扩散的气象条件下</w:t>
      </w:r>
      <w:r>
        <w:rPr>
          <w:rFonts w:ascii="宋体" w:eastAsia="宋体" w:hAnsi="宋体" w:cs="宋体" w:hint="eastAsia"/>
          <w:kern w:val="0"/>
        </w:rPr>
        <w:t>，</w:t>
      </w:r>
      <w:r>
        <w:rPr>
          <w:rFonts w:ascii="宋体" w:eastAsia="宋体" w:hAnsi="宋体" w:cs="宋体"/>
          <w:kern w:val="0"/>
        </w:rPr>
        <w:t>该废气对周围环境的影响不大</w:t>
      </w:r>
      <w:r>
        <w:rPr>
          <w:rFonts w:ascii="宋体" w:eastAsia="宋体" w:hAnsi="宋体" w:cs="宋体" w:hint="eastAsia"/>
          <w:kern w:val="0"/>
        </w:rPr>
        <w:t>，</w:t>
      </w:r>
      <w:r>
        <w:rPr>
          <w:rFonts w:ascii="宋体" w:eastAsia="宋体" w:hAnsi="宋体" w:cs="宋体"/>
          <w:kern w:val="0"/>
        </w:rPr>
        <w:t>且随着施工期的结束</w:t>
      </w:r>
      <w:r>
        <w:rPr>
          <w:rFonts w:ascii="宋体" w:eastAsia="宋体" w:hAnsi="宋体" w:cs="宋体" w:hint="eastAsia"/>
          <w:kern w:val="0"/>
        </w:rPr>
        <w:t>，</w:t>
      </w:r>
      <w:r>
        <w:rPr>
          <w:rFonts w:ascii="宋体" w:eastAsia="宋体" w:hAnsi="宋体" w:cs="宋体"/>
          <w:kern w:val="0"/>
        </w:rPr>
        <w:t>该污染物也随即消失。</w:t>
      </w:r>
      <w:r>
        <w:rPr>
          <w:rFonts w:ascii="宋体" w:eastAsia="宋体" w:hAnsi="宋体" w:cs="宋体"/>
          <w:kern w:val="0"/>
        </w:rPr>
        <w:br/>
      </w:r>
      <w:r>
        <w:rPr>
          <w:rFonts w:hint="eastAsia"/>
          <w:b/>
          <w:sz w:val="28"/>
        </w:rPr>
        <w:t xml:space="preserve">5.2.3 </w:t>
      </w:r>
      <w:r>
        <w:rPr>
          <w:rFonts w:hint="eastAsia"/>
          <w:b/>
          <w:sz w:val="28"/>
        </w:rPr>
        <w:t>天然气燃烧及饮食油烟的影响分析</w:t>
      </w:r>
    </w:p>
    <w:p w14:paraId="07067188" w14:textId="77777777" w:rsidR="005A1A44" w:rsidRDefault="0008059E">
      <w:pPr>
        <w:ind w:firstLine="480"/>
      </w:pPr>
      <w:r>
        <w:rPr>
          <w:rFonts w:hint="eastAsia"/>
        </w:rPr>
        <w:t>本项目</w:t>
      </w:r>
      <w:r>
        <w:t>人均食用油用量约</w:t>
      </w:r>
      <w:r>
        <w:t>15g/</w:t>
      </w:r>
      <w:r>
        <w:t>人</w:t>
      </w:r>
      <w:r>
        <w:t>·</w:t>
      </w:r>
      <w:r>
        <w:rPr>
          <w:rFonts w:hint="eastAsia"/>
        </w:rPr>
        <w:t>d</w:t>
      </w:r>
      <w:r>
        <w:t>，一般油烟挥发量占总耗油量的</w:t>
      </w:r>
      <w:r>
        <w:t>2~4%</w:t>
      </w:r>
      <w:r>
        <w:t>，平均为</w:t>
      </w:r>
      <w:r>
        <w:t>2.83%</w:t>
      </w:r>
      <w:r>
        <w:t>，则油烟产生量约为</w:t>
      </w:r>
      <w:r>
        <w:rPr>
          <w:rFonts w:hint="eastAsia"/>
        </w:rPr>
        <w:t>0.14kg/d</w:t>
      </w:r>
      <w:r>
        <w:rPr>
          <w:rFonts w:hint="eastAsia"/>
        </w:rPr>
        <w:t>（施工期产生</w:t>
      </w:r>
      <w:r>
        <w:rPr>
          <w:rFonts w:hint="eastAsia"/>
        </w:rPr>
        <w:t>51.1kg/a</w:t>
      </w:r>
      <w:r>
        <w:rPr>
          <w:rFonts w:hint="eastAsia"/>
        </w:rPr>
        <w:t>）</w:t>
      </w:r>
      <w:r>
        <w:t>，</w:t>
      </w:r>
      <w:r>
        <w:rPr>
          <w:rFonts w:hint="eastAsia"/>
        </w:rPr>
        <w:t>假设高峰期有三处营地，</w:t>
      </w:r>
      <w:r>
        <w:t>项目</w:t>
      </w:r>
      <w:r>
        <w:rPr>
          <w:rFonts w:hint="eastAsia"/>
        </w:rPr>
        <w:t>食堂</w:t>
      </w:r>
      <w:r>
        <w:t>设</w:t>
      </w:r>
      <w:r>
        <w:rPr>
          <w:rFonts w:hint="eastAsia"/>
        </w:rPr>
        <w:t>2</w:t>
      </w:r>
      <w:r>
        <w:t>个灶头，</w:t>
      </w:r>
      <w:r>
        <w:rPr>
          <w:rFonts w:hint="eastAsia"/>
        </w:rPr>
        <w:t>每个灶头风量为</w:t>
      </w:r>
      <w:r>
        <w:rPr>
          <w:rFonts w:hint="eastAsia"/>
        </w:rPr>
        <w:t>4</w:t>
      </w:r>
      <w:r>
        <w:t>000.0m</w:t>
      </w:r>
      <w:r>
        <w:rPr>
          <w:vertAlign w:val="superscript"/>
        </w:rPr>
        <w:t>3</w:t>
      </w:r>
      <w:r>
        <w:t>/h</w:t>
      </w:r>
      <w:r>
        <w:rPr>
          <w:rFonts w:hint="eastAsia"/>
        </w:rPr>
        <w:t>，</w:t>
      </w:r>
      <w:r>
        <w:t>每天</w:t>
      </w:r>
      <w:r>
        <w:rPr>
          <w:rFonts w:hint="eastAsia"/>
        </w:rPr>
        <w:t>工作</w:t>
      </w:r>
      <w:r>
        <w:rPr>
          <w:rFonts w:hint="eastAsia"/>
        </w:rPr>
        <w:t>3</w:t>
      </w:r>
      <w:r>
        <w:t>小时，则排风量约</w:t>
      </w:r>
      <w:r>
        <w:rPr>
          <w:rFonts w:hint="eastAsia"/>
        </w:rPr>
        <w:t>12</w:t>
      </w:r>
      <w:r>
        <w:t>000.0m</w:t>
      </w:r>
      <w:r>
        <w:rPr>
          <w:vertAlign w:val="superscript"/>
        </w:rPr>
        <w:t>3</w:t>
      </w:r>
      <w:r>
        <w:rPr>
          <w:rFonts w:hint="eastAsia"/>
        </w:rPr>
        <w:t>，</w:t>
      </w:r>
      <w:r>
        <w:t>油烟产生浓度为</w:t>
      </w:r>
      <w:r>
        <w:rPr>
          <w:rFonts w:hint="eastAsia"/>
        </w:rPr>
        <w:t>3.89</w:t>
      </w:r>
      <w:r>
        <w:t>mg/m</w:t>
      </w:r>
      <w:r>
        <w:rPr>
          <w:vertAlign w:val="superscript"/>
        </w:rPr>
        <w:t>3</w:t>
      </w:r>
      <w:r>
        <w:t>。</w:t>
      </w:r>
      <w:r>
        <w:rPr>
          <w:rFonts w:hint="eastAsia"/>
        </w:rPr>
        <w:t>其油烟浓度超过了《饮食业油烟排放标准》（</w:t>
      </w:r>
      <w:r>
        <w:rPr>
          <w:rFonts w:hint="eastAsia"/>
        </w:rPr>
        <w:t>GB18483-2001</w:t>
      </w:r>
      <w:r>
        <w:rPr>
          <w:rFonts w:hint="eastAsia"/>
        </w:rPr>
        <w:t>）中的要求（油烟浓度≤</w:t>
      </w:r>
      <w:r>
        <w:rPr>
          <w:rFonts w:hint="eastAsia"/>
        </w:rPr>
        <w:t>2</w:t>
      </w:r>
      <w:r>
        <w:t>mg/m</w:t>
      </w:r>
      <w:r>
        <w:rPr>
          <w:vertAlign w:val="superscript"/>
        </w:rPr>
        <w:t>3</w:t>
      </w:r>
      <w:r>
        <w:rPr>
          <w:rFonts w:hint="eastAsia"/>
        </w:rPr>
        <w:t>）</w:t>
      </w:r>
    </w:p>
    <w:p w14:paraId="1D3E17EB" w14:textId="77777777" w:rsidR="005A1A44" w:rsidRDefault="0008059E">
      <w:pPr>
        <w:ind w:firstLine="480"/>
      </w:pPr>
      <w:r>
        <w:rPr>
          <w:rFonts w:hint="eastAsia"/>
        </w:rPr>
        <w:t>环评要求，在煮食及烹饪等产生热力及油烟的地方设置油烟罩及空气过滤器，处理后排入大气，</w:t>
      </w:r>
      <w:r>
        <w:t>油烟净化设施去除率为</w:t>
      </w:r>
      <w:r>
        <w:t>60%</w:t>
      </w:r>
      <w:r>
        <w:t>，</w:t>
      </w:r>
      <w:r>
        <w:rPr>
          <w:rFonts w:hint="eastAsia"/>
        </w:rPr>
        <w:t>施工期中油烟</w:t>
      </w:r>
      <w:r>
        <w:t>排放量为</w:t>
      </w:r>
      <w:r>
        <w:rPr>
          <w:rFonts w:hint="eastAsia"/>
        </w:rPr>
        <w:t>0.056</w:t>
      </w:r>
      <w:r>
        <w:t>kg</w:t>
      </w:r>
      <w:r>
        <w:rPr>
          <w:rFonts w:hint="eastAsia"/>
        </w:rPr>
        <w:t>/</w:t>
      </w:r>
      <w:r>
        <w:rPr>
          <w:rFonts w:hint="eastAsia"/>
        </w:rPr>
        <w:t>天，</w:t>
      </w:r>
      <w:r>
        <w:t>则经处理后的</w:t>
      </w:r>
      <w:r>
        <w:rPr>
          <w:rFonts w:hint="eastAsia"/>
        </w:rPr>
        <w:t>所排放的</w:t>
      </w:r>
      <w:r>
        <w:t>油烟</w:t>
      </w:r>
      <w:r>
        <w:rPr>
          <w:rFonts w:hint="eastAsia"/>
        </w:rPr>
        <w:t>浓度为</w:t>
      </w:r>
      <w:r>
        <w:rPr>
          <w:rFonts w:hint="eastAsia"/>
        </w:rPr>
        <w:t>1.56</w:t>
      </w:r>
      <w:r>
        <w:t>mg/m</w:t>
      </w:r>
      <w:r>
        <w:rPr>
          <w:vertAlign w:val="superscript"/>
        </w:rPr>
        <w:t>3</w:t>
      </w:r>
      <w:r>
        <w:rPr>
          <w:rFonts w:hint="eastAsia"/>
        </w:rPr>
        <w:t>，符合《饮食业油烟排放标准》（</w:t>
      </w:r>
      <w:r>
        <w:rPr>
          <w:rFonts w:hint="eastAsia"/>
        </w:rPr>
        <w:t>GB18483-2001</w:t>
      </w:r>
      <w:r>
        <w:rPr>
          <w:rFonts w:hint="eastAsia"/>
        </w:rPr>
        <w:t>）中的要求。</w:t>
      </w:r>
    </w:p>
    <w:p w14:paraId="72285DF9" w14:textId="77777777" w:rsidR="005A1A44" w:rsidRDefault="0008059E">
      <w:pPr>
        <w:pStyle w:val="3"/>
        <w:numPr>
          <w:ilvl w:val="2"/>
          <w:numId w:val="2"/>
        </w:numPr>
      </w:pPr>
      <w:r>
        <w:rPr>
          <w:rFonts w:hint="eastAsia"/>
        </w:rPr>
        <w:t xml:space="preserve"> </w:t>
      </w:r>
      <w:r>
        <w:rPr>
          <w:rFonts w:hint="eastAsia"/>
        </w:rPr>
        <w:t>物料装卸扬尘</w:t>
      </w:r>
    </w:p>
    <w:p w14:paraId="11A9FDDD" w14:textId="77777777" w:rsidR="005A1A44" w:rsidRDefault="0008059E">
      <w:pPr>
        <w:ind w:firstLine="480"/>
      </w:pPr>
      <w:r>
        <w:t>石灰、水泥和</w:t>
      </w:r>
      <w:r>
        <w:rPr>
          <w:rFonts w:hint="eastAsia"/>
        </w:rPr>
        <w:t>沙土</w:t>
      </w:r>
      <w:r>
        <w:t>在运输和堆放过程中受到风吹、搬运或机械振动产生的物料扬尘，对沿线环境空气质量的污染影响也将是比较明显的。类比同类堆场的情况，装卸（施工）阶段，</w:t>
      </w:r>
      <w:r>
        <w:t>1m</w:t>
      </w:r>
      <w:r>
        <w:t>堆高扬尘起尘量达到</w:t>
      </w:r>
      <w:r>
        <w:t>0.22kg/t</w:t>
      </w:r>
      <w:r>
        <w:t>物料，其中</w:t>
      </w:r>
      <w:r>
        <w:t>TSP</w:t>
      </w:r>
      <w:r>
        <w:t>含量约占</w:t>
      </w:r>
      <w:r>
        <w:t>8%</w:t>
      </w:r>
      <w:r>
        <w:t>，起大风时，下风向</w:t>
      </w:r>
      <w:r>
        <w:t>100m</w:t>
      </w:r>
      <w:r>
        <w:t>的范围</w:t>
      </w:r>
      <w:r>
        <w:t>TSP</w:t>
      </w:r>
      <w:r>
        <w:t>浓度将超过《环境空气质量标准》二级标准限值。</w:t>
      </w:r>
    </w:p>
    <w:p w14:paraId="417CCA0C" w14:textId="77777777" w:rsidR="005A1A44" w:rsidRDefault="0008059E">
      <w:pPr>
        <w:ind w:firstLine="480"/>
      </w:pPr>
      <w:r>
        <w:rPr>
          <w:rFonts w:hint="eastAsia"/>
        </w:rPr>
        <w:t>根据现场勘察，河道沿线纳格热其村、亚甫拉克、阿克铁热克村、依盖尔其村均位于河道施工扬尘影响范围内，施工扬尘对周边敏感点有一定的影响。</w:t>
      </w:r>
    </w:p>
    <w:p w14:paraId="6B600220" w14:textId="77777777" w:rsidR="005A1A44" w:rsidRDefault="0008059E">
      <w:pPr>
        <w:pStyle w:val="3"/>
        <w:numPr>
          <w:ilvl w:val="2"/>
          <w:numId w:val="2"/>
        </w:numPr>
      </w:pPr>
      <w:r>
        <w:rPr>
          <w:rFonts w:hint="eastAsia"/>
        </w:rPr>
        <w:t xml:space="preserve"> </w:t>
      </w:r>
      <w:r>
        <w:rPr>
          <w:rFonts w:hint="eastAsia"/>
        </w:rPr>
        <w:t>恶臭</w:t>
      </w:r>
    </w:p>
    <w:p w14:paraId="5D3E88AC" w14:textId="77777777" w:rsidR="005A1A44" w:rsidRDefault="0008059E">
      <w:pPr>
        <w:ind w:firstLine="480"/>
      </w:pPr>
      <w:r>
        <w:t>恶臭主要产生于河道清淤过程中。</w:t>
      </w:r>
      <w:r>
        <w:rPr>
          <w:rFonts w:hint="eastAsia"/>
        </w:rPr>
        <w:t>一般</w:t>
      </w:r>
      <w:r>
        <w:t>河道中</w:t>
      </w:r>
      <w:r>
        <w:rPr>
          <w:rFonts w:hint="eastAsia"/>
        </w:rPr>
        <w:t>若</w:t>
      </w:r>
      <w:r>
        <w:t>含有有机物腐质的污泥底泥，</w:t>
      </w:r>
      <w:r>
        <w:lastRenderedPageBreak/>
        <w:t>在受到扰动和堆置于地面时，其中含有的恶臭物质（主要为甲硫醇、氨、硫化氢等）将呈无组织状态释放，从而对周围环境产生较为不利的影响。</w:t>
      </w:r>
    </w:p>
    <w:p w14:paraId="430E22D9" w14:textId="77777777" w:rsidR="005A1A44" w:rsidRDefault="0008059E">
      <w:pPr>
        <w:ind w:firstLine="480"/>
      </w:pPr>
      <w:r>
        <w:rPr>
          <w:rFonts w:hint="eastAsia"/>
        </w:rPr>
        <w:t>经现场调查和对底泥的监测，玉龙喀什河河道内的底质主要为砂石，其质量可达到《土壤环境质量</w:t>
      </w:r>
      <w:r>
        <w:rPr>
          <w:rFonts w:hint="eastAsia"/>
        </w:rPr>
        <w:t xml:space="preserve"> </w:t>
      </w:r>
      <w:r>
        <w:rPr>
          <w:rFonts w:hint="eastAsia"/>
        </w:rPr>
        <w:t>建设用地土壤污染风险管控标准（试行）》</w:t>
      </w:r>
      <w:r>
        <w:t>（</w:t>
      </w:r>
      <w:r>
        <w:t>GB</w:t>
      </w:r>
      <w:r>
        <w:rPr>
          <w:rFonts w:hint="eastAsia"/>
        </w:rPr>
        <w:t>36600</w:t>
      </w:r>
      <w:r>
        <w:t>-20</w:t>
      </w:r>
      <w:r>
        <w:rPr>
          <w:rFonts w:hint="eastAsia"/>
        </w:rPr>
        <w:t>1</w:t>
      </w:r>
      <w:r>
        <w:t>8</w:t>
      </w:r>
      <w:r>
        <w:t>）</w:t>
      </w:r>
      <w:r>
        <w:rPr>
          <w:rFonts w:hint="eastAsia"/>
        </w:rPr>
        <w:t>的的二类用地要求，其主要影响为淤积后堵塞行洪通道，无恶臭气味，因此清理出的底质主要用于本工程土石方回填及河道内修正，其对环境基本无影响。</w:t>
      </w:r>
    </w:p>
    <w:p w14:paraId="105BBC0C" w14:textId="77777777" w:rsidR="005A1A44" w:rsidRDefault="0008059E">
      <w:pPr>
        <w:pStyle w:val="2"/>
        <w:numPr>
          <w:ilvl w:val="1"/>
          <w:numId w:val="2"/>
        </w:numPr>
      </w:pPr>
      <w:bookmarkStart w:id="183" w:name="_Toc465790236"/>
      <w:bookmarkStart w:id="184" w:name="_Toc7515_WPSOffice_Level2"/>
      <w:r>
        <w:rPr>
          <w:rFonts w:hint="eastAsia"/>
        </w:rPr>
        <w:t xml:space="preserve"> </w:t>
      </w:r>
      <w:bookmarkStart w:id="185" w:name="_Toc19655_WPSOffice_Level2"/>
      <w:bookmarkStart w:id="186" w:name="_Toc16690_WPSOffice_Level2"/>
      <w:r>
        <w:rPr>
          <w:rFonts w:hint="eastAsia"/>
        </w:rPr>
        <w:t>施工期地表水环境影响评价</w:t>
      </w:r>
      <w:bookmarkEnd w:id="183"/>
      <w:bookmarkEnd w:id="184"/>
      <w:bookmarkEnd w:id="185"/>
      <w:bookmarkEnd w:id="186"/>
    </w:p>
    <w:p w14:paraId="2A49CA57" w14:textId="77777777" w:rsidR="005A1A44" w:rsidRDefault="0008059E">
      <w:pPr>
        <w:pStyle w:val="3"/>
        <w:numPr>
          <w:ilvl w:val="2"/>
          <w:numId w:val="2"/>
        </w:numPr>
      </w:pPr>
      <w:r>
        <w:rPr>
          <w:rFonts w:hint="eastAsia"/>
        </w:rPr>
        <w:t xml:space="preserve"> </w:t>
      </w:r>
      <w:r>
        <w:rPr>
          <w:rFonts w:hint="eastAsia"/>
        </w:rPr>
        <w:t>生活污水</w:t>
      </w:r>
    </w:p>
    <w:p w14:paraId="6BE42500" w14:textId="77777777" w:rsidR="005A1A44" w:rsidRDefault="0008059E">
      <w:pPr>
        <w:ind w:firstLine="480"/>
      </w:pPr>
      <w:r>
        <w:rPr>
          <w:rFonts w:hint="eastAsia"/>
        </w:rPr>
        <w:t>本项目施工期，高峰期人员需要量为</w:t>
      </w:r>
      <w:r>
        <w:rPr>
          <w:rFonts w:hint="eastAsia"/>
        </w:rPr>
        <w:t>330</w:t>
      </w:r>
      <w:r>
        <w:rPr>
          <w:rFonts w:hint="eastAsia"/>
        </w:rPr>
        <w:t>人，按照每人每天用水量为</w:t>
      </w:r>
      <w:r>
        <w:rPr>
          <w:rFonts w:hint="eastAsia"/>
        </w:rPr>
        <w:t>80</w:t>
      </w:r>
      <w:r>
        <w:rPr>
          <w:rFonts w:hint="eastAsia"/>
        </w:rPr>
        <w:t>升，则用水量为</w:t>
      </w:r>
      <w:r>
        <w:rPr>
          <w:rFonts w:hint="eastAsia"/>
        </w:rPr>
        <w:t>26.4m</w:t>
      </w:r>
      <w:r>
        <w:rPr>
          <w:rFonts w:hint="eastAsia"/>
          <w:vertAlign w:val="superscript"/>
        </w:rPr>
        <w:t>3</w:t>
      </w:r>
      <w:r>
        <w:rPr>
          <w:rFonts w:hint="eastAsia"/>
        </w:rPr>
        <w:t>/d</w:t>
      </w:r>
      <w:r>
        <w:rPr>
          <w:rFonts w:hint="eastAsia"/>
        </w:rPr>
        <w:t>，按用水量</w:t>
      </w:r>
      <w:r>
        <w:rPr>
          <w:rFonts w:hint="eastAsia"/>
        </w:rPr>
        <w:t>0.80</w:t>
      </w:r>
      <w:r>
        <w:rPr>
          <w:rFonts w:hint="eastAsia"/>
        </w:rPr>
        <w:t>计算排水量，则生活污水产生量为</w:t>
      </w:r>
      <w:r>
        <w:rPr>
          <w:rFonts w:hint="eastAsia"/>
        </w:rPr>
        <w:t>21.12m</w:t>
      </w:r>
      <w:r>
        <w:rPr>
          <w:rFonts w:hint="eastAsia"/>
          <w:vertAlign w:val="superscript"/>
        </w:rPr>
        <w:t>3</w:t>
      </w:r>
      <w:r>
        <w:rPr>
          <w:rFonts w:hint="eastAsia"/>
        </w:rPr>
        <w:t>/d</w:t>
      </w:r>
      <w:r>
        <w:rPr>
          <w:rFonts w:hint="eastAsia"/>
        </w:rPr>
        <w:t>。</w:t>
      </w:r>
    </w:p>
    <w:p w14:paraId="2A6C5016" w14:textId="77777777" w:rsidR="005A1A44" w:rsidRDefault="0008059E">
      <w:pPr>
        <w:ind w:firstLine="480"/>
      </w:pPr>
      <w:r>
        <w:rPr>
          <w:rFonts w:hint="eastAsia"/>
        </w:rPr>
        <w:t>生活污水中主要污染物为</w:t>
      </w:r>
      <w:r>
        <w:rPr>
          <w:rFonts w:hint="eastAsia"/>
        </w:rPr>
        <w:t>COD</w:t>
      </w:r>
      <w:r>
        <w:rPr>
          <w:rFonts w:hint="eastAsia"/>
        </w:rPr>
        <w:t>、</w:t>
      </w:r>
      <w:r>
        <w:rPr>
          <w:rFonts w:hint="eastAsia"/>
        </w:rPr>
        <w:t>BOD</w:t>
      </w:r>
      <w:r>
        <w:rPr>
          <w:rFonts w:hint="eastAsia"/>
          <w:vertAlign w:val="subscript"/>
        </w:rPr>
        <w:t>5</w:t>
      </w:r>
      <w:r>
        <w:rPr>
          <w:rFonts w:hint="eastAsia"/>
        </w:rPr>
        <w:t>、</w:t>
      </w:r>
      <w:r>
        <w:rPr>
          <w:rFonts w:hint="eastAsia"/>
        </w:rPr>
        <w:t>SS</w:t>
      </w:r>
      <w:r>
        <w:rPr>
          <w:rFonts w:hint="eastAsia"/>
        </w:rPr>
        <w:t>、氨氮及石油类等，根据类比调查，其污水水质一般为</w:t>
      </w:r>
      <w:r>
        <w:rPr>
          <w:rFonts w:hint="eastAsia"/>
        </w:rPr>
        <w:t>COD 300mg/l</w:t>
      </w:r>
      <w:r>
        <w:rPr>
          <w:rFonts w:hint="eastAsia"/>
        </w:rPr>
        <w:t>，</w:t>
      </w:r>
      <w:r>
        <w:rPr>
          <w:rFonts w:hint="eastAsia"/>
        </w:rPr>
        <w:t>BOD5 200mg/l</w:t>
      </w:r>
      <w:r>
        <w:rPr>
          <w:rFonts w:hint="eastAsia"/>
        </w:rPr>
        <w:t>，</w:t>
      </w:r>
      <w:r>
        <w:rPr>
          <w:rFonts w:hint="eastAsia"/>
        </w:rPr>
        <w:t>SS 200mg/l</w:t>
      </w:r>
      <w:r>
        <w:rPr>
          <w:rFonts w:hint="eastAsia"/>
        </w:rPr>
        <w:t>，氨氮</w:t>
      </w:r>
      <w:r>
        <w:rPr>
          <w:rFonts w:hint="eastAsia"/>
        </w:rPr>
        <w:t>35mg/L</w:t>
      </w:r>
      <w:r>
        <w:rPr>
          <w:rFonts w:hint="eastAsia"/>
        </w:rPr>
        <w:t>。则产生的污染物：</w:t>
      </w:r>
      <w:r>
        <w:rPr>
          <w:rFonts w:hint="eastAsia"/>
        </w:rPr>
        <w:t>COD</w:t>
      </w:r>
      <w:r>
        <w:rPr>
          <w:rFonts w:hint="eastAsia"/>
        </w:rPr>
        <w:t>：</w:t>
      </w:r>
      <w:r>
        <w:rPr>
          <w:rFonts w:hint="eastAsia"/>
        </w:rPr>
        <w:t>2.31t/a</w:t>
      </w:r>
      <w:r>
        <w:rPr>
          <w:rFonts w:hint="eastAsia"/>
        </w:rPr>
        <w:t>，</w:t>
      </w:r>
      <w:r>
        <w:rPr>
          <w:rFonts w:hint="eastAsia"/>
        </w:rPr>
        <w:t>BOD5</w:t>
      </w:r>
      <w:r>
        <w:rPr>
          <w:rFonts w:hint="eastAsia"/>
        </w:rPr>
        <w:t>：</w:t>
      </w:r>
      <w:r>
        <w:rPr>
          <w:rFonts w:hint="eastAsia"/>
        </w:rPr>
        <w:t>1.54t/a</w:t>
      </w:r>
      <w:r>
        <w:rPr>
          <w:rFonts w:hint="eastAsia"/>
        </w:rPr>
        <w:t>，</w:t>
      </w:r>
      <w:r>
        <w:rPr>
          <w:rFonts w:hint="eastAsia"/>
        </w:rPr>
        <w:t>SS</w:t>
      </w:r>
      <w:r>
        <w:rPr>
          <w:rFonts w:hint="eastAsia"/>
        </w:rPr>
        <w:t>：</w:t>
      </w:r>
      <w:r>
        <w:rPr>
          <w:rFonts w:hint="eastAsia"/>
        </w:rPr>
        <w:t>1.54t/a</w:t>
      </w:r>
      <w:r>
        <w:rPr>
          <w:rFonts w:hint="eastAsia"/>
        </w:rPr>
        <w:t>，氨氮：</w:t>
      </w:r>
      <w:r>
        <w:rPr>
          <w:rFonts w:hint="eastAsia"/>
        </w:rPr>
        <w:t>0.27t/a</w:t>
      </w:r>
      <w:r>
        <w:rPr>
          <w:rFonts w:hint="eastAsia"/>
        </w:rPr>
        <w:t>。</w:t>
      </w:r>
    </w:p>
    <w:p w14:paraId="184922CD" w14:textId="77777777" w:rsidR="005A1A44" w:rsidRDefault="0008059E">
      <w:pPr>
        <w:ind w:firstLine="480"/>
      </w:pPr>
      <w:r>
        <w:rPr>
          <w:rFonts w:hint="eastAsia"/>
        </w:rPr>
        <w:t>环评要求施工人员生活区沿河两岸布置，沿岸大部分为居民区，对于生活污水拟采取就近且灵活的处理原则，在每个生活区内设置化粪池各一座，并修建化粪池至最近市政污水管网的排水管线，生活污水经化粪池处理后全部通过排水管线进入到和田市城镇污水处理厂，其中含有污水经隔油池预处理后再进入化粪池处理，均不外排。</w:t>
      </w:r>
    </w:p>
    <w:p w14:paraId="48C8DEE6" w14:textId="77777777" w:rsidR="005A1A44" w:rsidRDefault="0008059E">
      <w:pPr>
        <w:ind w:firstLine="480"/>
      </w:pPr>
      <w:r>
        <w:rPr>
          <w:rFonts w:hint="eastAsia"/>
        </w:rPr>
        <w:t>在城镇污水管网未覆盖的区域，在施工营地设置临时防渗漏旱厕，并设立化粪池对其进行处理并及时清运。</w:t>
      </w:r>
    </w:p>
    <w:p w14:paraId="5D1C01E2" w14:textId="77777777" w:rsidR="005A1A44" w:rsidRDefault="0008059E">
      <w:pPr>
        <w:ind w:firstLine="480"/>
      </w:pPr>
      <w:r>
        <w:rPr>
          <w:rFonts w:hint="eastAsia"/>
        </w:rPr>
        <w:t>总体上，施工期生活废水可以全部得到收集和处理，无外排，基本不存在对环境的影响。</w:t>
      </w:r>
    </w:p>
    <w:p w14:paraId="16811D43" w14:textId="77777777" w:rsidR="005A1A44" w:rsidRDefault="0008059E">
      <w:pPr>
        <w:pStyle w:val="3"/>
        <w:numPr>
          <w:ilvl w:val="2"/>
          <w:numId w:val="2"/>
        </w:numPr>
      </w:pPr>
      <w:r>
        <w:rPr>
          <w:rFonts w:hint="eastAsia"/>
        </w:rPr>
        <w:t xml:space="preserve"> </w:t>
      </w:r>
      <w:r>
        <w:rPr>
          <w:rFonts w:hint="eastAsia"/>
        </w:rPr>
        <w:t>施工废水</w:t>
      </w:r>
    </w:p>
    <w:p w14:paraId="724C44DD" w14:textId="77777777" w:rsidR="005A1A44" w:rsidRDefault="0008059E">
      <w:pPr>
        <w:ind w:firstLine="482"/>
        <w:rPr>
          <w:b/>
          <w:bCs/>
        </w:rPr>
      </w:pPr>
      <w:r>
        <w:rPr>
          <w:rFonts w:hint="eastAsia"/>
          <w:b/>
          <w:bCs/>
        </w:rPr>
        <w:t>（</w:t>
      </w:r>
      <w:r>
        <w:rPr>
          <w:rFonts w:hint="eastAsia"/>
          <w:b/>
          <w:bCs/>
        </w:rPr>
        <w:t>1</w:t>
      </w:r>
      <w:r>
        <w:rPr>
          <w:rFonts w:hint="eastAsia"/>
          <w:b/>
          <w:bCs/>
        </w:rPr>
        <w:t>）机械冲洗废水</w:t>
      </w:r>
    </w:p>
    <w:p w14:paraId="72FAD4F5" w14:textId="77777777" w:rsidR="005A1A44" w:rsidRDefault="0008059E">
      <w:pPr>
        <w:ind w:firstLine="480"/>
      </w:pPr>
      <w:r>
        <w:rPr>
          <w:rFonts w:hint="eastAsia"/>
        </w:rPr>
        <w:lastRenderedPageBreak/>
        <w:t>根据工程可研，施工场地设置施工机械停车场，施工机械停车场主要停放自卸汽车、挖掘机、推土机和拖拉机等，根据水利工程实际施工经验，一般车辆冲洗用水是施工生产用水的</w:t>
      </w:r>
      <w:r>
        <w:rPr>
          <w:rFonts w:hint="eastAsia"/>
        </w:rPr>
        <w:t>5%</w:t>
      </w:r>
      <w:r>
        <w:rPr>
          <w:rFonts w:hint="eastAsia"/>
        </w:rPr>
        <w:t>～</w:t>
      </w:r>
      <w:r>
        <w:rPr>
          <w:rFonts w:hint="eastAsia"/>
        </w:rPr>
        <w:t>15%</w:t>
      </w:r>
      <w:r>
        <w:rPr>
          <w:rFonts w:hint="eastAsia"/>
        </w:rPr>
        <w:t>左右，本工程车辆冲洗用水取施工生产用水的</w:t>
      </w:r>
      <w:r>
        <w:rPr>
          <w:rFonts w:hint="eastAsia"/>
        </w:rPr>
        <w:t>10%</w:t>
      </w:r>
      <w:r>
        <w:rPr>
          <w:rFonts w:hint="eastAsia"/>
        </w:rPr>
        <w:t>。本工程施工营地共产生车辆冲洗废水</w:t>
      </w:r>
      <w:r>
        <w:rPr>
          <w:rFonts w:hint="eastAsia"/>
        </w:rPr>
        <w:t>7.36m</w:t>
      </w:r>
      <w:r>
        <w:rPr>
          <w:rFonts w:hint="eastAsia"/>
          <w:vertAlign w:val="superscript"/>
        </w:rPr>
        <w:t>3</w:t>
      </w:r>
      <w:r>
        <w:rPr>
          <w:rFonts w:hint="eastAsia"/>
        </w:rPr>
        <w:t>/d</w:t>
      </w:r>
      <w:r>
        <w:rPr>
          <w:rFonts w:hint="eastAsia"/>
        </w:rPr>
        <w:t>。废水中主要污染物为石油类和悬浮物，机械车辆冲洗废水石油类污染物浓度约</w:t>
      </w:r>
      <w:r>
        <w:rPr>
          <w:rFonts w:hint="eastAsia"/>
        </w:rPr>
        <w:t>10mg/L</w:t>
      </w:r>
      <w:r>
        <w:rPr>
          <w:rFonts w:hint="eastAsia"/>
        </w:rPr>
        <w:t>。</w:t>
      </w:r>
      <w:r>
        <w:rPr>
          <w:color w:val="000000"/>
        </w:rPr>
        <w:t>施工机械含油废水直接排入水体，在水体表面形成油膜，造成水中溶解氧不易恢复，影响水质</w:t>
      </w:r>
      <w:r>
        <w:rPr>
          <w:rFonts w:hint="eastAsia"/>
          <w:color w:val="000000"/>
        </w:rPr>
        <w:t>和水生生物</w:t>
      </w:r>
      <w:r>
        <w:rPr>
          <w:color w:val="000000"/>
        </w:rPr>
        <w:t>；含油废水随意排放陆域，会降低土壤肥力，改变土壤结构，不利于施工迹地恢复。</w:t>
      </w:r>
    </w:p>
    <w:p w14:paraId="1BC8B2D1" w14:textId="77777777" w:rsidR="005A1A44" w:rsidRDefault="0008059E">
      <w:pPr>
        <w:ind w:firstLine="480"/>
      </w:pPr>
      <w:r>
        <w:rPr>
          <w:rFonts w:hint="eastAsia"/>
        </w:rPr>
        <w:t>环评要求工程建设期，在每个施工营地建设隔油池</w:t>
      </w:r>
      <w:r>
        <w:rPr>
          <w:rFonts w:hint="eastAsia"/>
        </w:rPr>
        <w:t>+</w:t>
      </w:r>
      <w:r>
        <w:rPr>
          <w:rFonts w:hint="eastAsia"/>
        </w:rPr>
        <w:t>沉淀池，对工程车辆冲洗废水进行处理。机械车辆冲洗废水经除油、沉淀处理后，石油类浓度可降至</w:t>
      </w:r>
      <w:r>
        <w:rPr>
          <w:rFonts w:hint="eastAsia"/>
        </w:rPr>
        <w:t>5mg/L</w:t>
      </w:r>
      <w:r>
        <w:rPr>
          <w:rFonts w:hint="eastAsia"/>
        </w:rPr>
        <w:t>以下，回用于车辆冲洗用水、施工区洒水降尘或混凝土拌合用水。</w:t>
      </w:r>
      <w:r>
        <w:rPr>
          <w:rFonts w:hint="eastAsia"/>
        </w:rPr>
        <w:t xml:space="preserve"> </w:t>
      </w:r>
    </w:p>
    <w:p w14:paraId="7D80C07B" w14:textId="77777777" w:rsidR="005A1A44" w:rsidRDefault="0008059E">
      <w:pPr>
        <w:ind w:firstLine="482"/>
        <w:rPr>
          <w:b/>
          <w:bCs/>
        </w:rPr>
      </w:pPr>
      <w:r>
        <w:rPr>
          <w:rFonts w:hint="eastAsia"/>
          <w:b/>
          <w:bCs/>
        </w:rPr>
        <w:t>（</w:t>
      </w:r>
      <w:r>
        <w:rPr>
          <w:rFonts w:hint="eastAsia"/>
          <w:b/>
          <w:bCs/>
        </w:rPr>
        <w:t>2</w:t>
      </w:r>
      <w:r>
        <w:rPr>
          <w:rFonts w:hint="eastAsia"/>
          <w:b/>
          <w:bCs/>
        </w:rPr>
        <w:t>）混凝土拌合系统废水</w:t>
      </w:r>
    </w:p>
    <w:p w14:paraId="4F65369A" w14:textId="77777777" w:rsidR="005A1A44" w:rsidRDefault="0008059E">
      <w:pPr>
        <w:ind w:firstLine="480"/>
      </w:pPr>
      <w:r>
        <w:rPr>
          <w:rFonts w:hint="eastAsia"/>
        </w:rPr>
        <w:t>混凝土拌合系统废水产生自混凝土拌合过程，以及混凝土转筒和料罐在每班末的冲洗过程，拌合废水主要是碱性水，</w:t>
      </w:r>
      <w:r>
        <w:rPr>
          <w:rFonts w:hint="eastAsia"/>
        </w:rPr>
        <w:t>pH</w:t>
      </w:r>
      <w:r>
        <w:rPr>
          <w:rFonts w:hint="eastAsia"/>
        </w:rPr>
        <w:t>值</w:t>
      </w:r>
      <w:r>
        <w:rPr>
          <w:rFonts w:hint="eastAsia"/>
        </w:rPr>
        <w:t>9-12</w:t>
      </w:r>
      <w:r>
        <w:rPr>
          <w:rFonts w:hint="eastAsia"/>
        </w:rPr>
        <w:t>，</w:t>
      </w:r>
      <w:r>
        <w:rPr>
          <w:rFonts w:hint="eastAsia"/>
        </w:rPr>
        <w:t>SS</w:t>
      </w:r>
      <w:r>
        <w:rPr>
          <w:rFonts w:hint="eastAsia"/>
        </w:rPr>
        <w:t>浓度约</w:t>
      </w:r>
      <w:r>
        <w:rPr>
          <w:rFonts w:hint="eastAsia"/>
        </w:rPr>
        <w:t>5000mg/L</w:t>
      </w:r>
      <w:r>
        <w:rPr>
          <w:rFonts w:hint="eastAsia"/>
        </w:rPr>
        <w:t>，根据新疆地区其他水利工程混凝拌合站生产经验，混凝土拌合废水排放率为</w:t>
      </w:r>
      <w:r>
        <w:rPr>
          <w:rFonts w:hint="eastAsia"/>
        </w:rPr>
        <w:t>40%</w:t>
      </w:r>
      <w:r>
        <w:rPr>
          <w:rFonts w:hint="eastAsia"/>
        </w:rPr>
        <w:t>，</w:t>
      </w:r>
      <w:r>
        <w:rPr>
          <w:rFonts w:hint="eastAsia"/>
        </w:rPr>
        <w:t>SS</w:t>
      </w:r>
      <w:r>
        <w:rPr>
          <w:rFonts w:hint="eastAsia"/>
        </w:rPr>
        <w:t>排放量达到</w:t>
      </w:r>
      <w:r>
        <w:rPr>
          <w:rFonts w:hint="eastAsia"/>
        </w:rPr>
        <w:t>40.0t/a</w:t>
      </w:r>
      <w:r>
        <w:rPr>
          <w:rFonts w:hint="eastAsia"/>
        </w:rPr>
        <w:t>。</w:t>
      </w:r>
    </w:p>
    <w:p w14:paraId="78EC9EF6" w14:textId="77777777" w:rsidR="005A1A44" w:rsidRDefault="0008059E">
      <w:pPr>
        <w:ind w:firstLine="480"/>
      </w:pPr>
      <w:r>
        <w:rPr>
          <w:rFonts w:hint="eastAsia"/>
        </w:rPr>
        <w:t>环评要求项目区混凝土拌合系统与施工停车场等施工场地布置在一起，混凝土拌合系统废水经沉淀池沉淀处理后回用于车辆冲洗用水、施工区洒水降尘或混凝土拌合用水。</w:t>
      </w:r>
    </w:p>
    <w:p w14:paraId="289B4E96" w14:textId="77777777" w:rsidR="005A1A44" w:rsidRDefault="0008059E">
      <w:pPr>
        <w:ind w:firstLine="480"/>
      </w:pPr>
      <w:r>
        <w:rPr>
          <w:rFonts w:hint="eastAsia"/>
        </w:rPr>
        <w:t>沉淀处理的</w:t>
      </w:r>
      <w:r>
        <w:rPr>
          <w:rFonts w:hint="eastAsia"/>
        </w:rPr>
        <w:t>SS</w:t>
      </w:r>
      <w:r>
        <w:rPr>
          <w:rFonts w:hint="eastAsia"/>
        </w:rPr>
        <w:t>处理率可达到</w:t>
      </w:r>
      <w:r>
        <w:rPr>
          <w:rFonts w:hint="eastAsia"/>
        </w:rPr>
        <w:t>95%</w:t>
      </w:r>
      <w:r>
        <w:rPr>
          <w:rFonts w:hint="eastAsia"/>
        </w:rPr>
        <w:t>，处理后废水排放浓度约</w:t>
      </w:r>
      <w:r>
        <w:rPr>
          <w:rFonts w:hint="eastAsia"/>
        </w:rPr>
        <w:t>250mg/L</w:t>
      </w:r>
      <w:r>
        <w:rPr>
          <w:rFonts w:hint="eastAsia"/>
        </w:rPr>
        <w:t>，排放量可降低至</w:t>
      </w:r>
      <w:r>
        <w:rPr>
          <w:rFonts w:hint="eastAsia"/>
        </w:rPr>
        <w:t>2t/a</w:t>
      </w:r>
      <w:r>
        <w:rPr>
          <w:rFonts w:hint="eastAsia"/>
        </w:rPr>
        <w:t>。</w:t>
      </w:r>
    </w:p>
    <w:p w14:paraId="692296D9" w14:textId="77777777" w:rsidR="005A1A44" w:rsidRDefault="0008059E">
      <w:pPr>
        <w:ind w:firstLine="482"/>
        <w:rPr>
          <w:b/>
          <w:bCs/>
        </w:rPr>
      </w:pPr>
      <w:r>
        <w:rPr>
          <w:rFonts w:hint="eastAsia"/>
          <w:b/>
          <w:bCs/>
        </w:rPr>
        <w:t>（</w:t>
      </w:r>
      <w:r>
        <w:rPr>
          <w:rFonts w:hint="eastAsia"/>
          <w:b/>
          <w:bCs/>
        </w:rPr>
        <w:t>3</w:t>
      </w:r>
      <w:r>
        <w:rPr>
          <w:rFonts w:hint="eastAsia"/>
          <w:b/>
          <w:bCs/>
        </w:rPr>
        <w:t>）混凝土养护废水</w:t>
      </w:r>
    </w:p>
    <w:p w14:paraId="6F01F22C" w14:textId="77777777" w:rsidR="005A1A44" w:rsidRDefault="0008059E">
      <w:pPr>
        <w:ind w:firstLine="480"/>
      </w:pPr>
      <w:r>
        <w:rPr>
          <w:rFonts w:hint="eastAsia"/>
        </w:rPr>
        <w:t>混凝土浇筑时将产生养护废水</w:t>
      </w:r>
      <w:r>
        <w:rPr>
          <w:rFonts w:hint="eastAsia"/>
        </w:rPr>
        <w:t>pH</w:t>
      </w:r>
      <w:r>
        <w:rPr>
          <w:rFonts w:hint="eastAsia"/>
        </w:rPr>
        <w:t>值在</w:t>
      </w:r>
      <w:r>
        <w:rPr>
          <w:rFonts w:hint="eastAsia"/>
        </w:rPr>
        <w:t>9-12</w:t>
      </w:r>
      <w:r>
        <w:rPr>
          <w:rFonts w:hint="eastAsia"/>
        </w:rPr>
        <w:t>之间，为碱性废水，具有悬浮物高、水量少，间歇性排放的特点。混凝土养护废水一次排放约为</w:t>
      </w:r>
      <w:r>
        <w:rPr>
          <w:rFonts w:hint="eastAsia"/>
        </w:rPr>
        <w:t>10m</w:t>
      </w:r>
      <w:r>
        <w:rPr>
          <w:rFonts w:hint="eastAsia"/>
          <w:vertAlign w:val="superscript"/>
        </w:rPr>
        <w:t>3</w:t>
      </w:r>
      <w:r>
        <w:rPr>
          <w:rFonts w:hint="eastAsia"/>
        </w:rPr>
        <w:t>/h</w:t>
      </w:r>
      <w:r>
        <w:rPr>
          <w:rFonts w:hint="eastAsia"/>
        </w:rPr>
        <w:t>。由于项目区地处西北极为干旱的地区，混凝土养护所用水量除保持其必要的水分外，基本都用于蒸发。</w:t>
      </w:r>
    </w:p>
    <w:p w14:paraId="38B47F0A" w14:textId="77777777" w:rsidR="005A1A44" w:rsidRDefault="0008059E">
      <w:pPr>
        <w:ind w:firstLine="480"/>
      </w:pPr>
      <w:r>
        <w:rPr>
          <w:rFonts w:hint="eastAsia"/>
        </w:rPr>
        <w:t>此外，堤防、河坝施工时，雨水冲刷施工现场，雨水径流含有大量悬浮固体物，短暂性的影响河水水质。</w:t>
      </w:r>
    </w:p>
    <w:p w14:paraId="7F7A829D" w14:textId="77777777" w:rsidR="005A1A44" w:rsidRDefault="0008059E">
      <w:pPr>
        <w:ind w:firstLine="482"/>
        <w:rPr>
          <w:b/>
          <w:bCs/>
        </w:rPr>
      </w:pPr>
      <w:r>
        <w:rPr>
          <w:rFonts w:hint="eastAsia"/>
          <w:b/>
          <w:bCs/>
        </w:rPr>
        <w:t>（</w:t>
      </w:r>
      <w:r>
        <w:rPr>
          <w:rFonts w:hint="eastAsia"/>
          <w:b/>
          <w:bCs/>
        </w:rPr>
        <w:t>4</w:t>
      </w:r>
      <w:r>
        <w:rPr>
          <w:rFonts w:hint="eastAsia"/>
          <w:b/>
          <w:bCs/>
        </w:rPr>
        <w:t>）基坑排水</w:t>
      </w:r>
    </w:p>
    <w:p w14:paraId="19F1B507" w14:textId="77777777" w:rsidR="005A1A44" w:rsidRDefault="0008059E">
      <w:pPr>
        <w:ind w:firstLine="480"/>
      </w:pPr>
      <w:r>
        <w:rPr>
          <w:rFonts w:hint="eastAsia"/>
        </w:rPr>
        <w:lastRenderedPageBreak/>
        <w:t>项目涉及河道疏浚，地基构筑物基础开发等，</w:t>
      </w:r>
      <w:r>
        <w:t>本项目河道疏浚在河槽内基本无水的条件下施工，采用明挖施工。根据同类型项目疏浚结果分析：本项目疏浚影响范围和影响程度不大，对</w:t>
      </w:r>
      <w:r>
        <w:rPr>
          <w:rFonts w:hint="eastAsia"/>
        </w:rPr>
        <w:t>和田</w:t>
      </w:r>
      <w:r>
        <w:t>河的水质影响较为有限。</w:t>
      </w:r>
    </w:p>
    <w:p w14:paraId="68BA87E9" w14:textId="77777777" w:rsidR="005A1A44" w:rsidRDefault="0008059E">
      <w:pPr>
        <w:ind w:firstLine="480"/>
      </w:pPr>
      <w:r>
        <w:rPr>
          <w:rFonts w:hint="eastAsia"/>
        </w:rPr>
        <w:t>拟建项目基坑废水主要为经常性排水，基坑经常性排水强度为</w:t>
      </w:r>
      <w:r>
        <w:rPr>
          <w:rFonts w:hint="eastAsia"/>
        </w:rPr>
        <w:t>2.5m</w:t>
      </w:r>
      <w:r>
        <w:rPr>
          <w:rFonts w:hint="eastAsia"/>
          <w:vertAlign w:val="superscript"/>
        </w:rPr>
        <w:t xml:space="preserve"> 3</w:t>
      </w:r>
      <w:r>
        <w:rPr>
          <w:rFonts w:hint="eastAsia"/>
        </w:rPr>
        <w:t xml:space="preserve"> /h</w:t>
      </w:r>
      <w:r>
        <w:rPr>
          <w:rFonts w:hint="eastAsia"/>
        </w:rPr>
        <w:t>，主要采用抽排的方式进行排水。由于工程施工期生产废水产生点较为分散，难以集中处理，在各施工场地临时修建沉淀池，临时沉淀池</w:t>
      </w:r>
      <w:r>
        <w:rPr>
          <w:rFonts w:hint="eastAsia"/>
        </w:rPr>
        <w:t>10</w:t>
      </w:r>
      <w:r>
        <w:rPr>
          <w:rFonts w:hint="eastAsia"/>
        </w:rPr>
        <w:t>～</w:t>
      </w:r>
      <w:r>
        <w:rPr>
          <w:rFonts w:hint="eastAsia"/>
        </w:rPr>
        <w:t>20m</w:t>
      </w:r>
      <w:r>
        <w:rPr>
          <w:rFonts w:hint="eastAsia"/>
          <w:vertAlign w:val="superscript"/>
        </w:rPr>
        <w:t>3</w:t>
      </w:r>
      <w:r>
        <w:rPr>
          <w:rFonts w:hint="eastAsia"/>
        </w:rPr>
        <w:t>不等，对生产废水分别进行沉淀处理，经过</w:t>
      </w:r>
      <w:r>
        <w:rPr>
          <w:rFonts w:hint="eastAsia"/>
        </w:rPr>
        <w:t>12</w:t>
      </w:r>
      <w:r>
        <w:rPr>
          <w:rFonts w:hint="eastAsia"/>
        </w:rPr>
        <w:t>小时以上沉淀处理后，废水中主要污染物</w:t>
      </w:r>
      <w:r>
        <w:rPr>
          <w:rFonts w:hint="eastAsia"/>
        </w:rPr>
        <w:t>SS</w:t>
      </w:r>
      <w:r>
        <w:rPr>
          <w:rFonts w:hint="eastAsia"/>
        </w:rPr>
        <w:t>可降至</w:t>
      </w:r>
      <w:r>
        <w:rPr>
          <w:rFonts w:hint="eastAsia"/>
        </w:rPr>
        <w:t>200mg/l</w:t>
      </w:r>
      <w:r>
        <w:rPr>
          <w:rFonts w:hint="eastAsia"/>
        </w:rPr>
        <w:t>以下，回用于砾料清洗、周围区域施工及道路降尘用水等。</w:t>
      </w:r>
    </w:p>
    <w:p w14:paraId="56FCE297" w14:textId="77777777" w:rsidR="005A1A44" w:rsidRDefault="0008059E">
      <w:pPr>
        <w:ind w:firstLine="480"/>
      </w:pPr>
      <w:r>
        <w:rPr>
          <w:rFonts w:hint="eastAsia"/>
        </w:rPr>
        <w:t>总体上，要求</w:t>
      </w:r>
      <w:r>
        <w:rPr>
          <w:rFonts w:hint="eastAsia"/>
          <w:color w:val="000000"/>
        </w:rPr>
        <w:t>以上各类污水处理后的污染物排放浓度达到《污水综合排放标准》（</w:t>
      </w:r>
      <w:r>
        <w:rPr>
          <w:rFonts w:hint="eastAsia"/>
          <w:color w:val="000000"/>
        </w:rPr>
        <w:t>GB8978-1996</w:t>
      </w:r>
      <w:r>
        <w:rPr>
          <w:rFonts w:hint="eastAsia"/>
          <w:color w:val="000000"/>
        </w:rPr>
        <w:t>）中二级标准后，</w:t>
      </w:r>
      <w:r>
        <w:rPr>
          <w:rFonts w:hint="eastAsia"/>
        </w:rPr>
        <w:t>回用于施工区降尘、绿化、车辆冲洗或混凝土拌合。此情况下，本工程可以实现废水的零排放，本项目建设不会对地表水产生影响。</w:t>
      </w:r>
    </w:p>
    <w:p w14:paraId="3E8D98BE" w14:textId="77777777" w:rsidR="005A1A44" w:rsidRDefault="0008059E">
      <w:pPr>
        <w:pStyle w:val="3"/>
        <w:numPr>
          <w:ilvl w:val="2"/>
          <w:numId w:val="2"/>
        </w:numPr>
      </w:pPr>
      <w:r>
        <w:rPr>
          <w:rFonts w:hint="eastAsia"/>
        </w:rPr>
        <w:t xml:space="preserve"> </w:t>
      </w:r>
      <w:r>
        <w:rPr>
          <w:rFonts w:hint="eastAsia"/>
        </w:rPr>
        <w:t>施工导流阶段影响分析</w:t>
      </w:r>
    </w:p>
    <w:p w14:paraId="59297B5A" w14:textId="77777777" w:rsidR="005A1A44" w:rsidRDefault="0008059E">
      <w:pPr>
        <w:ind w:firstLine="480"/>
      </w:pPr>
      <w:r>
        <w:rPr>
          <w:rFonts w:hint="eastAsia"/>
        </w:rPr>
        <w:t>项目采用枯水期导流，选择明渠导流方式。导流围堰堰体用土石混合料填筑，围堰施工将不可避免将少量泥沙带入下游河道，泥沙经过一段时间的沉积之后预计对下游河道产生的影响较小。</w:t>
      </w:r>
    </w:p>
    <w:p w14:paraId="276E0CBB" w14:textId="77777777" w:rsidR="005A1A44" w:rsidRDefault="0008059E">
      <w:pPr>
        <w:pStyle w:val="3"/>
        <w:numPr>
          <w:ilvl w:val="2"/>
          <w:numId w:val="2"/>
        </w:numPr>
      </w:pPr>
      <w:r>
        <w:rPr>
          <w:rFonts w:hint="eastAsia"/>
        </w:rPr>
        <w:t xml:space="preserve"> </w:t>
      </w:r>
      <w:r>
        <w:rPr>
          <w:rFonts w:hint="eastAsia"/>
        </w:rPr>
        <w:t>施工废水对饮用水水源保护区的影响分析</w:t>
      </w:r>
    </w:p>
    <w:p w14:paraId="43EB1E07" w14:textId="77777777" w:rsidR="005A1A44" w:rsidRDefault="0008059E">
      <w:pPr>
        <w:ind w:firstLine="480"/>
      </w:pPr>
      <w:r>
        <w:rPr>
          <w:rFonts w:hint="eastAsia"/>
        </w:rPr>
        <w:t>项目区内分布有城镇集中式饮用水水源地，和田市玉河东部一乡一镇水厂水源地（地下水）二级保护区（占地</w:t>
      </w:r>
      <w:r>
        <w:rPr>
          <w:rFonts w:hint="eastAsia"/>
        </w:rPr>
        <w:t>170.62hm</w:t>
      </w:r>
      <w:r>
        <w:rPr>
          <w:rFonts w:hint="eastAsia"/>
          <w:vertAlign w:val="superscript"/>
        </w:rPr>
        <w:t>2</w:t>
      </w:r>
      <w:r>
        <w:rPr>
          <w:rFonts w:hint="eastAsia"/>
        </w:rPr>
        <w:t>）、和田市吐沙拉乡厂水源地（地下水）二级保护区（占地</w:t>
      </w:r>
      <w:r>
        <w:rPr>
          <w:rFonts w:hint="eastAsia"/>
        </w:rPr>
        <w:t>180.12hm</w:t>
      </w:r>
      <w:r>
        <w:rPr>
          <w:rFonts w:hint="eastAsia"/>
          <w:vertAlign w:val="superscript"/>
        </w:rPr>
        <w:t>2</w:t>
      </w:r>
      <w:r>
        <w:rPr>
          <w:rFonts w:hint="eastAsia"/>
        </w:rPr>
        <w:t>）、和田市伊里其水厂水源地二级保护区（占地</w:t>
      </w:r>
      <w:r>
        <w:rPr>
          <w:rFonts w:hint="eastAsia"/>
        </w:rPr>
        <w:t>113.74hm</w:t>
      </w:r>
      <w:r>
        <w:rPr>
          <w:rFonts w:hint="eastAsia"/>
          <w:vertAlign w:val="superscript"/>
        </w:rPr>
        <w:t>2</w:t>
      </w:r>
      <w:r>
        <w:rPr>
          <w:rFonts w:hint="eastAsia"/>
        </w:rPr>
        <w:t>）、洛浦县西片区三乡联合水厂地下水源地二级保护区（占地</w:t>
      </w:r>
      <w:r>
        <w:rPr>
          <w:rFonts w:hint="eastAsia"/>
        </w:rPr>
        <w:t>207.89hm</w:t>
      </w:r>
      <w:r>
        <w:rPr>
          <w:rFonts w:hint="eastAsia"/>
          <w:vertAlign w:val="superscript"/>
        </w:rPr>
        <w:t>2</w:t>
      </w:r>
      <w:r>
        <w:rPr>
          <w:rFonts w:hint="eastAsia"/>
        </w:rPr>
        <w:t>）。</w:t>
      </w:r>
    </w:p>
    <w:p w14:paraId="2DEBBFF2" w14:textId="77777777" w:rsidR="005A1A44" w:rsidRDefault="0008059E">
      <w:pPr>
        <w:ind w:firstLine="480"/>
      </w:pPr>
      <w:r>
        <w:rPr>
          <w:rFonts w:hint="eastAsia"/>
        </w:rPr>
        <w:t>项目实施过程中应严格遵守《中华人民共和国水污染防治法》，禁止对水源水质产生不利影响的建设活动，在此基础上，本项目符合其准入条件要求。</w:t>
      </w:r>
    </w:p>
    <w:p w14:paraId="482F72BE" w14:textId="77777777" w:rsidR="005A1A44" w:rsidRDefault="0008059E">
      <w:pPr>
        <w:pStyle w:val="3"/>
        <w:numPr>
          <w:ilvl w:val="2"/>
          <w:numId w:val="2"/>
        </w:numPr>
      </w:pPr>
      <w:r>
        <w:rPr>
          <w:rFonts w:hint="eastAsia"/>
        </w:rPr>
        <w:lastRenderedPageBreak/>
        <w:t xml:space="preserve"> </w:t>
      </w:r>
      <w:r>
        <w:rPr>
          <w:rFonts w:hint="eastAsia"/>
        </w:rPr>
        <w:t>施工期对和田河水文情势的影响分析</w:t>
      </w:r>
    </w:p>
    <w:p w14:paraId="5F51B5F8" w14:textId="77777777" w:rsidR="005A1A44" w:rsidRDefault="0008059E">
      <w:pPr>
        <w:ind w:firstLine="480"/>
      </w:pPr>
      <w:r>
        <w:rPr>
          <w:rFonts w:hint="eastAsia"/>
        </w:rPr>
        <w:t>工程建设对主河道比降没有改变，只是对岸坡作了稳定安全治理，对河道按照其合理的稳定河槽宽度来进行整治和疏浚。河道岸线由原来天然状态变为人工护堤，河道主流更加稳定，使得洪水宣泄更加顺畅，减少了对防洪堤护坡的冲击和淘刷，稳定了河势，但同时水流挟砂能力的提高，又加剧了对河床的冲刷，逐步使河床趋于稳定并达到新的冲淤平衡。</w:t>
      </w:r>
    </w:p>
    <w:p w14:paraId="5CBEC7DB" w14:textId="77777777" w:rsidR="005A1A44" w:rsidRDefault="0008059E">
      <w:pPr>
        <w:ind w:firstLine="480"/>
      </w:pPr>
      <w:r>
        <w:rPr>
          <w:rFonts w:hint="eastAsia"/>
        </w:rPr>
        <w:t>综上所述，本工程的建设对和田河水文情势的变化属于有利影响。</w:t>
      </w:r>
    </w:p>
    <w:p w14:paraId="1E05F174" w14:textId="77777777" w:rsidR="005A1A44" w:rsidRDefault="0008059E">
      <w:pPr>
        <w:pStyle w:val="3"/>
        <w:numPr>
          <w:ilvl w:val="2"/>
          <w:numId w:val="2"/>
        </w:numPr>
      </w:pPr>
      <w:r>
        <w:rPr>
          <w:rFonts w:hint="eastAsia"/>
        </w:rPr>
        <w:t xml:space="preserve"> </w:t>
      </w:r>
      <w:r>
        <w:rPr>
          <w:rFonts w:hint="eastAsia"/>
        </w:rPr>
        <w:t>底泥堆场余水对水环境影响分析</w:t>
      </w:r>
    </w:p>
    <w:p w14:paraId="650CC143" w14:textId="77777777" w:rsidR="005A1A44" w:rsidRDefault="0008059E">
      <w:pPr>
        <w:ind w:firstLine="480"/>
      </w:pPr>
      <w:r>
        <w:t>本项目河道疏浚</w:t>
      </w:r>
      <w:r>
        <w:rPr>
          <w:rFonts w:hint="eastAsia"/>
        </w:rPr>
        <w:t>是在</w:t>
      </w:r>
      <w:r>
        <w:t>河道内无水的情况下开挖，开挖</w:t>
      </w:r>
      <w:r>
        <w:rPr>
          <w:rFonts w:hint="eastAsia"/>
        </w:rPr>
        <w:t>出的主要为砂砾石料</w:t>
      </w:r>
      <w:r>
        <w:t>，</w:t>
      </w:r>
      <w:r>
        <w:rPr>
          <w:rFonts w:hint="eastAsia"/>
        </w:rPr>
        <w:t>因基本不存在污染，可以直接用于本工程土方回填，在未使用前需</w:t>
      </w:r>
      <w:r>
        <w:t>运至底泥堆</w:t>
      </w:r>
      <w:r>
        <w:rPr>
          <w:rFonts w:hint="eastAsia"/>
        </w:rPr>
        <w:t>渣场进行堆存</w:t>
      </w:r>
      <w:r>
        <w:t>，</w:t>
      </w:r>
      <w:r>
        <w:rPr>
          <w:rFonts w:hint="eastAsia"/>
        </w:rPr>
        <w:t>在堆存过程中</w:t>
      </w:r>
      <w:r>
        <w:t>会产生少量余水及经雨水淋溶后将产生淋溶水</w:t>
      </w:r>
      <w:r>
        <w:rPr>
          <w:rFonts w:hint="eastAsia"/>
        </w:rPr>
        <w:t>，经类比，此部分余水产生量约</w:t>
      </w:r>
      <w:r>
        <w:rPr>
          <w:rFonts w:hint="eastAsia"/>
        </w:rPr>
        <w:t>0.2</w:t>
      </w:r>
      <w:r>
        <w:rPr>
          <w:rFonts w:hint="eastAsia"/>
        </w:rPr>
        <w:t>万</w:t>
      </w:r>
      <w:r>
        <w:rPr>
          <w:rFonts w:hint="eastAsia"/>
        </w:rPr>
        <w:t>m</w:t>
      </w:r>
      <w:r>
        <w:rPr>
          <w:rFonts w:hint="eastAsia"/>
          <w:vertAlign w:val="superscript"/>
        </w:rPr>
        <w:t>3</w:t>
      </w:r>
      <w:r>
        <w:t>，此部分水中主要污染物为悬浮物，</w:t>
      </w:r>
      <w:r>
        <w:rPr>
          <w:rFonts w:hint="eastAsia"/>
        </w:rPr>
        <w:t>可收集至施工区沉淀池，经沉淀处理达到回用标准后用于周边区域洒水降尘、绿化、冲洗车辆或混凝土拌合</w:t>
      </w:r>
      <w:r>
        <w:t>。</w:t>
      </w:r>
    </w:p>
    <w:p w14:paraId="355F042D" w14:textId="77777777" w:rsidR="005A1A44" w:rsidRDefault="0008059E">
      <w:pPr>
        <w:pStyle w:val="2"/>
        <w:numPr>
          <w:ilvl w:val="1"/>
          <w:numId w:val="2"/>
        </w:numPr>
      </w:pPr>
      <w:r>
        <w:rPr>
          <w:rFonts w:hint="eastAsia"/>
        </w:rPr>
        <w:t xml:space="preserve"> </w:t>
      </w:r>
      <w:bookmarkStart w:id="187" w:name="_Toc831_WPSOffice_Level2"/>
      <w:bookmarkStart w:id="188" w:name="_Toc12591_WPSOffice_Level2"/>
      <w:r>
        <w:rPr>
          <w:rFonts w:hint="eastAsia"/>
        </w:rPr>
        <w:t>地下水环境影响评价</w:t>
      </w:r>
      <w:bookmarkEnd w:id="187"/>
      <w:bookmarkEnd w:id="188"/>
    </w:p>
    <w:p w14:paraId="19300E36" w14:textId="77777777" w:rsidR="005A1A44" w:rsidRDefault="0008059E">
      <w:pPr>
        <w:ind w:firstLine="480"/>
      </w:pPr>
      <w:r>
        <w:rPr>
          <w:rFonts w:hint="eastAsia"/>
        </w:rPr>
        <w:t>（</w:t>
      </w:r>
      <w:r>
        <w:rPr>
          <w:rFonts w:hint="eastAsia"/>
        </w:rPr>
        <w:t>1</w:t>
      </w:r>
      <w:r>
        <w:rPr>
          <w:rFonts w:hint="eastAsia"/>
        </w:rPr>
        <w:t>）地下水水文地质情况</w:t>
      </w:r>
    </w:p>
    <w:p w14:paraId="639DFB9E" w14:textId="77777777" w:rsidR="005A1A44" w:rsidRDefault="0008059E">
      <w:pPr>
        <w:ind w:firstLine="480"/>
      </w:pPr>
      <w:r>
        <w:rPr>
          <w:rFonts w:hint="eastAsia"/>
        </w:rPr>
        <w:t>根据项目可研阶段的地勘资料，工程区地表为第四系松散沉积物，地下水类型主要为孔隙潜水和孔隙承压水，孔隙潜水主要分布于浅部粘性土层中，孔隙承压水主要赋存于下部砂层、砂砾石层及含砂砾卵石层中。地下水位受地表水及大气降水的补给，随季节变化明显，汛期河水位高，地下水向远离河流方向运动，枯水期则反之，玉龙喀什河底为其排泄基准面。</w:t>
      </w:r>
    </w:p>
    <w:p w14:paraId="3ECAB99C" w14:textId="77777777" w:rsidR="005A1A44" w:rsidRDefault="0008059E">
      <w:pPr>
        <w:ind w:firstLine="480"/>
      </w:pPr>
      <w:r>
        <w:rPr>
          <w:rFonts w:hint="eastAsia"/>
        </w:rPr>
        <w:t>（</w:t>
      </w:r>
      <w:r>
        <w:rPr>
          <w:rFonts w:hint="eastAsia"/>
        </w:rPr>
        <w:t>2</w:t>
      </w:r>
      <w:r>
        <w:rPr>
          <w:rFonts w:hint="eastAsia"/>
        </w:rPr>
        <w:t>）对地下水补泄条件的影响</w:t>
      </w:r>
    </w:p>
    <w:p w14:paraId="023F6E04" w14:textId="77777777" w:rsidR="005A1A44" w:rsidRDefault="0008059E">
      <w:pPr>
        <w:ind w:firstLine="480"/>
      </w:pPr>
      <w:r>
        <w:t>根据本工程施工条件和地下水补给、排泄条件，本项目施工期</w:t>
      </w:r>
      <w:r>
        <w:rPr>
          <w:rFonts w:hint="eastAsia"/>
        </w:rPr>
        <w:t>拟建项目为明挖，河道疏浚、防洪堤建设的基础开挖均会对含水层产生影响，但</w:t>
      </w:r>
      <w:r>
        <w:t>出现突水、涌泥可能</w:t>
      </w:r>
      <w:r>
        <w:lastRenderedPageBreak/>
        <w:t>性不大，局部可能出现小股流水，不会造成区域地下水系统的失衡，对地下水水位的影响范围较小</w:t>
      </w:r>
      <w:r>
        <w:rPr>
          <w:rFonts w:hint="eastAsia"/>
        </w:rPr>
        <w:t>，且疏浚工和堤防工程施工完成后影响即消失。</w:t>
      </w:r>
    </w:p>
    <w:p w14:paraId="566C48D9" w14:textId="77777777" w:rsidR="005A1A44" w:rsidRDefault="0008059E">
      <w:pPr>
        <w:ind w:firstLine="480"/>
      </w:pPr>
      <w:r>
        <w:rPr>
          <w:rFonts w:hint="eastAsia"/>
        </w:rPr>
        <w:t>（</w:t>
      </w:r>
      <w:r>
        <w:rPr>
          <w:rFonts w:hint="eastAsia"/>
        </w:rPr>
        <w:t>2</w:t>
      </w:r>
      <w:r>
        <w:rPr>
          <w:rFonts w:hint="eastAsia"/>
        </w:rPr>
        <w:t>）废水排放对地下水环境影响分析</w:t>
      </w:r>
    </w:p>
    <w:p w14:paraId="13338BEC" w14:textId="77777777" w:rsidR="005A1A44" w:rsidRDefault="0008059E">
      <w:pPr>
        <w:ind w:firstLine="480"/>
      </w:pPr>
      <w:r>
        <w:rPr>
          <w:rFonts w:hint="eastAsia"/>
        </w:rPr>
        <w:t>本项目施工期废水主要为施工废水和生活污水，施工废水主要回用于工程建设，生活污水经化粪池处理后接入市政排水管网，由城市污水处理厂进行处理。废水排放不会对地下水环境产生影响。</w:t>
      </w:r>
    </w:p>
    <w:p w14:paraId="3B8B941B" w14:textId="77777777" w:rsidR="005A1A44" w:rsidRDefault="0008059E">
      <w:pPr>
        <w:ind w:firstLine="480"/>
      </w:pPr>
      <w:r>
        <w:rPr>
          <w:rFonts w:hint="eastAsia"/>
        </w:rPr>
        <w:t>（</w:t>
      </w:r>
      <w:r>
        <w:rPr>
          <w:rFonts w:hint="eastAsia"/>
        </w:rPr>
        <w:t>3</w:t>
      </w:r>
      <w:r>
        <w:rPr>
          <w:rFonts w:hint="eastAsia"/>
        </w:rPr>
        <w:t>）弃渣堆放对地下水环境的影响</w:t>
      </w:r>
    </w:p>
    <w:p w14:paraId="74BDB290" w14:textId="77777777" w:rsidR="005A1A44" w:rsidRDefault="0008059E">
      <w:pPr>
        <w:ind w:firstLine="480"/>
      </w:pPr>
      <w:r>
        <w:t>本项目清淤采取的为河道无水条件下干化机械清淤方式，清除出来的淤泥含水量较低</w:t>
      </w:r>
      <w:r>
        <w:rPr>
          <w:rFonts w:hint="eastAsia"/>
        </w:rPr>
        <w:t>，</w:t>
      </w:r>
      <w:r>
        <w:t>开挖</w:t>
      </w:r>
      <w:r>
        <w:rPr>
          <w:rFonts w:hint="eastAsia"/>
        </w:rPr>
        <w:t>出的主要为砂砾石料</w:t>
      </w:r>
      <w:r>
        <w:t>，</w:t>
      </w:r>
      <w:r>
        <w:rPr>
          <w:rFonts w:hint="eastAsia"/>
        </w:rPr>
        <w:t>经检测不存在污染，可以直接用于本工程土方回填，在未使用前需</w:t>
      </w:r>
      <w:r>
        <w:t>运至底泥堆</w:t>
      </w:r>
      <w:r>
        <w:rPr>
          <w:rFonts w:hint="eastAsia"/>
        </w:rPr>
        <w:t>渣场进行堆存</w:t>
      </w:r>
      <w:r>
        <w:t>，</w:t>
      </w:r>
      <w:r>
        <w:rPr>
          <w:rFonts w:hint="eastAsia"/>
        </w:rPr>
        <w:t>在堆存过程中</w:t>
      </w:r>
      <w:r>
        <w:t>会产生少量余水及经雨水淋溶后将产生淋溶水中主要污染物为悬浮物，</w:t>
      </w:r>
      <w:r>
        <w:rPr>
          <w:rFonts w:hint="eastAsia"/>
        </w:rPr>
        <w:t>可收集至施工区沉淀池，经沉淀处理达到回用标准后用于周边区域洒水降尘、绿化、冲洗车辆或混凝土拌合，不会对地下水环境产生较大不利影响。</w:t>
      </w:r>
    </w:p>
    <w:p w14:paraId="2C782797" w14:textId="77777777" w:rsidR="005A1A44" w:rsidRDefault="0008059E">
      <w:pPr>
        <w:pStyle w:val="2"/>
        <w:numPr>
          <w:ilvl w:val="1"/>
          <w:numId w:val="2"/>
        </w:numPr>
      </w:pPr>
      <w:bookmarkStart w:id="189" w:name="_Toc14595_WPSOffice_Level2"/>
      <w:bookmarkStart w:id="190" w:name="_Toc465790237"/>
      <w:r>
        <w:rPr>
          <w:rFonts w:hint="eastAsia"/>
        </w:rPr>
        <w:t xml:space="preserve"> </w:t>
      </w:r>
      <w:bookmarkStart w:id="191" w:name="_Toc900_WPSOffice_Level2"/>
      <w:bookmarkStart w:id="192" w:name="_Toc10922_WPSOffice_Level2"/>
      <w:r>
        <w:rPr>
          <w:rFonts w:hint="eastAsia"/>
        </w:rPr>
        <w:t>施工期环境噪声影响评价</w:t>
      </w:r>
      <w:bookmarkEnd w:id="189"/>
      <w:bookmarkEnd w:id="190"/>
      <w:bookmarkEnd w:id="191"/>
      <w:bookmarkEnd w:id="192"/>
    </w:p>
    <w:p w14:paraId="18938747" w14:textId="77777777" w:rsidR="005A1A44" w:rsidRDefault="0008059E">
      <w:pPr>
        <w:pStyle w:val="3"/>
        <w:numPr>
          <w:ilvl w:val="2"/>
          <w:numId w:val="2"/>
        </w:numPr>
      </w:pPr>
      <w:r>
        <w:rPr>
          <w:rFonts w:hint="eastAsia"/>
        </w:rPr>
        <w:t xml:space="preserve"> </w:t>
      </w:r>
      <w:r>
        <w:rPr>
          <w:rFonts w:hint="eastAsia"/>
        </w:rPr>
        <w:t>施工噪声影响预测</w:t>
      </w:r>
    </w:p>
    <w:p w14:paraId="6EB963D7" w14:textId="77777777" w:rsidR="005A1A44" w:rsidRDefault="0008059E">
      <w:pPr>
        <w:ind w:firstLine="480"/>
      </w:pPr>
      <w:r>
        <w:t>（</w:t>
      </w:r>
      <w:r>
        <w:t>1</w:t>
      </w:r>
      <w:r>
        <w:t>）噪声源</w:t>
      </w:r>
    </w:p>
    <w:p w14:paraId="59382005" w14:textId="77777777" w:rsidR="005A1A44" w:rsidRDefault="0008059E">
      <w:pPr>
        <w:ind w:firstLine="480"/>
      </w:pPr>
      <w:r>
        <w:t>预测分析施工期噪声的影响程度和范围。噪声是施工期主要的污染因子，施工期噪声污染源主要为各种施工作业机械，如挖掘机、推土机等都是噪声源。由工程分析得到主要施工机械的噪声源强见表</w:t>
      </w:r>
      <w:r>
        <w:rPr>
          <w:rFonts w:hint="eastAsia"/>
        </w:rPr>
        <w:t>5.4-1</w:t>
      </w:r>
      <w:r>
        <w:t>。</w:t>
      </w:r>
    </w:p>
    <w:p w14:paraId="593155D4" w14:textId="77777777" w:rsidR="005A1A44" w:rsidRDefault="0008059E">
      <w:pPr>
        <w:ind w:firstLine="480"/>
      </w:pPr>
      <w:r>
        <w:t>（</w:t>
      </w:r>
      <w:r>
        <w:t>2</w:t>
      </w:r>
      <w:r>
        <w:t>）预测模式</w:t>
      </w:r>
    </w:p>
    <w:p w14:paraId="54B68313" w14:textId="77777777" w:rsidR="005A1A44" w:rsidRDefault="0008059E">
      <w:pPr>
        <w:ind w:firstLine="480"/>
      </w:pPr>
      <w:r>
        <w:t>施工噪声源可视为点声源。根据点声源噪声衰减模式，可估算出施工期间距声源不同距离处的噪声值。预测模式如下：</w:t>
      </w:r>
    </w:p>
    <w:p w14:paraId="78CF60AB" w14:textId="77777777" w:rsidR="005A1A44" w:rsidRDefault="0008059E">
      <w:pPr>
        <w:ind w:firstLineChars="0" w:firstLine="0"/>
        <w:jc w:val="center"/>
      </w:pPr>
      <w:r w:rsidRPr="00BE76A0">
        <w:rPr>
          <w:color w:val="000000"/>
          <w:position w:val="-30"/>
        </w:rPr>
        <w:object w:dxaOrig="2762" w:dyaOrig="749" w14:anchorId="0A4C1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8.75pt;height:37.5pt" o:ole="" fillcolor="#6d6d6d">
            <v:imagedata r:id="rId37" o:title=""/>
          </v:shape>
          <o:OLEObject Type="Embed" ProgID="Equations" ShapeID="_x0000_i1027" DrawAspect="Content" ObjectID="_1801299047" r:id="rId38"/>
        </w:object>
      </w:r>
    </w:p>
    <w:p w14:paraId="46BC681F" w14:textId="77777777" w:rsidR="005A1A44" w:rsidRDefault="0008059E">
      <w:pPr>
        <w:ind w:firstLine="480"/>
      </w:pPr>
      <w:r>
        <w:t>式中：</w:t>
      </w:r>
      <w:r w:rsidRPr="00BE76A0">
        <w:rPr>
          <w:color w:val="000000"/>
          <w:position w:val="-14"/>
        </w:rPr>
        <w:object w:dxaOrig="362" w:dyaOrig="379" w14:anchorId="23CC99F4">
          <v:shape id="_x0000_i1028" type="#_x0000_t75" style="width:18.75pt;height:18.75pt" o:ole="">
            <v:imagedata r:id="rId39" o:title=""/>
          </v:shape>
          <o:OLEObject Type="Embed" ProgID="Equation.DSMT4" ShapeID="_x0000_i1028" DrawAspect="Content" ObjectID="_1801299048" r:id="rId40"/>
        </w:object>
      </w:r>
      <w:r>
        <w:t>—</w:t>
      </w:r>
      <w:r>
        <w:t>参考位置</w:t>
      </w:r>
      <w:r w:rsidRPr="00BE76A0">
        <w:rPr>
          <w:color w:val="000000"/>
          <w:position w:val="-14"/>
        </w:rPr>
        <w:object w:dxaOrig="219" w:dyaOrig="379" w14:anchorId="7B3AD9CA">
          <v:shape id="_x0000_i1029" type="#_x0000_t75" style="width:10.5pt;height:18.75pt" o:ole="">
            <v:imagedata r:id="rId41" o:title=""/>
          </v:shape>
          <o:OLEObject Type="Embed" ProgID="Equation.DSMT4" ShapeID="_x0000_i1029" DrawAspect="Content" ObjectID="_1801299049" r:id="rId42"/>
        </w:object>
      </w:r>
      <w:r>
        <w:t>处的声级</w:t>
      </w:r>
      <w:r>
        <w:t>,dB(A)</w:t>
      </w:r>
      <w:r>
        <w:t>；</w:t>
      </w:r>
    </w:p>
    <w:p w14:paraId="44F34B99" w14:textId="77777777" w:rsidR="005A1A44" w:rsidRDefault="0008059E">
      <w:pPr>
        <w:ind w:firstLine="480"/>
      </w:pPr>
      <w:r w:rsidRPr="00BE76A0">
        <w:rPr>
          <w:color w:val="000000"/>
          <w:position w:val="-4"/>
        </w:rPr>
        <w:object w:dxaOrig="177" w:dyaOrig="202" w14:anchorId="1BC20469">
          <v:shape id="_x0000_i1030" type="#_x0000_t75" style="width:8.25pt;height:10.5pt" o:ole="">
            <v:imagedata r:id="rId43" o:title=""/>
          </v:shape>
          <o:OLEObject Type="Embed" ProgID="Equation.DSMT4" ShapeID="_x0000_i1030" DrawAspect="Content" ObjectID="_1801299050" r:id="rId44"/>
        </w:object>
      </w:r>
      <w:r>
        <w:t>—</w:t>
      </w:r>
      <w:r>
        <w:t>预测点与声源之间的距离，</w:t>
      </w:r>
      <w:r>
        <w:t>m</w:t>
      </w:r>
      <w:r>
        <w:t>；</w:t>
      </w:r>
    </w:p>
    <w:p w14:paraId="44A7FA5C" w14:textId="77777777" w:rsidR="005A1A44" w:rsidRDefault="0008059E">
      <w:pPr>
        <w:ind w:firstLine="480"/>
      </w:pPr>
      <w:r w:rsidRPr="00BE76A0">
        <w:rPr>
          <w:color w:val="000000"/>
          <w:position w:val="-14"/>
        </w:rPr>
        <w:object w:dxaOrig="219" w:dyaOrig="379" w14:anchorId="7D2FE484">
          <v:shape id="_x0000_i1031" type="#_x0000_t75" style="width:10.5pt;height:18.75pt" o:ole="">
            <v:imagedata r:id="rId41" o:title=""/>
          </v:shape>
          <o:OLEObject Type="Embed" ProgID="Equation.DSMT4" ShapeID="_x0000_i1031" DrawAspect="Content" ObjectID="_1801299051" r:id="rId45"/>
        </w:object>
      </w:r>
      <w:r>
        <w:t>—</w:t>
      </w:r>
      <w:r>
        <w:t>参考声处与点声源之间的距离，</w:t>
      </w:r>
      <w:r>
        <w:t>m</w:t>
      </w:r>
      <w:r>
        <w:t>；</w:t>
      </w:r>
    </w:p>
    <w:p w14:paraId="7B3C63B9" w14:textId="77777777" w:rsidR="005A1A44" w:rsidRDefault="0008059E">
      <w:pPr>
        <w:ind w:firstLine="480"/>
      </w:pPr>
      <w:r w:rsidRPr="00BE76A0">
        <w:rPr>
          <w:color w:val="000000"/>
          <w:position w:val="-4"/>
        </w:rPr>
        <w:object w:dxaOrig="362" w:dyaOrig="261" w14:anchorId="315E9AE2">
          <v:shape id="_x0000_i1032" type="#_x0000_t75" style="width:18.75pt;height:13.5pt" o:ole="">
            <v:imagedata r:id="rId46" o:title=""/>
          </v:shape>
          <o:OLEObject Type="Embed" ProgID="Equation.DSMT4" ShapeID="_x0000_i1032" DrawAspect="Content" ObjectID="_1801299052" r:id="rId47"/>
        </w:object>
      </w:r>
      <w:r>
        <w:t>—</w:t>
      </w:r>
      <w:r>
        <w:t>附加衰减量。</w:t>
      </w:r>
    </w:p>
    <w:p w14:paraId="56CABB46" w14:textId="77777777" w:rsidR="005A1A44" w:rsidRDefault="0008059E">
      <w:pPr>
        <w:ind w:firstLine="480"/>
      </w:pPr>
      <w:r>
        <w:t>各类施工机械在不同距离外的噪声值预测结果见表</w:t>
      </w:r>
      <w:r>
        <w:rPr>
          <w:rFonts w:hint="eastAsia"/>
        </w:rPr>
        <w:t>5</w:t>
      </w:r>
      <w:r>
        <w:t>.</w:t>
      </w:r>
      <w:r>
        <w:rPr>
          <w:rFonts w:hint="eastAsia"/>
        </w:rPr>
        <w:t>4</w:t>
      </w:r>
      <w:r>
        <w:t>-</w:t>
      </w:r>
      <w:r>
        <w:rPr>
          <w:rFonts w:hint="eastAsia"/>
        </w:rPr>
        <w:t>1</w:t>
      </w:r>
      <w:r>
        <w:t>。</w:t>
      </w:r>
    </w:p>
    <w:p w14:paraId="3A7F4B11" w14:textId="77777777" w:rsidR="005A1A44" w:rsidRDefault="0008059E">
      <w:pPr>
        <w:widowControl/>
        <w:spacing w:after="240"/>
        <w:ind w:firstLine="480"/>
        <w:jc w:val="left"/>
        <w:rPr>
          <w:rFonts w:ascii="宋体" w:eastAsia="宋体" w:hAnsi="宋体" w:cs="宋体" w:hint="eastAsia"/>
          <w:kern w:val="0"/>
        </w:rPr>
      </w:pPr>
      <w:r>
        <w:rPr>
          <w:rFonts w:ascii="宋体" w:eastAsia="宋体" w:hAnsi="宋体" w:cs="宋体"/>
          <w:kern w:val="0"/>
        </w:rPr>
        <w:t>根据工程区环境特点和影响对象</w:t>
      </w:r>
      <w:r>
        <w:rPr>
          <w:rFonts w:ascii="宋体" w:eastAsia="宋体" w:hAnsi="宋体" w:cs="宋体" w:hint="eastAsia"/>
          <w:kern w:val="0"/>
        </w:rPr>
        <w:t>，</w:t>
      </w:r>
      <w:r>
        <w:rPr>
          <w:rFonts w:ascii="宋体" w:eastAsia="宋体" w:hAnsi="宋体" w:cs="宋体"/>
          <w:kern w:val="0"/>
        </w:rPr>
        <w:t>分别计算达到《建筑施工厂界环境噪声排</w:t>
      </w:r>
      <w:r>
        <w:rPr>
          <w:rFonts w:ascii="宋体" w:eastAsia="宋体" w:hAnsi="宋体" w:cs="宋体"/>
          <w:kern w:val="0"/>
        </w:rPr>
        <w:br/>
        <w:t>放标准》(GB12523-2011)昼间75dB(A)和夜间55dB(A)标准</w:t>
      </w:r>
      <w:r>
        <w:rPr>
          <w:rFonts w:ascii="宋体" w:eastAsia="宋体" w:hAnsi="宋体" w:cs="宋体" w:hint="eastAsia"/>
          <w:kern w:val="0"/>
        </w:rPr>
        <w:t>，</w:t>
      </w:r>
      <w:r>
        <w:rPr>
          <w:rFonts w:ascii="宋体" w:eastAsia="宋体" w:hAnsi="宋体" w:cs="宋体"/>
          <w:kern w:val="0"/>
        </w:rPr>
        <w:t>以及《声环境质量</w:t>
      </w:r>
      <w:r>
        <w:rPr>
          <w:rFonts w:ascii="宋体" w:eastAsia="宋体" w:hAnsi="宋体" w:cs="宋体"/>
          <w:kern w:val="0"/>
        </w:rPr>
        <w:br/>
        <w:t>标准》(GB3096-2008)中3类昼间65dB(A)和夜间55dB(A)标准的衰减距离</w:t>
      </w:r>
      <w:r>
        <w:rPr>
          <w:rFonts w:ascii="宋体" w:eastAsia="宋体" w:hAnsi="宋体" w:cs="宋体" w:hint="eastAsia"/>
          <w:kern w:val="0"/>
        </w:rPr>
        <w:t>，</w:t>
      </w:r>
      <w:r>
        <w:rPr>
          <w:rFonts w:ascii="宋体" w:eastAsia="宋体" w:hAnsi="宋体" w:cs="宋体"/>
          <w:kern w:val="0"/>
        </w:rPr>
        <w:t>见表5</w:t>
      </w:r>
      <w:r>
        <w:rPr>
          <w:rFonts w:ascii="宋体" w:eastAsia="宋体" w:hAnsi="宋体" w:cs="宋体" w:hint="eastAsia"/>
          <w:kern w:val="0"/>
        </w:rPr>
        <w:t>.</w:t>
      </w:r>
      <w:r>
        <w:rPr>
          <w:rFonts w:ascii="宋体" w:eastAsia="宋体" w:hAnsi="宋体" w:cs="宋体"/>
          <w:kern w:val="0"/>
        </w:rPr>
        <w:t>4-1</w:t>
      </w:r>
      <w:r>
        <w:rPr>
          <w:rFonts w:ascii="宋体" w:eastAsia="宋体" w:hAnsi="宋体" w:cs="宋体" w:hint="eastAsia"/>
          <w:kern w:val="0"/>
        </w:rPr>
        <w:t>。</w:t>
      </w:r>
    </w:p>
    <w:p w14:paraId="406F8E76" w14:textId="77777777" w:rsidR="005A1A44" w:rsidRDefault="0008059E">
      <w:pPr>
        <w:widowControl/>
        <w:spacing w:after="240"/>
        <w:ind w:firstLine="480"/>
        <w:jc w:val="left"/>
        <w:rPr>
          <w:rFonts w:ascii="宋体" w:eastAsia="宋体" w:hAnsi="宋体" w:cs="宋体" w:hint="eastAsia"/>
          <w:kern w:val="0"/>
        </w:rPr>
      </w:pPr>
      <w:r>
        <w:rPr>
          <w:rFonts w:ascii="宋体" w:eastAsia="宋体" w:hAnsi="宋体" w:cs="宋体" w:hint="eastAsia"/>
          <w:kern w:val="0"/>
        </w:rPr>
        <w:t>（3）预测结果</w:t>
      </w:r>
    </w:p>
    <w:p w14:paraId="12B9230E" w14:textId="77777777" w:rsidR="005A1A44" w:rsidRDefault="0008059E">
      <w:pPr>
        <w:widowControl/>
        <w:spacing w:after="240"/>
        <w:ind w:firstLine="480"/>
        <w:jc w:val="left"/>
        <w:rPr>
          <w:rFonts w:ascii="宋体" w:eastAsia="宋体" w:hAnsi="宋体" w:cs="宋体" w:hint="eastAsia"/>
          <w:kern w:val="0"/>
        </w:rPr>
      </w:pPr>
      <w:r>
        <w:rPr>
          <w:rFonts w:ascii="宋体" w:eastAsia="宋体" w:hAnsi="宋体" w:cs="宋体" w:hint="eastAsia"/>
          <w:kern w:val="0"/>
        </w:rPr>
        <w:t>各类施工机械的不同距离处预测的噪声级别见表5.4-1。</w:t>
      </w:r>
    </w:p>
    <w:p w14:paraId="63828FEC" w14:textId="77777777" w:rsidR="005A1A44" w:rsidRDefault="0008059E">
      <w:pPr>
        <w:pStyle w:val="Char"/>
        <w:ind w:firstLineChars="0" w:firstLine="0"/>
        <w:jc w:val="center"/>
        <w:rPr>
          <w:rFonts w:ascii="黑体" w:eastAsia="黑体" w:hAnsi="黑体" w:cs="黑体" w:hint="eastAsia"/>
          <w:b w:val="0"/>
          <w:bCs/>
          <w:kern w:val="0"/>
          <w:sz w:val="24"/>
          <w:szCs w:val="24"/>
        </w:rPr>
      </w:pPr>
      <w:r>
        <w:rPr>
          <w:rFonts w:ascii="黑体" w:eastAsia="黑体" w:hAnsi="黑体" w:cs="黑体" w:hint="eastAsia"/>
          <w:b w:val="0"/>
          <w:bCs/>
          <w:kern w:val="0"/>
          <w:sz w:val="24"/>
          <w:szCs w:val="24"/>
        </w:rPr>
        <w:t>表5.4-1  距施工机械不同距离处的声级</w:t>
      </w:r>
    </w:p>
    <w:tbl>
      <w:tblPr>
        <w:tblStyle w:val="af"/>
        <w:tblW w:w="8850" w:type="dxa"/>
        <w:tblLayout w:type="fixed"/>
        <w:tblLook w:val="04A0" w:firstRow="1" w:lastRow="0" w:firstColumn="1" w:lastColumn="0" w:noHBand="0" w:noVBand="1"/>
      </w:tblPr>
      <w:tblGrid>
        <w:gridCol w:w="640"/>
        <w:gridCol w:w="1582"/>
        <w:gridCol w:w="757"/>
        <w:gridCol w:w="993"/>
        <w:gridCol w:w="993"/>
        <w:gridCol w:w="993"/>
        <w:gridCol w:w="993"/>
        <w:gridCol w:w="993"/>
        <w:gridCol w:w="906"/>
      </w:tblGrid>
      <w:tr w:rsidR="005A1A44" w14:paraId="5CA6BACB" w14:textId="77777777">
        <w:trPr>
          <w:trHeight w:val="442"/>
        </w:trPr>
        <w:tc>
          <w:tcPr>
            <w:tcW w:w="640" w:type="dxa"/>
            <w:vMerge w:val="restart"/>
            <w:vAlign w:val="center"/>
          </w:tcPr>
          <w:p w14:paraId="22D847A6"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序号</w:t>
            </w:r>
          </w:p>
        </w:tc>
        <w:tc>
          <w:tcPr>
            <w:tcW w:w="1582" w:type="dxa"/>
            <w:vMerge w:val="restart"/>
            <w:vAlign w:val="center"/>
          </w:tcPr>
          <w:p w14:paraId="5E4168E5" w14:textId="77777777" w:rsidR="005A1A44" w:rsidRDefault="005A1A44">
            <w:pPr>
              <w:pStyle w:val="Char"/>
              <w:spacing w:line="240" w:lineRule="auto"/>
              <w:ind w:firstLineChars="0" w:firstLine="0"/>
              <w:jc w:val="center"/>
              <w:rPr>
                <w:rFonts w:ascii="宋体" w:eastAsia="宋体" w:hAnsi="宋体" w:cs="宋体" w:hint="eastAsia"/>
                <w:b w:val="0"/>
                <w:bCs/>
                <w:kern w:val="0"/>
                <w:sz w:val="21"/>
                <w:szCs w:val="21"/>
              </w:rPr>
            </w:pPr>
          </w:p>
          <w:p w14:paraId="0E61FEDF"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设备名称</w:t>
            </w:r>
          </w:p>
        </w:tc>
        <w:tc>
          <w:tcPr>
            <w:tcW w:w="6628" w:type="dxa"/>
            <w:gridSpan w:val="7"/>
            <w:vAlign w:val="center"/>
          </w:tcPr>
          <w:p w14:paraId="607B7725" w14:textId="77777777" w:rsidR="005A1A44" w:rsidRDefault="005A1A44">
            <w:pPr>
              <w:pStyle w:val="Char"/>
              <w:spacing w:line="240" w:lineRule="auto"/>
              <w:ind w:firstLineChars="0" w:firstLine="0"/>
              <w:jc w:val="center"/>
              <w:rPr>
                <w:rFonts w:ascii="宋体" w:eastAsia="宋体" w:hAnsi="宋体" w:cs="宋体" w:hint="eastAsia"/>
                <w:b w:val="0"/>
                <w:bCs/>
                <w:kern w:val="0"/>
                <w:sz w:val="21"/>
                <w:szCs w:val="21"/>
              </w:rPr>
            </w:pPr>
          </w:p>
          <w:p w14:paraId="7B96A0E0"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噪声级dB（A）</w:t>
            </w:r>
          </w:p>
        </w:tc>
      </w:tr>
      <w:tr w:rsidR="005A1A44" w14:paraId="43773586" w14:textId="77777777">
        <w:trPr>
          <w:trHeight w:val="436"/>
        </w:trPr>
        <w:tc>
          <w:tcPr>
            <w:tcW w:w="640" w:type="dxa"/>
            <w:vMerge/>
            <w:vAlign w:val="center"/>
          </w:tcPr>
          <w:p w14:paraId="0358DCAF" w14:textId="77777777" w:rsidR="005A1A44" w:rsidRDefault="005A1A44">
            <w:pPr>
              <w:pStyle w:val="Char"/>
              <w:spacing w:line="240" w:lineRule="auto"/>
              <w:ind w:firstLineChars="0" w:firstLine="0"/>
              <w:jc w:val="center"/>
              <w:rPr>
                <w:rFonts w:ascii="宋体" w:eastAsia="宋体" w:hAnsi="宋体" w:cs="宋体" w:hint="eastAsia"/>
                <w:b w:val="0"/>
                <w:bCs/>
                <w:kern w:val="0"/>
                <w:sz w:val="21"/>
                <w:szCs w:val="21"/>
              </w:rPr>
            </w:pPr>
          </w:p>
        </w:tc>
        <w:tc>
          <w:tcPr>
            <w:tcW w:w="1582" w:type="dxa"/>
            <w:vMerge/>
            <w:vAlign w:val="center"/>
          </w:tcPr>
          <w:p w14:paraId="0316DE60" w14:textId="77777777" w:rsidR="005A1A44" w:rsidRDefault="005A1A44">
            <w:pPr>
              <w:spacing w:line="240" w:lineRule="auto"/>
              <w:ind w:firstLineChars="0" w:firstLine="0"/>
              <w:jc w:val="center"/>
              <w:rPr>
                <w:rFonts w:ascii="宋体" w:eastAsia="宋体" w:hAnsi="宋体" w:cs="宋体" w:hint="eastAsia"/>
                <w:sz w:val="21"/>
                <w:szCs w:val="21"/>
              </w:rPr>
            </w:pPr>
          </w:p>
        </w:tc>
        <w:tc>
          <w:tcPr>
            <w:tcW w:w="757" w:type="dxa"/>
            <w:vAlign w:val="center"/>
          </w:tcPr>
          <w:p w14:paraId="1F5DB037"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5m</w:t>
            </w:r>
          </w:p>
        </w:tc>
        <w:tc>
          <w:tcPr>
            <w:tcW w:w="993" w:type="dxa"/>
            <w:vAlign w:val="center"/>
          </w:tcPr>
          <w:p w14:paraId="683DEF51"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10m</w:t>
            </w:r>
          </w:p>
        </w:tc>
        <w:tc>
          <w:tcPr>
            <w:tcW w:w="993" w:type="dxa"/>
            <w:vAlign w:val="center"/>
          </w:tcPr>
          <w:p w14:paraId="2B12F641"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40m</w:t>
            </w:r>
          </w:p>
        </w:tc>
        <w:tc>
          <w:tcPr>
            <w:tcW w:w="993" w:type="dxa"/>
            <w:vAlign w:val="center"/>
          </w:tcPr>
          <w:p w14:paraId="117DF0CF"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50m</w:t>
            </w:r>
          </w:p>
        </w:tc>
        <w:tc>
          <w:tcPr>
            <w:tcW w:w="993" w:type="dxa"/>
            <w:vAlign w:val="center"/>
          </w:tcPr>
          <w:p w14:paraId="278BFCD5"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100m</w:t>
            </w:r>
          </w:p>
        </w:tc>
        <w:tc>
          <w:tcPr>
            <w:tcW w:w="993" w:type="dxa"/>
            <w:vAlign w:val="center"/>
          </w:tcPr>
          <w:p w14:paraId="406F43BB" w14:textId="77777777" w:rsidR="005A1A44" w:rsidRDefault="0008059E">
            <w:pPr>
              <w:spacing w:line="240" w:lineRule="auto"/>
              <w:ind w:firstLineChars="0" w:firstLine="0"/>
              <w:jc w:val="center"/>
              <w:rPr>
                <w:rFonts w:ascii="宋体" w:eastAsia="宋体" w:hAnsi="宋体" w:cs="宋体" w:hint="eastAsia"/>
                <w:sz w:val="21"/>
                <w:szCs w:val="21"/>
              </w:rPr>
            </w:pPr>
            <w:r>
              <w:rPr>
                <w:rFonts w:ascii="宋体" w:eastAsia="宋体" w:hAnsi="宋体" w:cs="宋体" w:hint="eastAsia"/>
                <w:sz w:val="21"/>
                <w:szCs w:val="21"/>
              </w:rPr>
              <w:t>200m</w:t>
            </w:r>
          </w:p>
        </w:tc>
        <w:tc>
          <w:tcPr>
            <w:tcW w:w="906" w:type="dxa"/>
            <w:vAlign w:val="center"/>
          </w:tcPr>
          <w:p w14:paraId="07863A4C"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300m</w:t>
            </w:r>
          </w:p>
        </w:tc>
      </w:tr>
      <w:tr w:rsidR="005A1A44" w14:paraId="2EDEBDE2" w14:textId="77777777">
        <w:tc>
          <w:tcPr>
            <w:tcW w:w="640" w:type="dxa"/>
            <w:vAlign w:val="center"/>
          </w:tcPr>
          <w:p w14:paraId="4F4D2D32"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1</w:t>
            </w:r>
          </w:p>
        </w:tc>
        <w:tc>
          <w:tcPr>
            <w:tcW w:w="1582" w:type="dxa"/>
            <w:vAlign w:val="center"/>
          </w:tcPr>
          <w:p w14:paraId="5ECBB6FF"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装载机、挖掘机、推土机</w:t>
            </w:r>
          </w:p>
        </w:tc>
        <w:tc>
          <w:tcPr>
            <w:tcW w:w="757" w:type="dxa"/>
            <w:vAlign w:val="center"/>
          </w:tcPr>
          <w:p w14:paraId="48383AB0"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84</w:t>
            </w:r>
          </w:p>
        </w:tc>
        <w:tc>
          <w:tcPr>
            <w:tcW w:w="993" w:type="dxa"/>
            <w:vAlign w:val="center"/>
          </w:tcPr>
          <w:p w14:paraId="30305AEA"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78</w:t>
            </w:r>
          </w:p>
        </w:tc>
        <w:tc>
          <w:tcPr>
            <w:tcW w:w="993" w:type="dxa"/>
            <w:vAlign w:val="center"/>
          </w:tcPr>
          <w:p w14:paraId="4A1C88D7"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66</w:t>
            </w:r>
          </w:p>
        </w:tc>
        <w:tc>
          <w:tcPr>
            <w:tcW w:w="993" w:type="dxa"/>
            <w:vAlign w:val="center"/>
          </w:tcPr>
          <w:p w14:paraId="43BA8509"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64</w:t>
            </w:r>
          </w:p>
        </w:tc>
        <w:tc>
          <w:tcPr>
            <w:tcW w:w="993" w:type="dxa"/>
            <w:vAlign w:val="center"/>
          </w:tcPr>
          <w:p w14:paraId="658E7772"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58</w:t>
            </w:r>
          </w:p>
        </w:tc>
        <w:tc>
          <w:tcPr>
            <w:tcW w:w="993" w:type="dxa"/>
            <w:vAlign w:val="center"/>
          </w:tcPr>
          <w:p w14:paraId="25892DB4"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52</w:t>
            </w:r>
          </w:p>
        </w:tc>
        <w:tc>
          <w:tcPr>
            <w:tcW w:w="906" w:type="dxa"/>
            <w:vAlign w:val="center"/>
          </w:tcPr>
          <w:p w14:paraId="1AAB0B57"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48.5</w:t>
            </w:r>
          </w:p>
        </w:tc>
      </w:tr>
      <w:tr w:rsidR="005A1A44" w14:paraId="5ECEB698" w14:textId="77777777">
        <w:tc>
          <w:tcPr>
            <w:tcW w:w="640" w:type="dxa"/>
            <w:vAlign w:val="center"/>
          </w:tcPr>
          <w:p w14:paraId="32274033"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2</w:t>
            </w:r>
          </w:p>
        </w:tc>
        <w:tc>
          <w:tcPr>
            <w:tcW w:w="1582" w:type="dxa"/>
            <w:vAlign w:val="center"/>
          </w:tcPr>
          <w:p w14:paraId="26D6A7BD"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轮胎碾</w:t>
            </w:r>
          </w:p>
        </w:tc>
        <w:tc>
          <w:tcPr>
            <w:tcW w:w="757" w:type="dxa"/>
            <w:vAlign w:val="center"/>
          </w:tcPr>
          <w:p w14:paraId="13EDD4E1"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84</w:t>
            </w:r>
          </w:p>
        </w:tc>
        <w:tc>
          <w:tcPr>
            <w:tcW w:w="993" w:type="dxa"/>
            <w:vAlign w:val="center"/>
          </w:tcPr>
          <w:p w14:paraId="260C7FB3"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78</w:t>
            </w:r>
          </w:p>
        </w:tc>
        <w:tc>
          <w:tcPr>
            <w:tcW w:w="993" w:type="dxa"/>
            <w:vAlign w:val="center"/>
          </w:tcPr>
          <w:p w14:paraId="488BC633"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66</w:t>
            </w:r>
          </w:p>
        </w:tc>
        <w:tc>
          <w:tcPr>
            <w:tcW w:w="993" w:type="dxa"/>
            <w:vAlign w:val="center"/>
          </w:tcPr>
          <w:p w14:paraId="353F7A01"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64</w:t>
            </w:r>
          </w:p>
        </w:tc>
        <w:tc>
          <w:tcPr>
            <w:tcW w:w="993" w:type="dxa"/>
            <w:vAlign w:val="center"/>
          </w:tcPr>
          <w:p w14:paraId="5F384C48"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58</w:t>
            </w:r>
          </w:p>
        </w:tc>
        <w:tc>
          <w:tcPr>
            <w:tcW w:w="993" w:type="dxa"/>
            <w:vAlign w:val="center"/>
          </w:tcPr>
          <w:p w14:paraId="0DD350C8"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52</w:t>
            </w:r>
          </w:p>
        </w:tc>
        <w:tc>
          <w:tcPr>
            <w:tcW w:w="906" w:type="dxa"/>
            <w:vAlign w:val="center"/>
          </w:tcPr>
          <w:p w14:paraId="7ECECE56"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48.5</w:t>
            </w:r>
          </w:p>
        </w:tc>
      </w:tr>
      <w:tr w:rsidR="005A1A44" w14:paraId="656126E9" w14:textId="77777777">
        <w:tc>
          <w:tcPr>
            <w:tcW w:w="640" w:type="dxa"/>
            <w:vAlign w:val="center"/>
          </w:tcPr>
          <w:p w14:paraId="3B3FE113"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3</w:t>
            </w:r>
          </w:p>
        </w:tc>
        <w:tc>
          <w:tcPr>
            <w:tcW w:w="1582" w:type="dxa"/>
            <w:vAlign w:val="center"/>
          </w:tcPr>
          <w:p w14:paraId="1CAA7969"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振捣棒</w:t>
            </w:r>
          </w:p>
        </w:tc>
        <w:tc>
          <w:tcPr>
            <w:tcW w:w="757" w:type="dxa"/>
            <w:vAlign w:val="center"/>
          </w:tcPr>
          <w:p w14:paraId="53006D03"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84</w:t>
            </w:r>
          </w:p>
        </w:tc>
        <w:tc>
          <w:tcPr>
            <w:tcW w:w="993" w:type="dxa"/>
            <w:vAlign w:val="center"/>
          </w:tcPr>
          <w:p w14:paraId="5262EAF3"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78</w:t>
            </w:r>
          </w:p>
        </w:tc>
        <w:tc>
          <w:tcPr>
            <w:tcW w:w="993" w:type="dxa"/>
            <w:vAlign w:val="center"/>
          </w:tcPr>
          <w:p w14:paraId="37DC4478"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66</w:t>
            </w:r>
          </w:p>
        </w:tc>
        <w:tc>
          <w:tcPr>
            <w:tcW w:w="993" w:type="dxa"/>
            <w:vAlign w:val="center"/>
          </w:tcPr>
          <w:p w14:paraId="183B816B"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64</w:t>
            </w:r>
          </w:p>
        </w:tc>
        <w:tc>
          <w:tcPr>
            <w:tcW w:w="993" w:type="dxa"/>
            <w:vAlign w:val="center"/>
          </w:tcPr>
          <w:p w14:paraId="3DE0A6D6"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58</w:t>
            </w:r>
          </w:p>
        </w:tc>
        <w:tc>
          <w:tcPr>
            <w:tcW w:w="993" w:type="dxa"/>
            <w:vAlign w:val="center"/>
          </w:tcPr>
          <w:p w14:paraId="6E6D25B9"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52</w:t>
            </w:r>
          </w:p>
        </w:tc>
        <w:tc>
          <w:tcPr>
            <w:tcW w:w="906" w:type="dxa"/>
            <w:vAlign w:val="center"/>
          </w:tcPr>
          <w:p w14:paraId="6C4D1D12"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48.5</w:t>
            </w:r>
          </w:p>
        </w:tc>
      </w:tr>
      <w:tr w:rsidR="005A1A44" w14:paraId="20C701C7" w14:textId="77777777">
        <w:tc>
          <w:tcPr>
            <w:tcW w:w="640" w:type="dxa"/>
            <w:vAlign w:val="center"/>
          </w:tcPr>
          <w:p w14:paraId="5B1E9DB9"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4</w:t>
            </w:r>
          </w:p>
        </w:tc>
        <w:tc>
          <w:tcPr>
            <w:tcW w:w="1582" w:type="dxa"/>
            <w:vAlign w:val="center"/>
          </w:tcPr>
          <w:p w14:paraId="40959D52"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空压机</w:t>
            </w:r>
          </w:p>
        </w:tc>
        <w:tc>
          <w:tcPr>
            <w:tcW w:w="757" w:type="dxa"/>
            <w:vAlign w:val="center"/>
          </w:tcPr>
          <w:p w14:paraId="46C127D5"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84</w:t>
            </w:r>
          </w:p>
        </w:tc>
        <w:tc>
          <w:tcPr>
            <w:tcW w:w="993" w:type="dxa"/>
            <w:vAlign w:val="center"/>
          </w:tcPr>
          <w:p w14:paraId="7B21F66F"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78</w:t>
            </w:r>
          </w:p>
        </w:tc>
        <w:tc>
          <w:tcPr>
            <w:tcW w:w="993" w:type="dxa"/>
            <w:vAlign w:val="center"/>
          </w:tcPr>
          <w:p w14:paraId="60F7FB48"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66</w:t>
            </w:r>
          </w:p>
        </w:tc>
        <w:tc>
          <w:tcPr>
            <w:tcW w:w="993" w:type="dxa"/>
            <w:vAlign w:val="center"/>
          </w:tcPr>
          <w:p w14:paraId="246FD5D8"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64</w:t>
            </w:r>
          </w:p>
        </w:tc>
        <w:tc>
          <w:tcPr>
            <w:tcW w:w="993" w:type="dxa"/>
            <w:vAlign w:val="center"/>
          </w:tcPr>
          <w:p w14:paraId="716B8D64"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58</w:t>
            </w:r>
          </w:p>
        </w:tc>
        <w:tc>
          <w:tcPr>
            <w:tcW w:w="993" w:type="dxa"/>
            <w:vAlign w:val="center"/>
          </w:tcPr>
          <w:p w14:paraId="461C31EF"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52</w:t>
            </w:r>
          </w:p>
        </w:tc>
        <w:tc>
          <w:tcPr>
            <w:tcW w:w="906" w:type="dxa"/>
            <w:vAlign w:val="center"/>
          </w:tcPr>
          <w:p w14:paraId="42B47A5C"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48.5</w:t>
            </w:r>
          </w:p>
        </w:tc>
      </w:tr>
      <w:tr w:rsidR="005A1A44" w14:paraId="40538C58" w14:textId="77777777">
        <w:tc>
          <w:tcPr>
            <w:tcW w:w="640" w:type="dxa"/>
            <w:vAlign w:val="center"/>
          </w:tcPr>
          <w:p w14:paraId="0D9BE76B"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5</w:t>
            </w:r>
          </w:p>
        </w:tc>
        <w:tc>
          <w:tcPr>
            <w:tcW w:w="1582" w:type="dxa"/>
            <w:vAlign w:val="center"/>
          </w:tcPr>
          <w:p w14:paraId="3109A939"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砼石料拌合机</w:t>
            </w:r>
          </w:p>
        </w:tc>
        <w:tc>
          <w:tcPr>
            <w:tcW w:w="757" w:type="dxa"/>
            <w:vAlign w:val="center"/>
          </w:tcPr>
          <w:p w14:paraId="5AADAFC5"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70</w:t>
            </w:r>
          </w:p>
        </w:tc>
        <w:tc>
          <w:tcPr>
            <w:tcW w:w="993" w:type="dxa"/>
            <w:vAlign w:val="center"/>
          </w:tcPr>
          <w:p w14:paraId="543CFE05"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64</w:t>
            </w:r>
          </w:p>
        </w:tc>
        <w:tc>
          <w:tcPr>
            <w:tcW w:w="993" w:type="dxa"/>
            <w:vAlign w:val="center"/>
          </w:tcPr>
          <w:p w14:paraId="42E9DD68"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ab/>
              <w:t>52</w:t>
            </w:r>
          </w:p>
        </w:tc>
        <w:tc>
          <w:tcPr>
            <w:tcW w:w="993" w:type="dxa"/>
            <w:vAlign w:val="center"/>
          </w:tcPr>
          <w:p w14:paraId="20DFC596"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50</w:t>
            </w:r>
          </w:p>
        </w:tc>
        <w:tc>
          <w:tcPr>
            <w:tcW w:w="993" w:type="dxa"/>
            <w:vAlign w:val="center"/>
          </w:tcPr>
          <w:p w14:paraId="43ABC70F"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44</w:t>
            </w:r>
          </w:p>
        </w:tc>
        <w:tc>
          <w:tcPr>
            <w:tcW w:w="993" w:type="dxa"/>
            <w:vAlign w:val="center"/>
          </w:tcPr>
          <w:p w14:paraId="300073CD"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38</w:t>
            </w:r>
          </w:p>
        </w:tc>
        <w:tc>
          <w:tcPr>
            <w:tcW w:w="906" w:type="dxa"/>
            <w:vAlign w:val="center"/>
          </w:tcPr>
          <w:p w14:paraId="1C6741C9"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34.5</w:t>
            </w:r>
          </w:p>
        </w:tc>
      </w:tr>
      <w:tr w:rsidR="005A1A44" w14:paraId="5D672E72" w14:textId="77777777">
        <w:tc>
          <w:tcPr>
            <w:tcW w:w="640" w:type="dxa"/>
            <w:vAlign w:val="center"/>
          </w:tcPr>
          <w:p w14:paraId="603BDB04"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6</w:t>
            </w:r>
          </w:p>
        </w:tc>
        <w:tc>
          <w:tcPr>
            <w:tcW w:w="1582" w:type="dxa"/>
            <w:vAlign w:val="center"/>
          </w:tcPr>
          <w:p w14:paraId="734E1A7E"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载重汽车</w:t>
            </w:r>
          </w:p>
        </w:tc>
        <w:tc>
          <w:tcPr>
            <w:tcW w:w="757" w:type="dxa"/>
            <w:vAlign w:val="center"/>
          </w:tcPr>
          <w:p w14:paraId="165B3F26"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85</w:t>
            </w:r>
          </w:p>
        </w:tc>
        <w:tc>
          <w:tcPr>
            <w:tcW w:w="993" w:type="dxa"/>
            <w:vAlign w:val="center"/>
          </w:tcPr>
          <w:p w14:paraId="45925385"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79</w:t>
            </w:r>
          </w:p>
        </w:tc>
        <w:tc>
          <w:tcPr>
            <w:tcW w:w="993" w:type="dxa"/>
            <w:vAlign w:val="center"/>
          </w:tcPr>
          <w:p w14:paraId="199AF06F"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67</w:t>
            </w:r>
          </w:p>
        </w:tc>
        <w:tc>
          <w:tcPr>
            <w:tcW w:w="993" w:type="dxa"/>
            <w:vAlign w:val="center"/>
          </w:tcPr>
          <w:p w14:paraId="68068101"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65</w:t>
            </w:r>
          </w:p>
        </w:tc>
        <w:tc>
          <w:tcPr>
            <w:tcW w:w="993" w:type="dxa"/>
            <w:vAlign w:val="center"/>
          </w:tcPr>
          <w:p w14:paraId="5C8FE36C"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59</w:t>
            </w:r>
          </w:p>
        </w:tc>
        <w:tc>
          <w:tcPr>
            <w:tcW w:w="993" w:type="dxa"/>
            <w:vAlign w:val="center"/>
          </w:tcPr>
          <w:p w14:paraId="17147AD5"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53</w:t>
            </w:r>
          </w:p>
        </w:tc>
        <w:tc>
          <w:tcPr>
            <w:tcW w:w="906" w:type="dxa"/>
            <w:vAlign w:val="center"/>
          </w:tcPr>
          <w:p w14:paraId="07B8F3A1" w14:textId="77777777" w:rsidR="005A1A44" w:rsidRDefault="0008059E">
            <w:pPr>
              <w:pStyle w:val="Char"/>
              <w:spacing w:line="240" w:lineRule="auto"/>
              <w:ind w:firstLineChars="0" w:firstLine="0"/>
              <w:jc w:val="center"/>
              <w:rPr>
                <w:rFonts w:ascii="宋体" w:eastAsia="宋体" w:hAnsi="宋体" w:cs="宋体" w:hint="eastAsia"/>
                <w:b w:val="0"/>
                <w:bCs/>
                <w:kern w:val="0"/>
                <w:sz w:val="21"/>
                <w:szCs w:val="21"/>
              </w:rPr>
            </w:pPr>
            <w:r>
              <w:rPr>
                <w:rFonts w:ascii="宋体" w:eastAsia="宋体" w:hAnsi="宋体" w:cs="宋体" w:hint="eastAsia"/>
                <w:b w:val="0"/>
                <w:bCs/>
                <w:kern w:val="0"/>
                <w:sz w:val="21"/>
                <w:szCs w:val="21"/>
              </w:rPr>
              <w:t>49.5</w:t>
            </w:r>
          </w:p>
        </w:tc>
      </w:tr>
      <w:tr w:rsidR="005A1A44" w14:paraId="6E5434BD" w14:textId="77777777">
        <w:tc>
          <w:tcPr>
            <w:tcW w:w="640" w:type="dxa"/>
            <w:vAlign w:val="center"/>
          </w:tcPr>
          <w:p w14:paraId="5A6DA5C7" w14:textId="77777777" w:rsidR="005A1A44" w:rsidRDefault="005A1A44">
            <w:pPr>
              <w:pStyle w:val="Char"/>
              <w:spacing w:line="240" w:lineRule="auto"/>
              <w:ind w:firstLineChars="0" w:firstLine="0"/>
              <w:jc w:val="center"/>
              <w:rPr>
                <w:rFonts w:ascii="宋体" w:eastAsia="宋体" w:hAnsi="宋体" w:cs="宋体" w:hint="eastAsia"/>
                <w:b w:val="0"/>
                <w:bCs/>
                <w:kern w:val="0"/>
                <w:sz w:val="21"/>
                <w:szCs w:val="21"/>
              </w:rPr>
            </w:pPr>
          </w:p>
        </w:tc>
        <w:tc>
          <w:tcPr>
            <w:tcW w:w="1582" w:type="dxa"/>
            <w:vAlign w:val="center"/>
          </w:tcPr>
          <w:p w14:paraId="3B7D9F61" w14:textId="77777777" w:rsidR="005A1A44" w:rsidRDefault="005A1A44">
            <w:pPr>
              <w:pStyle w:val="Char"/>
              <w:spacing w:line="240" w:lineRule="auto"/>
              <w:ind w:firstLineChars="0" w:firstLine="0"/>
              <w:jc w:val="center"/>
              <w:rPr>
                <w:rFonts w:ascii="宋体" w:eastAsia="宋体" w:hAnsi="宋体" w:cs="宋体" w:hint="eastAsia"/>
                <w:b w:val="0"/>
                <w:bCs/>
                <w:kern w:val="0"/>
                <w:sz w:val="21"/>
                <w:szCs w:val="21"/>
              </w:rPr>
            </w:pPr>
          </w:p>
        </w:tc>
        <w:tc>
          <w:tcPr>
            <w:tcW w:w="757" w:type="dxa"/>
            <w:vAlign w:val="center"/>
          </w:tcPr>
          <w:p w14:paraId="5D582F24" w14:textId="77777777" w:rsidR="005A1A44" w:rsidRDefault="005A1A44">
            <w:pPr>
              <w:pStyle w:val="Char"/>
              <w:spacing w:line="240" w:lineRule="auto"/>
              <w:ind w:firstLineChars="0" w:firstLine="0"/>
              <w:jc w:val="center"/>
              <w:rPr>
                <w:rFonts w:ascii="宋体" w:eastAsia="宋体" w:hAnsi="宋体" w:cs="宋体" w:hint="eastAsia"/>
                <w:b w:val="0"/>
                <w:bCs/>
                <w:kern w:val="0"/>
                <w:sz w:val="21"/>
                <w:szCs w:val="21"/>
              </w:rPr>
            </w:pPr>
          </w:p>
        </w:tc>
        <w:tc>
          <w:tcPr>
            <w:tcW w:w="993" w:type="dxa"/>
            <w:vAlign w:val="center"/>
          </w:tcPr>
          <w:p w14:paraId="1B156F4B" w14:textId="77777777" w:rsidR="005A1A44" w:rsidRDefault="005A1A44">
            <w:pPr>
              <w:pStyle w:val="Char"/>
              <w:spacing w:line="240" w:lineRule="auto"/>
              <w:ind w:firstLineChars="0" w:firstLine="0"/>
              <w:jc w:val="center"/>
              <w:rPr>
                <w:rFonts w:ascii="宋体" w:eastAsia="宋体" w:hAnsi="宋体" w:cs="宋体" w:hint="eastAsia"/>
                <w:b w:val="0"/>
                <w:bCs/>
                <w:kern w:val="0"/>
                <w:sz w:val="21"/>
                <w:szCs w:val="21"/>
              </w:rPr>
            </w:pPr>
          </w:p>
        </w:tc>
        <w:tc>
          <w:tcPr>
            <w:tcW w:w="993" w:type="dxa"/>
            <w:vAlign w:val="center"/>
          </w:tcPr>
          <w:p w14:paraId="205B4359" w14:textId="77777777" w:rsidR="005A1A44" w:rsidRDefault="005A1A44">
            <w:pPr>
              <w:pStyle w:val="Char"/>
              <w:spacing w:line="240" w:lineRule="auto"/>
              <w:ind w:firstLineChars="0" w:firstLine="0"/>
              <w:jc w:val="center"/>
              <w:rPr>
                <w:rFonts w:ascii="宋体" w:eastAsia="宋体" w:hAnsi="宋体" w:cs="宋体" w:hint="eastAsia"/>
                <w:b w:val="0"/>
                <w:bCs/>
                <w:kern w:val="0"/>
                <w:sz w:val="21"/>
                <w:szCs w:val="21"/>
              </w:rPr>
            </w:pPr>
          </w:p>
        </w:tc>
        <w:tc>
          <w:tcPr>
            <w:tcW w:w="993" w:type="dxa"/>
            <w:vAlign w:val="center"/>
          </w:tcPr>
          <w:p w14:paraId="68338286" w14:textId="77777777" w:rsidR="005A1A44" w:rsidRDefault="005A1A44">
            <w:pPr>
              <w:pStyle w:val="Char"/>
              <w:spacing w:line="240" w:lineRule="auto"/>
              <w:ind w:firstLineChars="0" w:firstLine="0"/>
              <w:jc w:val="center"/>
              <w:rPr>
                <w:rFonts w:ascii="宋体" w:eastAsia="宋体" w:hAnsi="宋体" w:cs="宋体" w:hint="eastAsia"/>
                <w:b w:val="0"/>
                <w:bCs/>
                <w:kern w:val="0"/>
                <w:sz w:val="21"/>
                <w:szCs w:val="21"/>
              </w:rPr>
            </w:pPr>
          </w:p>
        </w:tc>
        <w:tc>
          <w:tcPr>
            <w:tcW w:w="993" w:type="dxa"/>
            <w:vAlign w:val="center"/>
          </w:tcPr>
          <w:p w14:paraId="1B233CAD" w14:textId="77777777" w:rsidR="005A1A44" w:rsidRDefault="005A1A44">
            <w:pPr>
              <w:pStyle w:val="Char"/>
              <w:spacing w:line="240" w:lineRule="auto"/>
              <w:ind w:firstLineChars="0" w:firstLine="0"/>
              <w:jc w:val="center"/>
              <w:rPr>
                <w:rFonts w:ascii="宋体" w:eastAsia="宋体" w:hAnsi="宋体" w:cs="宋体" w:hint="eastAsia"/>
                <w:b w:val="0"/>
                <w:bCs/>
                <w:kern w:val="0"/>
                <w:sz w:val="21"/>
                <w:szCs w:val="21"/>
              </w:rPr>
            </w:pPr>
          </w:p>
        </w:tc>
        <w:tc>
          <w:tcPr>
            <w:tcW w:w="993" w:type="dxa"/>
            <w:vAlign w:val="center"/>
          </w:tcPr>
          <w:p w14:paraId="31DB8533" w14:textId="77777777" w:rsidR="005A1A44" w:rsidRDefault="005A1A44">
            <w:pPr>
              <w:pStyle w:val="Char"/>
              <w:spacing w:line="240" w:lineRule="auto"/>
              <w:ind w:firstLineChars="0" w:firstLine="0"/>
              <w:jc w:val="center"/>
              <w:rPr>
                <w:rFonts w:ascii="宋体" w:eastAsia="宋体" w:hAnsi="宋体" w:cs="宋体" w:hint="eastAsia"/>
                <w:b w:val="0"/>
                <w:bCs/>
                <w:kern w:val="0"/>
                <w:sz w:val="21"/>
                <w:szCs w:val="21"/>
              </w:rPr>
            </w:pPr>
          </w:p>
        </w:tc>
        <w:tc>
          <w:tcPr>
            <w:tcW w:w="906" w:type="dxa"/>
            <w:vAlign w:val="center"/>
          </w:tcPr>
          <w:p w14:paraId="4D91D2E3" w14:textId="77777777" w:rsidR="005A1A44" w:rsidRDefault="005A1A44">
            <w:pPr>
              <w:pStyle w:val="Char"/>
              <w:spacing w:line="240" w:lineRule="auto"/>
              <w:ind w:firstLineChars="0" w:firstLine="0"/>
              <w:jc w:val="center"/>
              <w:rPr>
                <w:rFonts w:ascii="宋体" w:eastAsia="宋体" w:hAnsi="宋体" w:cs="宋体" w:hint="eastAsia"/>
                <w:b w:val="0"/>
                <w:bCs/>
                <w:kern w:val="0"/>
                <w:sz w:val="21"/>
                <w:szCs w:val="21"/>
              </w:rPr>
            </w:pPr>
          </w:p>
        </w:tc>
      </w:tr>
    </w:tbl>
    <w:p w14:paraId="2F78348B" w14:textId="77777777" w:rsidR="005A1A44" w:rsidRDefault="005A1A44">
      <w:pPr>
        <w:pStyle w:val="Char"/>
        <w:ind w:firstLineChars="0" w:firstLine="0"/>
        <w:jc w:val="center"/>
        <w:rPr>
          <w:rFonts w:ascii="黑体" w:eastAsia="黑体" w:hAnsi="黑体" w:cs="黑体" w:hint="eastAsia"/>
          <w:b w:val="0"/>
          <w:bCs/>
          <w:color w:val="FF0000"/>
          <w:kern w:val="0"/>
          <w:sz w:val="24"/>
          <w:szCs w:val="24"/>
        </w:rPr>
      </w:pPr>
    </w:p>
    <w:p w14:paraId="318471F8" w14:textId="77777777" w:rsidR="005A1A44" w:rsidRDefault="0008059E">
      <w:pPr>
        <w:ind w:firstLine="480"/>
      </w:pPr>
      <w:r>
        <w:rPr>
          <w:rFonts w:hint="eastAsia"/>
        </w:rPr>
        <w:t>从上表可知，施工机械在无任何声屏障时，单个噪声源昼间影响范围为</w:t>
      </w:r>
      <w:r>
        <w:rPr>
          <w:rFonts w:hint="eastAsia"/>
        </w:rPr>
        <w:t xml:space="preserve"> 5m</w:t>
      </w:r>
      <w:r>
        <w:rPr>
          <w:rFonts w:hint="eastAsia"/>
        </w:rPr>
        <w:t>～</w:t>
      </w:r>
      <w:r>
        <w:rPr>
          <w:rFonts w:hint="eastAsia"/>
        </w:rPr>
        <w:t>25m</w:t>
      </w:r>
      <w:r>
        <w:rPr>
          <w:rFonts w:hint="eastAsia"/>
        </w:rPr>
        <w:t>，夜间影响范围为</w:t>
      </w:r>
      <w:r>
        <w:rPr>
          <w:rFonts w:hint="eastAsia"/>
        </w:rPr>
        <w:t xml:space="preserve"> 28</w:t>
      </w:r>
      <w:r>
        <w:rPr>
          <w:rFonts w:hint="eastAsia"/>
        </w:rPr>
        <w:t>～</w:t>
      </w:r>
      <w:r>
        <w:rPr>
          <w:rFonts w:hint="eastAsia"/>
        </w:rPr>
        <w:t>141m</w:t>
      </w:r>
      <w:r>
        <w:rPr>
          <w:rFonts w:hint="eastAsia"/>
        </w:rPr>
        <w:t>，装载机、挖掘机、轮胎碾和振捣器等噪声影响范围最广。</w:t>
      </w:r>
      <w:r>
        <w:t>昼间单个施工机械的噪声</w:t>
      </w:r>
      <w:r>
        <w:rPr>
          <w:rFonts w:hint="eastAsia"/>
        </w:rPr>
        <w:t>在距离施工场地</w:t>
      </w:r>
      <w:r>
        <w:rPr>
          <w:rFonts w:hint="eastAsia"/>
        </w:rPr>
        <w:t>80m</w:t>
      </w:r>
      <w:r>
        <w:rPr>
          <w:rFonts w:hint="eastAsia"/>
        </w:rPr>
        <w:t>外，可以达到《声环境质量标准》（</w:t>
      </w:r>
      <w:r>
        <w:rPr>
          <w:rFonts w:hint="eastAsia"/>
        </w:rPr>
        <w:t>GB3096-2008</w:t>
      </w:r>
      <w:r>
        <w:rPr>
          <w:rFonts w:hint="eastAsia"/>
        </w:rPr>
        <w:t>）的昼间标准，</w:t>
      </w:r>
      <w:r>
        <w:rPr>
          <w:rFonts w:hint="eastAsia"/>
        </w:rPr>
        <w:t>290m</w:t>
      </w:r>
      <w:r>
        <w:rPr>
          <w:rFonts w:hint="eastAsia"/>
        </w:rPr>
        <w:t>外可以达到该标准的夜间标准。</w:t>
      </w:r>
    </w:p>
    <w:p w14:paraId="4114F6C8" w14:textId="77777777" w:rsidR="005A1A44" w:rsidRDefault="0008059E">
      <w:pPr>
        <w:pStyle w:val="3"/>
        <w:numPr>
          <w:ilvl w:val="2"/>
          <w:numId w:val="2"/>
        </w:numPr>
      </w:pPr>
      <w:r>
        <w:rPr>
          <w:rFonts w:hint="eastAsia"/>
        </w:rPr>
        <w:lastRenderedPageBreak/>
        <w:t xml:space="preserve"> </w:t>
      </w:r>
      <w:r>
        <w:rPr>
          <w:rFonts w:hint="eastAsia"/>
        </w:rPr>
        <w:t>施工期噪声对周边环境敏感点的影响分析</w:t>
      </w:r>
    </w:p>
    <w:p w14:paraId="5C4C3FA1" w14:textId="77777777" w:rsidR="005A1A44" w:rsidRDefault="0008059E">
      <w:pPr>
        <w:ind w:firstLine="480"/>
      </w:pPr>
      <w:r>
        <w:rPr>
          <w:rFonts w:hint="eastAsia"/>
        </w:rPr>
        <w:t>河道沿线主要声环境保护目标为果什、加木达、恰坎、若克村、莆思台克、阿热勒村、阿鲁博依村、亚格买里、库木艾日克、纳格热其村等村等村河道两岸的居民点，距离河道距离均在</w:t>
      </w:r>
      <w:r>
        <w:rPr>
          <w:rFonts w:hint="eastAsia"/>
        </w:rPr>
        <w:t>50-900m</w:t>
      </w:r>
      <w:r>
        <w:rPr>
          <w:rFonts w:hint="eastAsia"/>
        </w:rPr>
        <w:t>范围内</w:t>
      </w:r>
      <w:r>
        <w:t>，该工程施工噪声会对环境保护目标有一定的影响</w:t>
      </w:r>
      <w:r>
        <w:rPr>
          <w:rFonts w:hint="eastAsia"/>
        </w:rPr>
        <w:t>，其中昼间影响不大，但夜间噪声在部分区域超标，因此应严禁止夜间施工。</w:t>
      </w:r>
    </w:p>
    <w:p w14:paraId="7431EFAF" w14:textId="77777777" w:rsidR="005A1A44" w:rsidRDefault="0008059E">
      <w:pPr>
        <w:ind w:firstLine="480"/>
      </w:pPr>
      <w:r>
        <w:rPr>
          <w:rFonts w:hint="eastAsia"/>
        </w:rPr>
        <w:t>施工过程中噪声设备多，且多为移动噪声源，噪声采取隔声、吸声等处理难度大，因此施工期噪声污染防治措施以预防为主，合理分散施工机械，及时关闭不用设备，将可在固定地点的施工机械设置在临时建筑房内，施工过程中合理安排施工作用时间，夜间尽量不施工，确需夜间连续施工作业，需提前向当地环保局进行申报，经批准后方可施工，并张贴安民告示，以取得公众谅解。</w:t>
      </w:r>
    </w:p>
    <w:p w14:paraId="3AC4F181" w14:textId="77777777" w:rsidR="005A1A44" w:rsidRDefault="0008059E">
      <w:pPr>
        <w:pStyle w:val="2"/>
        <w:numPr>
          <w:ilvl w:val="1"/>
          <w:numId w:val="2"/>
        </w:numPr>
      </w:pPr>
      <w:bookmarkStart w:id="193" w:name="_Toc22271_WPSOffice_Level2"/>
      <w:bookmarkStart w:id="194" w:name="_Toc465790238"/>
      <w:r>
        <w:rPr>
          <w:rFonts w:hint="eastAsia"/>
        </w:rPr>
        <w:t xml:space="preserve"> </w:t>
      </w:r>
      <w:bookmarkStart w:id="195" w:name="_Toc5662_WPSOffice_Level2"/>
      <w:bookmarkStart w:id="196" w:name="_Toc22043_WPSOffice_Level2"/>
      <w:r>
        <w:rPr>
          <w:rFonts w:hint="eastAsia"/>
        </w:rPr>
        <w:t>施工期固废污染影响分析</w:t>
      </w:r>
      <w:bookmarkEnd w:id="193"/>
      <w:bookmarkEnd w:id="194"/>
      <w:bookmarkEnd w:id="195"/>
      <w:bookmarkEnd w:id="196"/>
    </w:p>
    <w:p w14:paraId="3071AF1E" w14:textId="77777777" w:rsidR="005A1A44" w:rsidRDefault="0008059E">
      <w:pPr>
        <w:ind w:firstLine="480"/>
      </w:pPr>
      <w:r>
        <w:rPr>
          <w:rFonts w:hint="eastAsia"/>
        </w:rPr>
        <w:t>（</w:t>
      </w:r>
      <w:r>
        <w:rPr>
          <w:rFonts w:hint="eastAsia"/>
        </w:rPr>
        <w:t>1</w:t>
      </w:r>
      <w:r>
        <w:rPr>
          <w:rFonts w:hint="eastAsia"/>
        </w:rPr>
        <w:t>）</w:t>
      </w:r>
      <w:r>
        <w:t>生活垃圾</w:t>
      </w:r>
    </w:p>
    <w:p w14:paraId="1457CFCB" w14:textId="77777777" w:rsidR="005A1A44" w:rsidRDefault="0008059E">
      <w:pPr>
        <w:ind w:firstLine="480"/>
      </w:pPr>
      <w:r>
        <w:t>施工人员生活垃圾要分类收集、定点堆放、及时清运，由市容部门专用垃圾车送至垃圾转运站，集中后送</w:t>
      </w:r>
      <w:r>
        <w:rPr>
          <w:rFonts w:hint="eastAsia"/>
        </w:rPr>
        <w:t>和田市</w:t>
      </w:r>
      <w:r>
        <w:t>垃圾填埋场卫生填埋。</w:t>
      </w:r>
    </w:p>
    <w:p w14:paraId="07CB5393" w14:textId="77777777" w:rsidR="005A1A44" w:rsidRDefault="0008059E">
      <w:pPr>
        <w:ind w:firstLine="480"/>
      </w:pPr>
      <w:r>
        <w:rPr>
          <w:rFonts w:hint="eastAsia"/>
        </w:rPr>
        <w:t>（</w:t>
      </w:r>
      <w:r>
        <w:rPr>
          <w:rFonts w:hint="eastAsia"/>
        </w:rPr>
        <w:t>2</w:t>
      </w:r>
      <w:r>
        <w:rPr>
          <w:rFonts w:hint="eastAsia"/>
        </w:rPr>
        <w:t>）</w:t>
      </w:r>
      <w:r>
        <w:t>土方</w:t>
      </w:r>
    </w:p>
    <w:p w14:paraId="1E51E40E" w14:textId="77777777" w:rsidR="005A1A44" w:rsidRDefault="0008059E">
      <w:pPr>
        <w:ind w:firstLine="480"/>
        <w:rPr>
          <w:kern w:val="0"/>
        </w:rPr>
      </w:pPr>
      <w:r>
        <w:rPr>
          <w:rFonts w:hint="eastAsia"/>
          <w:kern w:val="0"/>
        </w:rPr>
        <w:t>环评要求工程所有土石方开挖量，</w:t>
      </w:r>
      <w:r>
        <w:rPr>
          <w:kern w:val="0"/>
        </w:rPr>
        <w:t>除用于堤防加培、堤后填</w:t>
      </w:r>
      <w:r>
        <w:rPr>
          <w:rFonts w:hint="eastAsia"/>
          <w:kern w:val="0"/>
        </w:rPr>
        <w:t>洼</w:t>
      </w:r>
      <w:r>
        <w:rPr>
          <w:kern w:val="0"/>
        </w:rPr>
        <w:t>和基坑回填，</w:t>
      </w:r>
      <w:r>
        <w:rPr>
          <w:rFonts w:hint="eastAsia"/>
          <w:kern w:val="0"/>
        </w:rPr>
        <w:t>余方用于河道平整，全部在项目区内利用，禁止拉出项目区</w:t>
      </w:r>
      <w:r>
        <w:rPr>
          <w:kern w:val="0"/>
        </w:rPr>
        <w:t>。</w:t>
      </w:r>
    </w:p>
    <w:p w14:paraId="46A6A2A9" w14:textId="77777777" w:rsidR="005A1A44" w:rsidRDefault="0008059E">
      <w:pPr>
        <w:ind w:firstLine="480"/>
      </w:pPr>
      <w:r>
        <w:rPr>
          <w:rFonts w:hint="eastAsia"/>
        </w:rPr>
        <w:t>（</w:t>
      </w:r>
      <w:r>
        <w:rPr>
          <w:rFonts w:hint="eastAsia"/>
        </w:rPr>
        <w:t>3</w:t>
      </w:r>
      <w:r>
        <w:rPr>
          <w:rFonts w:hint="eastAsia"/>
        </w:rPr>
        <w:t>）建筑垃圾</w:t>
      </w:r>
    </w:p>
    <w:p w14:paraId="01BB025E" w14:textId="77777777" w:rsidR="005A1A44" w:rsidRDefault="0008059E">
      <w:pPr>
        <w:ind w:firstLine="480"/>
      </w:pPr>
      <w:r>
        <w:rPr>
          <w:rFonts w:hint="eastAsia"/>
        </w:rPr>
        <w:t>根据工程分析，建筑垃圾主要为建构筑物产生的弃渣，环评要求这些弃渣尽量用于河道整治填方，</w:t>
      </w:r>
      <w:r>
        <w:t>对于不能回收利用的</w:t>
      </w:r>
      <w:r>
        <w:rPr>
          <w:rFonts w:hint="eastAsia"/>
        </w:rPr>
        <w:t>建筑</w:t>
      </w:r>
      <w:r>
        <w:t>垃圾应运至政府指定的建筑垃圾处理场处理，严禁乱丢乱弃，对环境影响较小。</w:t>
      </w:r>
    </w:p>
    <w:p w14:paraId="7E5682DF" w14:textId="77777777" w:rsidR="005A1A44" w:rsidRDefault="0008059E">
      <w:pPr>
        <w:ind w:firstLine="480"/>
      </w:pPr>
      <w:r>
        <w:rPr>
          <w:rFonts w:hint="eastAsia"/>
        </w:rPr>
        <w:t>（</w:t>
      </w:r>
      <w:r>
        <w:rPr>
          <w:rFonts w:hint="eastAsia"/>
        </w:rPr>
        <w:t>4</w:t>
      </w:r>
      <w:r>
        <w:rPr>
          <w:rFonts w:hint="eastAsia"/>
        </w:rPr>
        <w:t>）底泥</w:t>
      </w:r>
    </w:p>
    <w:p w14:paraId="57E7A417" w14:textId="77777777" w:rsidR="005A1A44" w:rsidRDefault="0008059E">
      <w:pPr>
        <w:ind w:firstLine="480"/>
      </w:pPr>
      <w:r>
        <w:rPr>
          <w:kern w:val="0"/>
        </w:rPr>
        <w:t>本项目在河道内无水的情况下开挖，开挖的淤泥含水量低。</w:t>
      </w:r>
      <w:r>
        <w:t>从监测结果来看，疏浚段底泥满足</w:t>
      </w:r>
      <w:r>
        <w:rPr>
          <w:rFonts w:hint="eastAsia"/>
        </w:rPr>
        <w:t>《土壤环境质量</w:t>
      </w:r>
      <w:r>
        <w:rPr>
          <w:rFonts w:hint="eastAsia"/>
        </w:rPr>
        <w:t xml:space="preserve"> </w:t>
      </w:r>
      <w:r>
        <w:rPr>
          <w:rFonts w:hint="eastAsia"/>
        </w:rPr>
        <w:t>建设用地土壤污染风险管控标准（试行）》</w:t>
      </w:r>
      <w:r>
        <w:lastRenderedPageBreak/>
        <w:t>（</w:t>
      </w:r>
      <w:r>
        <w:t>GB</w:t>
      </w:r>
      <w:r>
        <w:rPr>
          <w:rFonts w:hint="eastAsia"/>
        </w:rPr>
        <w:t>36600</w:t>
      </w:r>
      <w:r>
        <w:t>-20</w:t>
      </w:r>
      <w:r>
        <w:rPr>
          <w:rFonts w:hint="eastAsia"/>
        </w:rPr>
        <w:t>1</w:t>
      </w:r>
      <w:r>
        <w:t>8</w:t>
      </w:r>
      <w:r>
        <w:t>）</w:t>
      </w:r>
      <w:r>
        <w:rPr>
          <w:rFonts w:hint="eastAsia"/>
        </w:rPr>
        <w:t>的</w:t>
      </w:r>
      <w:r>
        <w:t>要求，总体质量良好，未出现超标现象，用于</w:t>
      </w:r>
      <w:r>
        <w:rPr>
          <w:rFonts w:hint="eastAsia"/>
        </w:rPr>
        <w:t>临时</w:t>
      </w:r>
      <w:r>
        <w:t>堆放</w:t>
      </w:r>
      <w:r>
        <w:rPr>
          <w:rFonts w:hint="eastAsia"/>
        </w:rPr>
        <w:t>和堤身填筑</w:t>
      </w:r>
      <w:r>
        <w:t>对土壤</w:t>
      </w:r>
      <w:r>
        <w:rPr>
          <w:rFonts w:hint="eastAsia"/>
        </w:rPr>
        <w:t>和水体</w:t>
      </w:r>
      <w:r>
        <w:t>环境不会造成影响。</w:t>
      </w:r>
    </w:p>
    <w:p w14:paraId="6C8EF9AB" w14:textId="77777777" w:rsidR="005A1A44" w:rsidRDefault="0008059E">
      <w:pPr>
        <w:ind w:firstLine="480"/>
      </w:pPr>
      <w:r>
        <w:rPr>
          <w:rFonts w:hint="eastAsia"/>
        </w:rPr>
        <w:t>（</w:t>
      </w:r>
      <w:r>
        <w:rPr>
          <w:rFonts w:hint="eastAsia"/>
        </w:rPr>
        <w:t>5</w:t>
      </w:r>
      <w:r>
        <w:rPr>
          <w:rFonts w:hint="eastAsia"/>
        </w:rPr>
        <w:t>）污水处理污泥</w:t>
      </w:r>
    </w:p>
    <w:p w14:paraId="440D03DD" w14:textId="77777777" w:rsidR="005A1A44" w:rsidRDefault="0008059E">
      <w:pPr>
        <w:ind w:firstLine="480"/>
      </w:pPr>
      <w:r>
        <w:t>混凝土拌合系统污泥产生量约</w:t>
      </w:r>
      <w:r>
        <w:rPr>
          <w:rFonts w:hint="eastAsia"/>
        </w:rPr>
        <w:t>40.0</w:t>
      </w:r>
      <w:r>
        <w:t>t</w:t>
      </w:r>
      <w:r>
        <w:rPr>
          <w:rFonts w:hint="eastAsia"/>
        </w:rPr>
        <w:t>/a</w:t>
      </w:r>
      <w:r>
        <w:rPr>
          <w:rFonts w:hint="eastAsia"/>
        </w:rPr>
        <w:t>，</w:t>
      </w:r>
      <w:r>
        <w:t>机械冲洗系统污泥产生量约</w:t>
      </w:r>
      <w:r>
        <w:rPr>
          <w:rFonts w:hint="eastAsia"/>
        </w:rPr>
        <w:t>5.37</w:t>
      </w:r>
      <w:r>
        <w:t>t</w:t>
      </w:r>
      <w:r>
        <w:rPr>
          <w:rFonts w:hint="eastAsia"/>
        </w:rPr>
        <w:t>，</w:t>
      </w:r>
      <w:r>
        <w:t>生活污水污泥产生量约</w:t>
      </w:r>
      <w:r>
        <w:rPr>
          <w:rFonts w:hint="eastAsia"/>
        </w:rPr>
        <w:t>1.54</w:t>
      </w:r>
      <w:r>
        <w:t>t</w:t>
      </w:r>
      <w:r>
        <w:rPr>
          <w:rFonts w:hint="eastAsia"/>
        </w:rPr>
        <w:t>/a</w:t>
      </w:r>
      <w:r>
        <w:rPr>
          <w:rFonts w:hint="eastAsia"/>
        </w:rPr>
        <w:t>。这部分污泥定期清理并运送至城市垃圾填埋场进行处理。</w:t>
      </w:r>
    </w:p>
    <w:p w14:paraId="425A211B" w14:textId="77777777" w:rsidR="005A1A44" w:rsidRDefault="0008059E">
      <w:pPr>
        <w:pStyle w:val="2"/>
        <w:numPr>
          <w:ilvl w:val="1"/>
          <w:numId w:val="2"/>
        </w:numPr>
      </w:pPr>
      <w:r>
        <w:rPr>
          <w:rFonts w:hint="eastAsia"/>
        </w:rPr>
        <w:t xml:space="preserve"> </w:t>
      </w:r>
      <w:bookmarkStart w:id="197" w:name="_Toc26819_WPSOffice_Level2"/>
      <w:bookmarkStart w:id="198" w:name="_Toc28561_WPSOffice_Level2"/>
      <w:r>
        <w:rPr>
          <w:rFonts w:hint="eastAsia"/>
        </w:rPr>
        <w:t>施工期生态环境影响</w:t>
      </w:r>
      <w:bookmarkEnd w:id="197"/>
      <w:bookmarkEnd w:id="198"/>
    </w:p>
    <w:p w14:paraId="16B4F143" w14:textId="77777777" w:rsidR="005A1A44" w:rsidRDefault="0008059E">
      <w:pPr>
        <w:pStyle w:val="3"/>
        <w:numPr>
          <w:ilvl w:val="2"/>
          <w:numId w:val="2"/>
        </w:numPr>
      </w:pPr>
      <w:r>
        <w:rPr>
          <w:rFonts w:hint="eastAsia"/>
        </w:rPr>
        <w:t xml:space="preserve"> </w:t>
      </w:r>
      <w:r>
        <w:rPr>
          <w:rFonts w:hint="eastAsia"/>
        </w:rPr>
        <w:t>工程占地影响</w:t>
      </w:r>
    </w:p>
    <w:p w14:paraId="369852C2" w14:textId="77777777" w:rsidR="005A1A44" w:rsidRDefault="0008059E">
      <w:pPr>
        <w:ind w:firstLine="480"/>
      </w:pPr>
      <w:r>
        <w:rPr>
          <w:rFonts w:ascii="宋体" w:eastAsia="宋体" w:hAnsi="宋体" w:cs="宋体"/>
          <w:kern w:val="0"/>
        </w:rPr>
        <w:t>本工程施工</w:t>
      </w:r>
      <w:r>
        <w:rPr>
          <w:rFonts w:ascii="宋体" w:eastAsia="宋体" w:hAnsi="宋体" w:cs="宋体" w:hint="eastAsia"/>
          <w:kern w:val="0"/>
        </w:rPr>
        <w:t>将占</w:t>
      </w:r>
      <w:r>
        <w:rPr>
          <w:rFonts w:ascii="宋体" w:eastAsia="宋体" w:hAnsi="宋体" w:cs="宋体"/>
          <w:kern w:val="0"/>
        </w:rPr>
        <w:t>用一定的土地</w:t>
      </w:r>
      <w:r>
        <w:rPr>
          <w:rFonts w:ascii="宋体" w:eastAsia="宋体" w:hAnsi="宋体" w:cs="宋体" w:hint="eastAsia"/>
          <w:kern w:val="0"/>
        </w:rPr>
        <w:t>，占地类型主要为河滩地、草地和部分耕地，因此</w:t>
      </w:r>
      <w:r>
        <w:rPr>
          <w:rFonts w:ascii="宋体" w:eastAsia="宋体" w:hAnsi="宋体" w:cs="宋体"/>
          <w:kern w:val="0"/>
        </w:rPr>
        <w:t>对</w:t>
      </w:r>
      <w:r>
        <w:rPr>
          <w:rFonts w:ascii="宋体" w:eastAsia="宋体" w:hAnsi="宋体" w:cs="宋体" w:hint="eastAsia"/>
          <w:kern w:val="0"/>
        </w:rPr>
        <w:t>占地</w:t>
      </w:r>
      <w:r>
        <w:rPr>
          <w:rFonts w:ascii="宋体" w:eastAsia="宋体" w:hAnsi="宋体" w:cs="宋体"/>
          <w:kern w:val="0"/>
        </w:rPr>
        <w:t>区域内现状植物会产生一定的</w:t>
      </w:r>
      <w:r>
        <w:rPr>
          <w:rFonts w:ascii="宋体" w:eastAsia="宋体" w:hAnsi="宋体" w:cs="宋体" w:hint="eastAsia"/>
          <w:kern w:val="0"/>
        </w:rPr>
        <w:t>影响，工</w:t>
      </w:r>
      <w:r>
        <w:rPr>
          <w:rFonts w:ascii="宋体" w:eastAsia="宋体" w:hAnsi="宋体" w:cs="宋体"/>
          <w:kern w:val="0"/>
        </w:rPr>
        <w:t>程区域的动物生活也受到</w:t>
      </w:r>
      <w:r>
        <w:rPr>
          <w:rFonts w:ascii="宋体" w:eastAsia="宋体" w:hAnsi="宋体" w:cs="宋体" w:hint="eastAsia"/>
          <w:kern w:val="0"/>
        </w:rPr>
        <w:t>一定影响，</w:t>
      </w:r>
      <w:r>
        <w:rPr>
          <w:rFonts w:ascii="宋体" w:eastAsia="宋体" w:hAnsi="宋体" w:cs="宋体"/>
          <w:kern w:val="0"/>
        </w:rPr>
        <w:t>还将</w:t>
      </w:r>
      <w:r>
        <w:t>加剧施工场地区域水土流失</w:t>
      </w:r>
      <w:r>
        <w:rPr>
          <w:rFonts w:hint="eastAsia"/>
        </w:rPr>
        <w:t>。</w:t>
      </w:r>
    </w:p>
    <w:p w14:paraId="0CABB7E4" w14:textId="77777777" w:rsidR="005A1A44" w:rsidRDefault="0008059E">
      <w:pPr>
        <w:pStyle w:val="3"/>
        <w:numPr>
          <w:ilvl w:val="2"/>
          <w:numId w:val="2"/>
        </w:numPr>
      </w:pPr>
      <w:r>
        <w:rPr>
          <w:rFonts w:hint="eastAsia"/>
        </w:rPr>
        <w:t xml:space="preserve"> </w:t>
      </w:r>
      <w:r>
        <w:t>施工期对植被的影响</w:t>
      </w:r>
    </w:p>
    <w:p w14:paraId="32BA7062" w14:textId="77777777" w:rsidR="005A1A44" w:rsidRDefault="0008059E">
      <w:pPr>
        <w:ind w:firstLine="480"/>
        <w:rPr>
          <w:rFonts w:ascii="宋体" w:eastAsia="宋体" w:hAnsi="宋体" w:cs="宋体" w:hint="eastAsia"/>
          <w:kern w:val="0"/>
        </w:rPr>
      </w:pPr>
      <w:r>
        <w:rPr>
          <w:rFonts w:ascii="宋体" w:eastAsia="宋体" w:hAnsi="宋体" w:cs="宋体"/>
          <w:kern w:val="0"/>
        </w:rPr>
        <w:t>工程</w:t>
      </w:r>
      <w:r>
        <w:rPr>
          <w:rFonts w:ascii="宋体" w:eastAsia="宋体" w:hAnsi="宋体" w:cs="宋体" w:hint="eastAsia"/>
          <w:kern w:val="0"/>
        </w:rPr>
        <w:t>区</w:t>
      </w:r>
      <w:r>
        <w:rPr>
          <w:rFonts w:ascii="宋体" w:eastAsia="宋体" w:hAnsi="宋体" w:cs="宋体"/>
          <w:kern w:val="0"/>
        </w:rPr>
        <w:t>以荒漠植被为主</w:t>
      </w:r>
      <w:r>
        <w:rPr>
          <w:rFonts w:ascii="宋体" w:eastAsia="宋体" w:hAnsi="宋体" w:cs="宋体" w:hint="eastAsia"/>
          <w:kern w:val="0"/>
        </w:rPr>
        <w:t>，</w:t>
      </w:r>
      <w:r>
        <w:rPr>
          <w:rFonts w:ascii="宋体" w:eastAsia="宋体" w:hAnsi="宋体" w:cs="宋体"/>
          <w:kern w:val="0"/>
        </w:rPr>
        <w:t>施工对植的</w:t>
      </w:r>
      <w:r>
        <w:rPr>
          <w:rFonts w:ascii="宋体" w:eastAsia="宋体" w:hAnsi="宋体" w:cs="宋体" w:hint="eastAsia"/>
          <w:kern w:val="0"/>
        </w:rPr>
        <w:t>被</w:t>
      </w:r>
      <w:r>
        <w:rPr>
          <w:rFonts w:ascii="宋体" w:eastAsia="宋体" w:hAnsi="宋体" w:cs="宋体"/>
          <w:kern w:val="0"/>
        </w:rPr>
        <w:t>影响体现在施</w:t>
      </w:r>
      <w:r>
        <w:rPr>
          <w:rFonts w:ascii="宋体" w:eastAsia="宋体" w:hAnsi="宋体" w:cs="宋体" w:hint="eastAsia"/>
          <w:kern w:val="0"/>
        </w:rPr>
        <w:t>工</w:t>
      </w:r>
      <w:r>
        <w:rPr>
          <w:rFonts w:ascii="宋体" w:eastAsia="宋体" w:hAnsi="宋体" w:cs="宋体"/>
          <w:kern w:val="0"/>
        </w:rPr>
        <w:t>占地范围</w:t>
      </w:r>
      <w:r>
        <w:rPr>
          <w:rFonts w:ascii="宋体" w:eastAsia="宋体" w:hAnsi="宋体" w:cs="宋体" w:hint="eastAsia"/>
          <w:kern w:val="0"/>
        </w:rPr>
        <w:t>。</w:t>
      </w:r>
      <w:r>
        <w:rPr>
          <w:rFonts w:ascii="宋体" w:eastAsia="宋体" w:hAnsi="宋体" w:cs="宋体"/>
          <w:kern w:val="0"/>
        </w:rPr>
        <w:t>植被主要为</w:t>
      </w:r>
      <w:r>
        <w:rPr>
          <w:rFonts w:ascii="宋体" w:eastAsia="宋体" w:hAnsi="宋体" w:cs="宋体" w:hint="eastAsia"/>
          <w:kern w:val="0"/>
        </w:rPr>
        <w:t>草地和耕地，由此</w:t>
      </w:r>
      <w:r>
        <w:rPr>
          <w:rFonts w:ascii="宋体" w:eastAsia="宋体" w:hAnsi="宋体" w:cs="宋体"/>
          <w:kern w:val="0"/>
        </w:rPr>
        <w:t>带来生物量损失</w:t>
      </w:r>
      <w:r>
        <w:rPr>
          <w:rFonts w:ascii="宋体" w:eastAsia="宋体" w:hAnsi="宋体" w:cs="宋体" w:hint="eastAsia"/>
          <w:kern w:val="0"/>
        </w:rPr>
        <w:t>。损失量约为302.07t/a。</w:t>
      </w:r>
      <w:r>
        <w:rPr>
          <w:rFonts w:ascii="宋体" w:eastAsia="宋体" w:hAnsi="宋体" w:cs="宋体"/>
          <w:kern w:val="0"/>
        </w:rPr>
        <w:t>临时占地将造成这些</w:t>
      </w:r>
      <w:r>
        <w:rPr>
          <w:rFonts w:ascii="宋体" w:eastAsia="宋体" w:hAnsi="宋体" w:cs="宋体" w:hint="eastAsia"/>
          <w:kern w:val="0"/>
        </w:rPr>
        <w:t>区域</w:t>
      </w:r>
      <w:r>
        <w:rPr>
          <w:rFonts w:ascii="宋体" w:eastAsia="宋体" w:hAnsi="宋体" w:cs="宋体"/>
          <w:kern w:val="0"/>
        </w:rPr>
        <w:t>在施工期内生产能力丧失</w:t>
      </w:r>
      <w:r>
        <w:rPr>
          <w:rFonts w:ascii="宋体" w:eastAsia="宋体" w:hAnsi="宋体" w:cs="宋体" w:hint="eastAsia"/>
          <w:kern w:val="0"/>
        </w:rPr>
        <w:t>，</w:t>
      </w:r>
      <w:r>
        <w:rPr>
          <w:rFonts w:ascii="宋体" w:eastAsia="宋体" w:hAnsi="宋体" w:cs="宋体"/>
          <w:kern w:val="0"/>
        </w:rPr>
        <w:t>但在施工结束后</w:t>
      </w:r>
      <w:r>
        <w:rPr>
          <w:rFonts w:ascii="宋体" w:eastAsia="宋体" w:hAnsi="宋体" w:cs="宋体" w:hint="eastAsia"/>
          <w:kern w:val="0"/>
        </w:rPr>
        <w:t>，</w:t>
      </w:r>
      <w:r>
        <w:rPr>
          <w:rFonts w:ascii="宋体" w:eastAsia="宋体" w:hAnsi="宋体" w:cs="宋体"/>
          <w:kern w:val="0"/>
        </w:rPr>
        <w:t>随着自然或人工恢复措施的实施</w:t>
      </w:r>
      <w:r>
        <w:rPr>
          <w:rFonts w:ascii="宋体" w:eastAsia="宋体" w:hAnsi="宋体" w:cs="宋体" w:hint="eastAsia"/>
          <w:kern w:val="0"/>
        </w:rPr>
        <w:t>，</w:t>
      </w:r>
      <w:r>
        <w:rPr>
          <w:rFonts w:ascii="宋体" w:eastAsia="宋体" w:hAnsi="宋体" w:cs="宋体"/>
          <w:kern w:val="0"/>
        </w:rPr>
        <w:t>临时占地区内植被将得到逐步恢复</w:t>
      </w:r>
      <w:r>
        <w:rPr>
          <w:rFonts w:ascii="宋体" w:eastAsia="宋体" w:hAnsi="宋体" w:cs="宋体" w:hint="eastAsia"/>
          <w:kern w:val="0"/>
        </w:rPr>
        <w:t>，</w:t>
      </w:r>
      <w:r>
        <w:rPr>
          <w:rFonts w:ascii="宋体" w:eastAsia="宋体" w:hAnsi="宋体" w:cs="宋体"/>
          <w:kern w:val="0"/>
        </w:rPr>
        <w:t>不会造成生物量永久损失</w:t>
      </w:r>
      <w:r>
        <w:rPr>
          <w:rFonts w:ascii="宋体" w:eastAsia="宋体" w:hAnsi="宋体" w:cs="宋体" w:hint="eastAsia"/>
          <w:kern w:val="0"/>
        </w:rPr>
        <w:t>，且环评要求施工生产区布设在河道滩地上（包括戈壁石砾地、盐碱地、沙地等未利用土地上）。</w:t>
      </w:r>
    </w:p>
    <w:p w14:paraId="35762F2D" w14:textId="77777777" w:rsidR="005A1A44" w:rsidRDefault="0008059E">
      <w:pPr>
        <w:ind w:firstLine="480"/>
        <w:rPr>
          <w:rFonts w:ascii="宋体" w:eastAsia="宋体" w:hAnsi="宋体" w:cs="宋体" w:hint="eastAsia"/>
          <w:kern w:val="0"/>
        </w:rPr>
      </w:pPr>
      <w:r>
        <w:rPr>
          <w:rFonts w:ascii="宋体" w:eastAsia="宋体" w:hAnsi="宋体" w:cs="宋体"/>
          <w:kern w:val="0"/>
        </w:rPr>
        <w:t>潜水的埋</w:t>
      </w:r>
      <w:r>
        <w:rPr>
          <w:rFonts w:ascii="宋体" w:eastAsia="宋体" w:hAnsi="宋体" w:cs="宋体" w:hint="eastAsia"/>
          <w:kern w:val="0"/>
        </w:rPr>
        <w:t>藏</w:t>
      </w:r>
      <w:r>
        <w:rPr>
          <w:rFonts w:ascii="宋体" w:eastAsia="宋体" w:hAnsi="宋体" w:cs="宋体"/>
          <w:kern w:val="0"/>
        </w:rPr>
        <w:t>深浅</w:t>
      </w:r>
      <w:r>
        <w:rPr>
          <w:rFonts w:ascii="宋体" w:eastAsia="宋体" w:hAnsi="宋体" w:cs="宋体" w:hint="eastAsia"/>
          <w:kern w:val="0"/>
        </w:rPr>
        <w:t>与</w:t>
      </w:r>
      <w:r>
        <w:rPr>
          <w:rFonts w:ascii="宋体" w:eastAsia="宋体" w:hAnsi="宋体" w:cs="宋体"/>
          <w:kern w:val="0"/>
        </w:rPr>
        <w:t>植</w:t>
      </w:r>
      <w:r>
        <w:rPr>
          <w:rFonts w:ascii="宋体" w:eastAsia="宋体" w:hAnsi="宋体" w:cs="宋体" w:hint="eastAsia"/>
          <w:kern w:val="0"/>
        </w:rPr>
        <w:t>被</w:t>
      </w:r>
      <w:r>
        <w:rPr>
          <w:rFonts w:ascii="宋体" w:eastAsia="宋体" w:hAnsi="宋体" w:cs="宋体"/>
          <w:kern w:val="0"/>
        </w:rPr>
        <w:t>的存活和生长有一定的影响</w:t>
      </w:r>
      <w:r>
        <w:rPr>
          <w:rFonts w:ascii="宋体" w:eastAsia="宋体" w:hAnsi="宋体" w:cs="宋体" w:hint="eastAsia"/>
          <w:kern w:val="0"/>
        </w:rPr>
        <w:t>，</w:t>
      </w:r>
      <w:r>
        <w:rPr>
          <w:rFonts w:ascii="宋体" w:eastAsia="宋体" w:hAnsi="宋体" w:cs="宋体"/>
          <w:kern w:val="0"/>
        </w:rPr>
        <w:t>工程所在区域地下水</w:t>
      </w:r>
      <w:r>
        <w:rPr>
          <w:rFonts w:ascii="宋体" w:eastAsia="宋体" w:hAnsi="宋体" w:cs="宋体" w:hint="eastAsia"/>
          <w:kern w:val="0"/>
        </w:rPr>
        <w:t>潜水较浅，一般在1~10m，</w:t>
      </w:r>
      <w:r>
        <w:rPr>
          <w:rFonts w:ascii="宋体" w:eastAsia="宋体" w:hAnsi="宋体" w:cs="宋体"/>
          <w:kern w:val="0"/>
        </w:rPr>
        <w:t>工程施工过程中</w:t>
      </w:r>
      <w:r>
        <w:rPr>
          <w:rFonts w:ascii="宋体" w:eastAsia="宋体" w:hAnsi="宋体" w:cs="宋体" w:hint="eastAsia"/>
          <w:kern w:val="0"/>
        </w:rPr>
        <w:t>需要对施工河段进行导流，河道部位的地下潜水得不到补给将降低地下水位，</w:t>
      </w:r>
      <w:r>
        <w:rPr>
          <w:rFonts w:ascii="宋体" w:eastAsia="宋体" w:hAnsi="宋体" w:cs="宋体"/>
          <w:kern w:val="0"/>
        </w:rPr>
        <w:t>其周边植被会因</w:t>
      </w:r>
      <w:r>
        <w:rPr>
          <w:rFonts w:ascii="宋体" w:eastAsia="宋体" w:hAnsi="宋体" w:cs="宋体" w:hint="eastAsia"/>
          <w:kern w:val="0"/>
        </w:rPr>
        <w:t>潜</w:t>
      </w:r>
      <w:r>
        <w:rPr>
          <w:rFonts w:ascii="宋体" w:eastAsia="宋体" w:hAnsi="宋体" w:cs="宋体"/>
          <w:kern w:val="0"/>
        </w:rPr>
        <w:t>水水位的降低而枯萎或生长迟缓</w:t>
      </w:r>
      <w:r>
        <w:rPr>
          <w:rFonts w:ascii="宋体" w:eastAsia="宋体" w:hAnsi="宋体" w:cs="宋体" w:hint="eastAsia"/>
          <w:kern w:val="0"/>
        </w:rPr>
        <w:t>，但由于施工导流工程是临时的，在工程结束后,植被可恢复至自然状况。</w:t>
      </w:r>
    </w:p>
    <w:p w14:paraId="11FCA772" w14:textId="77777777" w:rsidR="005A1A44" w:rsidRDefault="0008059E">
      <w:pPr>
        <w:pStyle w:val="3"/>
        <w:numPr>
          <w:ilvl w:val="2"/>
          <w:numId w:val="2"/>
        </w:numPr>
      </w:pPr>
      <w:r>
        <w:rPr>
          <w:rFonts w:hint="eastAsia"/>
        </w:rPr>
        <w:lastRenderedPageBreak/>
        <w:t xml:space="preserve"> </w:t>
      </w:r>
      <w:r>
        <w:rPr>
          <w:rFonts w:hint="eastAsia"/>
        </w:rPr>
        <w:t>施工对土壤环境的影响</w:t>
      </w:r>
    </w:p>
    <w:p w14:paraId="24B06894"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工程建设对土壤环境的影响范围包括永久占地区、临时占地区以及施工活</w:t>
      </w:r>
      <w:r>
        <w:rPr>
          <w:rFonts w:ascii="宋体" w:eastAsia="宋体" w:hAnsi="宋体" w:cs="宋体" w:hint="eastAsia"/>
          <w:kern w:val="0"/>
        </w:rPr>
        <w:br/>
        <w:t>动的所有区域。其影响体现在：工程施工活动从根本上改变了地表覆盖物的类</w:t>
      </w:r>
      <w:r>
        <w:rPr>
          <w:rFonts w:ascii="宋体" w:eastAsia="宋体" w:hAnsi="宋体" w:cs="宋体" w:hint="eastAsia"/>
          <w:kern w:val="0"/>
        </w:rPr>
        <w:br/>
        <w:t>型和性，</w:t>
      </w:r>
      <w:r>
        <w:rPr>
          <w:rFonts w:ascii="宋体" w:eastAsia="宋体" w:hAnsi="宋体" w:cs="宋体"/>
          <w:kern w:val="0"/>
        </w:rPr>
        <w:t>改变了表层土壤的结构和物理性质</w:t>
      </w:r>
      <w:r>
        <w:rPr>
          <w:rFonts w:ascii="宋体" w:eastAsia="宋体" w:hAnsi="宋体" w:cs="宋体" w:hint="eastAsia"/>
          <w:kern w:val="0"/>
        </w:rPr>
        <w:t>。</w:t>
      </w:r>
      <w:r>
        <w:rPr>
          <w:rFonts w:ascii="宋体" w:eastAsia="宋体" w:hAnsi="宋体" w:cs="宋体"/>
          <w:kern w:val="0"/>
        </w:rPr>
        <w:t>工程永久占地区域内的土壤将被</w:t>
      </w:r>
      <w:r>
        <w:rPr>
          <w:rFonts w:ascii="宋体" w:eastAsia="宋体" w:hAnsi="宋体" w:cs="宋体" w:hint="eastAsia"/>
          <w:kern w:val="0"/>
        </w:rPr>
        <w:t>部分河道或防洪堤工程、人工绿地</w:t>
      </w:r>
      <w:r>
        <w:rPr>
          <w:rFonts w:ascii="宋体" w:eastAsia="宋体" w:hAnsi="宋体" w:cs="宋体"/>
          <w:kern w:val="0"/>
        </w:rPr>
        <w:t>等取代</w:t>
      </w:r>
      <w:r>
        <w:rPr>
          <w:rFonts w:ascii="宋体" w:eastAsia="宋体" w:hAnsi="宋体" w:cs="宋体" w:hint="eastAsia"/>
          <w:kern w:val="0"/>
        </w:rPr>
        <w:t>，</w:t>
      </w:r>
      <w:r>
        <w:rPr>
          <w:rFonts w:ascii="宋体" w:eastAsia="宋体" w:hAnsi="宋体" w:cs="宋体"/>
          <w:kern w:val="0"/>
        </w:rPr>
        <w:t>土壤生产能力在施工阶段将基本丧失</w:t>
      </w:r>
      <w:r>
        <w:rPr>
          <w:rFonts w:ascii="宋体" w:eastAsia="宋体" w:hAnsi="宋体" w:cs="宋体" w:hint="eastAsia"/>
          <w:kern w:val="0"/>
        </w:rPr>
        <w:t>，</w:t>
      </w:r>
      <w:r>
        <w:rPr>
          <w:rFonts w:ascii="宋体" w:eastAsia="宋体" w:hAnsi="宋体" w:cs="宋体"/>
          <w:kern w:val="0"/>
        </w:rPr>
        <w:t>土壤结构和理化性质发生改变。</w:t>
      </w:r>
    </w:p>
    <w:p w14:paraId="1EA8B708" w14:textId="77777777" w:rsidR="005A1A44" w:rsidRDefault="0008059E">
      <w:pPr>
        <w:ind w:firstLine="480"/>
        <w:rPr>
          <w:rFonts w:ascii="宋体" w:eastAsia="宋体" w:hAnsi="宋体" w:cs="宋体" w:hint="eastAsia"/>
          <w:kern w:val="0"/>
        </w:rPr>
      </w:pPr>
      <w:r>
        <w:rPr>
          <w:rFonts w:ascii="宋体" w:eastAsia="宋体" w:hAnsi="宋体" w:cs="宋体"/>
          <w:kern w:val="0"/>
        </w:rPr>
        <w:t>临时占地及工程施工活动区域</w:t>
      </w:r>
      <w:r>
        <w:rPr>
          <w:rFonts w:ascii="宋体" w:eastAsia="宋体" w:hAnsi="宋体" w:cs="宋体" w:hint="eastAsia"/>
          <w:kern w:val="0"/>
        </w:rPr>
        <w:t>，</w:t>
      </w:r>
      <w:r>
        <w:rPr>
          <w:rFonts w:ascii="宋体" w:eastAsia="宋体" w:hAnsi="宋体" w:cs="宋体"/>
          <w:kern w:val="0"/>
        </w:rPr>
        <w:t>由于施工人员的践踏和施工机械的碾压</w:t>
      </w:r>
      <w:r>
        <w:rPr>
          <w:rFonts w:ascii="宋体" w:eastAsia="宋体" w:hAnsi="宋体" w:cs="宋体" w:hint="eastAsia"/>
          <w:kern w:val="0"/>
        </w:rPr>
        <w:t>，</w:t>
      </w:r>
      <w:r>
        <w:rPr>
          <w:rFonts w:ascii="宋体" w:eastAsia="宋体" w:hAnsi="宋体" w:cs="宋体"/>
          <w:kern w:val="0"/>
        </w:rPr>
        <w:t>将造成如下影响</w:t>
      </w:r>
      <w:r>
        <w:rPr>
          <w:rFonts w:ascii="宋体" w:eastAsia="宋体" w:hAnsi="宋体" w:cs="宋体" w:hint="eastAsia"/>
          <w:kern w:val="0"/>
        </w:rPr>
        <w:t>:</w:t>
      </w:r>
    </w:p>
    <w:p w14:paraId="49826966" w14:textId="77777777" w:rsidR="005A1A44" w:rsidRDefault="0008059E">
      <w:pPr>
        <w:numPr>
          <w:ilvl w:val="0"/>
          <w:numId w:val="13"/>
        </w:numPr>
        <w:ind w:firstLine="480"/>
        <w:rPr>
          <w:rFonts w:ascii="宋体" w:eastAsia="宋体" w:hAnsi="宋体" w:cs="宋体" w:hint="eastAsia"/>
          <w:kern w:val="0"/>
        </w:rPr>
      </w:pPr>
      <w:r>
        <w:rPr>
          <w:rFonts w:ascii="宋体" w:eastAsia="宋体" w:hAnsi="宋体" w:cs="宋体"/>
          <w:kern w:val="0"/>
        </w:rPr>
        <w:t>破坏土壤结构</w:t>
      </w:r>
    </w:p>
    <w:p w14:paraId="2B125070" w14:textId="77777777" w:rsidR="005A1A44" w:rsidRDefault="0008059E">
      <w:pPr>
        <w:ind w:firstLine="480"/>
        <w:rPr>
          <w:rFonts w:ascii="宋体" w:eastAsia="宋体" w:hAnsi="宋体" w:cs="宋体" w:hint="eastAsia"/>
          <w:kern w:val="0"/>
        </w:rPr>
      </w:pPr>
      <w:r>
        <w:rPr>
          <w:rFonts w:ascii="宋体" w:eastAsia="宋体" w:hAnsi="宋体" w:cs="宋体"/>
          <w:kern w:val="0"/>
        </w:rPr>
        <w:t>施工过程中对土地的开挖和填埋</w:t>
      </w:r>
      <w:r>
        <w:rPr>
          <w:rFonts w:ascii="宋体" w:eastAsia="宋体" w:hAnsi="宋体" w:cs="宋体" w:hint="eastAsia"/>
          <w:kern w:val="0"/>
        </w:rPr>
        <w:t>,</w:t>
      </w:r>
      <w:r>
        <w:rPr>
          <w:rFonts w:ascii="宋体" w:eastAsia="宋体" w:hAnsi="宋体" w:cs="宋体"/>
          <w:kern w:val="0"/>
        </w:rPr>
        <w:t>容易破坏团粒结构</w:t>
      </w:r>
      <w:r>
        <w:rPr>
          <w:rFonts w:ascii="宋体" w:eastAsia="宋体" w:hAnsi="宋体" w:cs="宋体" w:hint="eastAsia"/>
          <w:kern w:val="0"/>
        </w:rPr>
        <w:t>,</w:t>
      </w:r>
      <w:r>
        <w:rPr>
          <w:rFonts w:ascii="宋体" w:eastAsia="宋体" w:hAnsi="宋体" w:cs="宋体"/>
          <w:kern w:val="0"/>
        </w:rPr>
        <w:t>干扰团粒结构的自然形成过程</w:t>
      </w:r>
      <w:r>
        <w:rPr>
          <w:rFonts w:ascii="宋体" w:eastAsia="宋体" w:hAnsi="宋体" w:cs="宋体" w:hint="eastAsia"/>
          <w:kern w:val="0"/>
        </w:rPr>
        <w:t>，</w:t>
      </w:r>
      <w:r>
        <w:rPr>
          <w:rFonts w:ascii="宋体" w:eastAsia="宋体" w:hAnsi="宋体" w:cs="宋体"/>
          <w:kern w:val="0"/>
        </w:rPr>
        <w:t>施工过程中的机械碾压、人员践踏等活动都会对土壤结构产生不良影响。</w:t>
      </w:r>
    </w:p>
    <w:p w14:paraId="78A49F1E"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（2）</w:t>
      </w:r>
      <w:r>
        <w:rPr>
          <w:rFonts w:ascii="宋体" w:eastAsia="宋体" w:hAnsi="宋体" w:cs="宋体"/>
          <w:kern w:val="0"/>
        </w:rPr>
        <w:t>破坏土壤层次</w:t>
      </w:r>
      <w:r>
        <w:rPr>
          <w:rFonts w:ascii="宋体" w:eastAsia="宋体" w:hAnsi="宋体" w:cs="宋体" w:hint="eastAsia"/>
          <w:kern w:val="0"/>
        </w:rPr>
        <w:t>、</w:t>
      </w:r>
      <w:r>
        <w:rPr>
          <w:rFonts w:ascii="宋体" w:eastAsia="宋体" w:hAnsi="宋体" w:cs="宋体"/>
          <w:kern w:val="0"/>
        </w:rPr>
        <w:t>改变土壤质地</w:t>
      </w:r>
    </w:p>
    <w:p w14:paraId="5E793835" w14:textId="77777777" w:rsidR="005A1A44" w:rsidRDefault="0008059E">
      <w:pPr>
        <w:ind w:firstLine="480"/>
        <w:rPr>
          <w:rFonts w:ascii="宋体" w:eastAsia="宋体" w:hAnsi="宋体" w:cs="宋体" w:hint="eastAsia"/>
          <w:kern w:val="0"/>
        </w:rPr>
      </w:pPr>
      <w:r>
        <w:rPr>
          <w:rFonts w:ascii="宋体" w:eastAsia="宋体" w:hAnsi="宋体" w:cs="宋体"/>
          <w:kern w:val="0"/>
        </w:rPr>
        <w:t>土壤在形成过程中具有一定的分层特性。工程开挖和回填过程中</w:t>
      </w:r>
      <w:r>
        <w:rPr>
          <w:rFonts w:ascii="宋体" w:eastAsia="宋体" w:hAnsi="宋体" w:cs="宋体" w:hint="eastAsia"/>
          <w:kern w:val="0"/>
        </w:rPr>
        <w:t>，</w:t>
      </w:r>
      <w:r>
        <w:rPr>
          <w:rFonts w:ascii="宋体" w:eastAsia="宋体" w:hAnsi="宋体" w:cs="宋体"/>
          <w:kern w:val="0"/>
        </w:rPr>
        <w:t>必然会对土壤原有层次产生扰动和破坏</w:t>
      </w:r>
      <w:r>
        <w:rPr>
          <w:rFonts w:ascii="宋体" w:eastAsia="宋体" w:hAnsi="宋体" w:cs="宋体" w:hint="eastAsia"/>
          <w:kern w:val="0"/>
        </w:rPr>
        <w:t>，不</w:t>
      </w:r>
      <w:r>
        <w:rPr>
          <w:rFonts w:ascii="宋体" w:eastAsia="宋体" w:hAnsi="宋体" w:cs="宋体"/>
          <w:kern w:val="0"/>
        </w:rPr>
        <w:t>同层次、不同质地的土体产生混合</w:t>
      </w:r>
      <w:r>
        <w:rPr>
          <w:rFonts w:ascii="宋体" w:eastAsia="宋体" w:hAnsi="宋体" w:cs="宋体" w:hint="eastAsia"/>
          <w:kern w:val="0"/>
        </w:rPr>
        <w:t>，</w:t>
      </w:r>
      <w:r>
        <w:rPr>
          <w:rFonts w:ascii="宋体" w:eastAsia="宋体" w:hAnsi="宋体" w:cs="宋体"/>
          <w:kern w:val="0"/>
        </w:rPr>
        <w:t>特别是表层土壤被混合后</w:t>
      </w:r>
      <w:r>
        <w:rPr>
          <w:rFonts w:ascii="宋体" w:eastAsia="宋体" w:hAnsi="宋体" w:cs="宋体" w:hint="eastAsia"/>
          <w:kern w:val="0"/>
        </w:rPr>
        <w:t>，</w:t>
      </w:r>
      <w:r>
        <w:rPr>
          <w:rFonts w:ascii="宋体" w:eastAsia="宋体" w:hAnsi="宋体" w:cs="宋体"/>
          <w:kern w:val="0"/>
        </w:rPr>
        <w:t>直接影响植截的生长和产量</w:t>
      </w:r>
      <w:r>
        <w:rPr>
          <w:rFonts w:ascii="宋体" w:eastAsia="宋体" w:hAnsi="宋体" w:cs="宋体" w:hint="eastAsia"/>
          <w:kern w:val="0"/>
        </w:rPr>
        <w:t>。</w:t>
      </w:r>
    </w:p>
    <w:p w14:paraId="6B6E4243" w14:textId="77777777" w:rsidR="005A1A44" w:rsidRDefault="0008059E">
      <w:pPr>
        <w:ind w:leftChars="200" w:left="480" w:firstLineChars="0" w:firstLine="0"/>
        <w:rPr>
          <w:rFonts w:ascii="宋体" w:eastAsia="宋体" w:hAnsi="宋体" w:cs="宋体" w:hint="eastAsia"/>
          <w:kern w:val="0"/>
        </w:rPr>
      </w:pPr>
      <w:r>
        <w:rPr>
          <w:rFonts w:ascii="宋体" w:eastAsia="宋体" w:hAnsi="宋体" w:cs="宋体" w:hint="eastAsia"/>
          <w:kern w:val="0"/>
        </w:rPr>
        <w:t>（3）</w:t>
      </w:r>
      <w:r>
        <w:rPr>
          <w:rFonts w:ascii="宋体" w:eastAsia="宋体" w:hAnsi="宋体" w:cs="宋体"/>
          <w:kern w:val="0"/>
        </w:rPr>
        <w:t>影响土壤的紧实度</w:t>
      </w:r>
    </w:p>
    <w:p w14:paraId="7FF0EB96" w14:textId="77777777" w:rsidR="005A1A44" w:rsidRDefault="0008059E">
      <w:pPr>
        <w:ind w:firstLine="480"/>
        <w:rPr>
          <w:rFonts w:ascii="宋体" w:eastAsia="宋体" w:hAnsi="宋体" w:cs="宋体" w:hint="eastAsia"/>
          <w:kern w:val="0"/>
        </w:rPr>
      </w:pPr>
      <w:r>
        <w:rPr>
          <w:rFonts w:ascii="宋体" w:eastAsia="宋体" w:hAnsi="宋体" w:cs="宋体"/>
          <w:kern w:val="0"/>
        </w:rPr>
        <w:t>施工机械作业中</w:t>
      </w:r>
      <w:r>
        <w:rPr>
          <w:rFonts w:ascii="宋体" w:eastAsia="宋体" w:hAnsi="宋体" w:cs="宋体" w:hint="eastAsia"/>
          <w:kern w:val="0"/>
        </w:rPr>
        <w:t>，</w:t>
      </w:r>
      <w:r>
        <w:rPr>
          <w:rFonts w:ascii="宋体" w:eastAsia="宋体" w:hAnsi="宋体" w:cs="宋体"/>
          <w:kern w:val="0"/>
        </w:rPr>
        <w:t>机械设备的碾压</w:t>
      </w:r>
      <w:r>
        <w:rPr>
          <w:rFonts w:ascii="宋体" w:eastAsia="宋体" w:hAnsi="宋体" w:cs="宋体" w:hint="eastAsia"/>
          <w:kern w:val="0"/>
        </w:rPr>
        <w:t>、</w:t>
      </w:r>
      <w:r>
        <w:rPr>
          <w:rFonts w:ascii="宋体" w:eastAsia="宋体" w:hAnsi="宋体" w:cs="宋体"/>
          <w:kern w:val="0"/>
        </w:rPr>
        <w:t>施工人员的践踏使土壤紧实度增高</w:t>
      </w:r>
      <w:r>
        <w:rPr>
          <w:rFonts w:ascii="宋体" w:eastAsia="宋体" w:hAnsi="宋体" w:cs="宋体" w:hint="eastAsia"/>
          <w:kern w:val="0"/>
        </w:rPr>
        <w:t>、</w:t>
      </w:r>
      <w:r>
        <w:rPr>
          <w:rFonts w:ascii="宋体" w:eastAsia="宋体" w:hAnsi="宋体" w:cs="宋体"/>
          <w:kern w:val="0"/>
        </w:rPr>
        <w:t>影</w:t>
      </w:r>
      <w:r>
        <w:rPr>
          <w:rFonts w:ascii="宋体" w:eastAsia="宋体" w:hAnsi="宋体" w:cs="宋体" w:hint="eastAsia"/>
          <w:kern w:val="0"/>
        </w:rPr>
        <w:t>响</w:t>
      </w:r>
      <w:r>
        <w:rPr>
          <w:rFonts w:ascii="宋体" w:eastAsia="宋体" w:hAnsi="宋体" w:cs="宋体"/>
          <w:kern w:val="0"/>
        </w:rPr>
        <w:t>地表水的入</w:t>
      </w:r>
      <w:r>
        <w:rPr>
          <w:rFonts w:ascii="宋体" w:eastAsia="宋体" w:hAnsi="宋体" w:cs="宋体" w:hint="eastAsia"/>
          <w:kern w:val="0"/>
        </w:rPr>
        <w:t>渗，</w:t>
      </w:r>
      <w:r>
        <w:rPr>
          <w:rFonts w:ascii="宋体" w:eastAsia="宋体" w:hAnsi="宋体" w:cs="宋体"/>
          <w:kern w:val="0"/>
        </w:rPr>
        <w:t>土体过于紧实不利于作物的生长</w:t>
      </w:r>
      <w:r>
        <w:rPr>
          <w:rFonts w:ascii="宋体" w:eastAsia="宋体" w:hAnsi="宋体" w:cs="宋体" w:hint="eastAsia"/>
          <w:kern w:val="0"/>
        </w:rPr>
        <w:t>。</w:t>
      </w:r>
    </w:p>
    <w:p w14:paraId="588AE562" w14:textId="77777777" w:rsidR="005A1A44" w:rsidRDefault="0008059E">
      <w:pPr>
        <w:ind w:leftChars="200" w:left="480" w:firstLineChars="0" w:firstLine="0"/>
        <w:rPr>
          <w:rFonts w:ascii="宋体" w:eastAsia="宋体" w:hAnsi="宋体" w:cs="宋体" w:hint="eastAsia"/>
          <w:kern w:val="0"/>
        </w:rPr>
      </w:pPr>
      <w:r>
        <w:rPr>
          <w:rFonts w:ascii="宋体" w:eastAsia="宋体" w:hAnsi="宋体" w:cs="宋体" w:hint="eastAsia"/>
          <w:kern w:val="0"/>
        </w:rPr>
        <w:t>（4）</w:t>
      </w:r>
      <w:r>
        <w:rPr>
          <w:rFonts w:ascii="宋体" w:eastAsia="宋体" w:hAnsi="宋体" w:cs="宋体"/>
          <w:kern w:val="0"/>
        </w:rPr>
        <w:t>土壤养分流失</w:t>
      </w:r>
    </w:p>
    <w:p w14:paraId="638EBF3C" w14:textId="77777777" w:rsidR="005A1A44" w:rsidRDefault="0008059E">
      <w:pPr>
        <w:ind w:firstLine="480"/>
        <w:rPr>
          <w:rFonts w:ascii="宋体" w:eastAsia="宋体" w:hAnsi="宋体" w:cs="宋体" w:hint="eastAsia"/>
          <w:kern w:val="0"/>
        </w:rPr>
      </w:pPr>
      <w:r>
        <w:rPr>
          <w:rFonts w:ascii="宋体" w:eastAsia="宋体" w:hAnsi="宋体" w:cs="宋体"/>
          <w:kern w:val="0"/>
        </w:rPr>
        <w:t>全氨、全磷均较其他层次高。施工作业对原有的土体构型产生扰动</w:t>
      </w:r>
      <w:r>
        <w:rPr>
          <w:rFonts w:ascii="宋体" w:eastAsia="宋体" w:hAnsi="宋体" w:cs="宋体" w:hint="eastAsia"/>
          <w:kern w:val="0"/>
        </w:rPr>
        <w:t>，</w:t>
      </w:r>
      <w:r>
        <w:rPr>
          <w:rFonts w:ascii="宋体" w:eastAsia="宋体" w:hAnsi="宋体" w:cs="宋体"/>
          <w:kern w:val="0"/>
        </w:rPr>
        <w:t>发生变化</w:t>
      </w:r>
      <w:r>
        <w:rPr>
          <w:rFonts w:ascii="宋体" w:eastAsia="宋体" w:hAnsi="宋体" w:cs="宋体" w:hint="eastAsia"/>
          <w:kern w:val="0"/>
        </w:rPr>
        <w:t>，</w:t>
      </w:r>
      <w:r>
        <w:rPr>
          <w:rFonts w:ascii="宋体" w:eastAsia="宋体" w:hAnsi="宋体" w:cs="宋体"/>
          <w:kern w:val="0"/>
        </w:rPr>
        <w:t>土壤养分状况受到影响</w:t>
      </w:r>
      <w:r>
        <w:rPr>
          <w:rFonts w:ascii="宋体" w:eastAsia="宋体" w:hAnsi="宋体" w:cs="宋体" w:hint="eastAsia"/>
          <w:kern w:val="0"/>
        </w:rPr>
        <w:t>，</w:t>
      </w:r>
      <w:r>
        <w:rPr>
          <w:rFonts w:ascii="宋体" w:eastAsia="宋体" w:hAnsi="宋体" w:cs="宋体"/>
          <w:kern w:val="0"/>
        </w:rPr>
        <w:t>从而影响植物的生长</w:t>
      </w:r>
      <w:r>
        <w:rPr>
          <w:rFonts w:ascii="宋体" w:eastAsia="宋体" w:hAnsi="宋体" w:cs="宋体" w:hint="eastAsia"/>
          <w:kern w:val="0"/>
        </w:rPr>
        <w:t>。</w:t>
      </w:r>
    </w:p>
    <w:p w14:paraId="764B4A71"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（5）</w:t>
      </w:r>
      <w:r>
        <w:rPr>
          <w:rFonts w:ascii="宋体" w:eastAsia="宋体" w:hAnsi="宋体" w:cs="宋体"/>
          <w:kern w:val="0"/>
        </w:rPr>
        <w:t>对土壤生物的影响</w:t>
      </w:r>
    </w:p>
    <w:p w14:paraId="4173D599" w14:textId="77777777" w:rsidR="005A1A44" w:rsidRDefault="0008059E">
      <w:pPr>
        <w:ind w:firstLine="480"/>
        <w:rPr>
          <w:rFonts w:ascii="宋体" w:eastAsia="宋体" w:hAnsi="宋体" w:cs="宋体" w:hint="eastAsia"/>
          <w:kern w:val="0"/>
        </w:rPr>
      </w:pPr>
      <w:r>
        <w:rPr>
          <w:rFonts w:ascii="宋体" w:eastAsia="宋体" w:hAnsi="宋体" w:cs="宋体"/>
          <w:kern w:val="0"/>
        </w:rPr>
        <w:t>土壤理化性质和土体构型的改变</w:t>
      </w:r>
      <w:r>
        <w:rPr>
          <w:rFonts w:ascii="宋体" w:eastAsia="宋体" w:hAnsi="宋体" w:cs="宋体" w:hint="eastAsia"/>
          <w:kern w:val="0"/>
        </w:rPr>
        <w:t>，</w:t>
      </w:r>
      <w:r>
        <w:rPr>
          <w:rFonts w:ascii="宋体" w:eastAsia="宋体" w:hAnsi="宋体" w:cs="宋体"/>
          <w:kern w:val="0"/>
        </w:rPr>
        <w:t>会使土壤中的微生物</w:t>
      </w:r>
      <w:r>
        <w:rPr>
          <w:rFonts w:ascii="宋体" w:eastAsia="宋体" w:hAnsi="宋体" w:cs="宋体" w:hint="eastAsia"/>
          <w:kern w:val="0"/>
        </w:rPr>
        <w:t>、</w:t>
      </w:r>
      <w:r>
        <w:rPr>
          <w:rFonts w:ascii="宋体" w:eastAsia="宋体" w:hAnsi="宋体" w:cs="宋体"/>
          <w:kern w:val="0"/>
        </w:rPr>
        <w:t>原生动物及其它</w:t>
      </w:r>
      <w:r>
        <w:rPr>
          <w:rFonts w:ascii="宋体" w:eastAsia="宋体" w:hAnsi="宋体" w:cs="宋体" w:hint="eastAsia"/>
          <w:kern w:val="0"/>
        </w:rPr>
        <w:t>节</w:t>
      </w:r>
      <w:r>
        <w:rPr>
          <w:rFonts w:ascii="宋体" w:eastAsia="宋体" w:hAnsi="宋体" w:cs="宋体"/>
          <w:kern w:val="0"/>
        </w:rPr>
        <w:t>肢动物、环节动物</w:t>
      </w:r>
      <w:r>
        <w:rPr>
          <w:rFonts w:ascii="宋体" w:eastAsia="宋体" w:hAnsi="宋体" w:cs="宋体" w:hint="eastAsia"/>
          <w:kern w:val="0"/>
        </w:rPr>
        <w:t>、</w:t>
      </w:r>
      <w:r>
        <w:rPr>
          <w:rFonts w:ascii="宋体" w:eastAsia="宋体" w:hAnsi="宋体" w:cs="宋体"/>
          <w:kern w:val="0"/>
        </w:rPr>
        <w:t>软体动物的栖息环境改变</w:t>
      </w:r>
      <w:r>
        <w:rPr>
          <w:rFonts w:ascii="宋体" w:eastAsia="宋体" w:hAnsi="宋体" w:cs="宋体" w:hint="eastAsia"/>
          <w:kern w:val="0"/>
        </w:rPr>
        <w:t>。</w:t>
      </w:r>
    </w:p>
    <w:p w14:paraId="13D634DD" w14:textId="77777777" w:rsidR="005A1A44" w:rsidRDefault="0008059E">
      <w:pPr>
        <w:ind w:firstLine="480"/>
        <w:rPr>
          <w:rFonts w:ascii="宋体" w:eastAsia="宋体" w:hAnsi="宋体" w:cs="宋体" w:hint="eastAsia"/>
          <w:kern w:val="0"/>
        </w:rPr>
      </w:pPr>
      <w:r>
        <w:rPr>
          <w:rFonts w:ascii="宋体" w:eastAsia="宋体" w:hAnsi="宋体" w:cs="宋体"/>
          <w:kern w:val="0"/>
        </w:rPr>
        <w:t>由于本施工区无珍稀土壤生物</w:t>
      </w:r>
      <w:r>
        <w:rPr>
          <w:rFonts w:ascii="宋体" w:eastAsia="宋体" w:hAnsi="宋体" w:cs="宋体" w:hint="eastAsia"/>
          <w:kern w:val="0"/>
        </w:rPr>
        <w:t>，且</w:t>
      </w:r>
      <w:r>
        <w:rPr>
          <w:rFonts w:ascii="宋体" w:eastAsia="宋体" w:hAnsi="宋体" w:cs="宋体"/>
          <w:kern w:val="0"/>
        </w:rPr>
        <w:t>施工结束后大部分区域恢复成湿地和人工绿地</w:t>
      </w:r>
      <w:r>
        <w:rPr>
          <w:rFonts w:ascii="宋体" w:eastAsia="宋体" w:hAnsi="宋体" w:cs="宋体" w:hint="eastAsia"/>
          <w:kern w:val="0"/>
        </w:rPr>
        <w:t>，</w:t>
      </w:r>
      <w:r>
        <w:rPr>
          <w:rFonts w:ascii="宋体" w:eastAsia="宋体" w:hAnsi="宋体" w:cs="宋体"/>
          <w:kern w:val="0"/>
        </w:rPr>
        <w:t>所以上壤生物的生态平衡很快会恢复</w:t>
      </w:r>
      <w:r>
        <w:rPr>
          <w:rFonts w:ascii="宋体" w:eastAsia="宋体" w:hAnsi="宋体" w:cs="宋体" w:hint="eastAsia"/>
          <w:kern w:val="0"/>
        </w:rPr>
        <w:t>。</w:t>
      </w:r>
    </w:p>
    <w:p w14:paraId="1BB6B371" w14:textId="77777777" w:rsidR="005A1A44" w:rsidRDefault="0008059E">
      <w:pPr>
        <w:pStyle w:val="3"/>
        <w:numPr>
          <w:ilvl w:val="2"/>
          <w:numId w:val="2"/>
        </w:numPr>
      </w:pPr>
      <w:r>
        <w:rPr>
          <w:rFonts w:hint="eastAsia"/>
        </w:rPr>
        <w:lastRenderedPageBreak/>
        <w:t xml:space="preserve"> </w:t>
      </w:r>
      <w:r>
        <w:rPr>
          <w:rFonts w:hint="eastAsia"/>
        </w:rPr>
        <w:t>施工对陆生动物的影响</w:t>
      </w:r>
    </w:p>
    <w:p w14:paraId="4B0EAF85" w14:textId="77777777" w:rsidR="005A1A44" w:rsidRDefault="0008059E">
      <w:pPr>
        <w:ind w:firstLine="480"/>
        <w:rPr>
          <w:rFonts w:ascii="宋体" w:eastAsia="宋体" w:hAnsi="宋体" w:cs="宋体" w:hint="eastAsia"/>
          <w:kern w:val="0"/>
        </w:rPr>
      </w:pPr>
      <w:r>
        <w:rPr>
          <w:rFonts w:ascii="宋体" w:eastAsia="宋体" w:hAnsi="宋体" w:cs="宋体"/>
          <w:kern w:val="0"/>
        </w:rPr>
        <w:t>施工期对工程评价区内的动物影响主要为工程古地</w:t>
      </w:r>
      <w:r>
        <w:rPr>
          <w:rFonts w:ascii="宋体" w:eastAsia="宋体" w:hAnsi="宋体" w:cs="宋体" w:hint="eastAsia"/>
          <w:kern w:val="0"/>
        </w:rPr>
        <w:t>，</w:t>
      </w:r>
      <w:r>
        <w:rPr>
          <w:rFonts w:ascii="宋体" w:eastAsia="宋体" w:hAnsi="宋体" w:cs="宋体"/>
          <w:kern w:val="0"/>
        </w:rPr>
        <w:t>开挖和施工人员活动干扰因素以及植被的破坏等</w:t>
      </w:r>
      <w:r>
        <w:rPr>
          <w:rFonts w:ascii="宋体" w:eastAsia="宋体" w:hAnsi="宋体" w:cs="宋体" w:hint="eastAsia"/>
          <w:kern w:val="0"/>
        </w:rPr>
        <w:t>，</w:t>
      </w:r>
      <w:r>
        <w:rPr>
          <w:rFonts w:ascii="宋体" w:eastAsia="宋体" w:hAnsi="宋体" w:cs="宋体"/>
          <w:kern w:val="0"/>
        </w:rPr>
        <w:t>这些变化将影响此范围内的陆生动物的活动区城迁徙途径</w:t>
      </w:r>
      <w:r>
        <w:rPr>
          <w:rFonts w:ascii="宋体" w:eastAsia="宋体" w:hAnsi="宋体" w:cs="宋体" w:hint="eastAsia"/>
          <w:kern w:val="0"/>
        </w:rPr>
        <w:t>、</w:t>
      </w:r>
      <w:r>
        <w:rPr>
          <w:rFonts w:ascii="宋体" w:eastAsia="宋体" w:hAnsi="宋体" w:cs="宋体"/>
          <w:kern w:val="0"/>
        </w:rPr>
        <w:t>栖息区域、觅食范围等</w:t>
      </w:r>
      <w:r>
        <w:rPr>
          <w:rFonts w:ascii="宋体" w:eastAsia="宋体" w:hAnsi="宋体" w:cs="宋体" w:hint="eastAsia"/>
          <w:kern w:val="0"/>
        </w:rPr>
        <w:t>，</w:t>
      </w:r>
      <w:r>
        <w:rPr>
          <w:rFonts w:ascii="宋体" w:eastAsia="宋体" w:hAnsi="宋体" w:cs="宋体"/>
          <w:kern w:val="0"/>
        </w:rPr>
        <w:t>从而对动物的生存产生一定的影响</w:t>
      </w:r>
      <w:r>
        <w:rPr>
          <w:rFonts w:ascii="宋体" w:eastAsia="宋体" w:hAnsi="宋体" w:cs="宋体" w:hint="eastAsia"/>
          <w:kern w:val="0"/>
        </w:rPr>
        <w:t>。</w:t>
      </w:r>
      <w:r>
        <w:rPr>
          <w:rFonts w:ascii="宋体" w:eastAsia="宋体" w:hAnsi="宋体" w:cs="宋体"/>
          <w:kern w:val="0"/>
        </w:rPr>
        <w:t>另外施工机械、车辆的噪声和施工人员活动等干扰</w:t>
      </w:r>
      <w:r>
        <w:rPr>
          <w:rFonts w:ascii="宋体" w:eastAsia="宋体" w:hAnsi="宋体" w:cs="宋体" w:hint="eastAsia"/>
          <w:kern w:val="0"/>
        </w:rPr>
        <w:t>，</w:t>
      </w:r>
      <w:r>
        <w:rPr>
          <w:rFonts w:ascii="宋体" w:eastAsia="宋体" w:hAnsi="宋体" w:cs="宋体"/>
          <w:kern w:val="0"/>
        </w:rPr>
        <w:t>将迫使动物远离工程施工附近区域</w:t>
      </w:r>
      <w:r>
        <w:rPr>
          <w:rFonts w:ascii="宋体" w:eastAsia="宋体" w:hAnsi="宋体" w:cs="宋体" w:hint="eastAsia"/>
          <w:kern w:val="0"/>
        </w:rPr>
        <w:t>，</w:t>
      </w:r>
      <w:r>
        <w:rPr>
          <w:rFonts w:ascii="宋体" w:eastAsia="宋体" w:hAnsi="宋体" w:cs="宋体"/>
          <w:kern w:val="0"/>
        </w:rPr>
        <w:t>但施工结束后</w:t>
      </w:r>
      <w:r>
        <w:rPr>
          <w:rFonts w:ascii="宋体" w:eastAsia="宋体" w:hAnsi="宋体" w:cs="宋体" w:hint="eastAsia"/>
          <w:kern w:val="0"/>
        </w:rPr>
        <w:t>，</w:t>
      </w:r>
      <w:r>
        <w:rPr>
          <w:rFonts w:ascii="宋体" w:eastAsia="宋体" w:hAnsi="宋体" w:cs="宋体"/>
          <w:kern w:val="0"/>
        </w:rPr>
        <w:t>这种影响也会随着消失。</w:t>
      </w:r>
    </w:p>
    <w:p w14:paraId="0D70675F" w14:textId="77777777" w:rsidR="005A1A44" w:rsidRDefault="0008059E">
      <w:pPr>
        <w:ind w:firstLine="480"/>
        <w:rPr>
          <w:rFonts w:ascii="宋体" w:eastAsia="宋体" w:hAnsi="宋体" w:cs="宋体" w:hint="eastAsia"/>
          <w:kern w:val="0"/>
        </w:rPr>
      </w:pPr>
      <w:r>
        <w:rPr>
          <w:rFonts w:ascii="宋体" w:eastAsia="宋体" w:hAnsi="宋体" w:cs="宋体"/>
          <w:kern w:val="0"/>
        </w:rPr>
        <w:t>工程所处区域生境</w:t>
      </w:r>
      <w:r>
        <w:rPr>
          <w:rFonts w:ascii="宋体" w:eastAsia="宋体" w:hAnsi="宋体" w:cs="宋体" w:hint="eastAsia"/>
          <w:kern w:val="0"/>
        </w:rPr>
        <w:t>较</w:t>
      </w:r>
      <w:r>
        <w:rPr>
          <w:rFonts w:ascii="宋体" w:eastAsia="宋体" w:hAnsi="宋体" w:cs="宋体"/>
          <w:kern w:val="0"/>
        </w:rPr>
        <w:t>单一</w:t>
      </w:r>
      <w:r>
        <w:rPr>
          <w:rFonts w:ascii="宋体" w:eastAsia="宋体" w:hAnsi="宋体" w:cs="宋体" w:hint="eastAsia"/>
          <w:kern w:val="0"/>
        </w:rPr>
        <w:t>，处于人类活动干扰比较大的城市区域，</w:t>
      </w:r>
      <w:r>
        <w:rPr>
          <w:rFonts w:ascii="宋体" w:eastAsia="宋体" w:hAnsi="宋体" w:cs="宋体"/>
          <w:kern w:val="0"/>
        </w:rPr>
        <w:t>基本上以适应性强的广布种为主</w:t>
      </w:r>
      <w:r>
        <w:rPr>
          <w:rFonts w:ascii="宋体" w:eastAsia="宋体" w:hAnsi="宋体" w:cs="宋体" w:hint="eastAsia"/>
          <w:kern w:val="0"/>
        </w:rPr>
        <w:t>，</w:t>
      </w:r>
      <w:r>
        <w:rPr>
          <w:rFonts w:ascii="宋体" w:eastAsia="宋体" w:hAnsi="宋体" w:cs="宋体"/>
          <w:kern w:val="0"/>
        </w:rPr>
        <w:t>未见珍稀和保护级别的</w:t>
      </w:r>
      <w:r>
        <w:rPr>
          <w:rFonts w:ascii="宋体" w:eastAsia="宋体" w:hAnsi="宋体" w:cs="宋体" w:hint="eastAsia"/>
          <w:kern w:val="0"/>
        </w:rPr>
        <w:t>动物和</w:t>
      </w:r>
      <w:r>
        <w:rPr>
          <w:rFonts w:ascii="宋体" w:eastAsia="宋体" w:hAnsi="宋体" w:cs="宋体"/>
          <w:kern w:val="0"/>
        </w:rPr>
        <w:t>鸟类</w:t>
      </w:r>
      <w:r>
        <w:rPr>
          <w:rFonts w:ascii="宋体" w:eastAsia="宋体" w:hAnsi="宋体" w:cs="宋体" w:hint="eastAsia"/>
          <w:kern w:val="0"/>
        </w:rPr>
        <w:t>，</w:t>
      </w:r>
      <w:r>
        <w:rPr>
          <w:rFonts w:ascii="宋体" w:eastAsia="宋体" w:hAnsi="宋体" w:cs="宋体"/>
          <w:kern w:val="0"/>
        </w:rPr>
        <w:t>工程占地区内未见鸟类营巢。工程区内兽类数量和种类都较少</w:t>
      </w:r>
      <w:r>
        <w:rPr>
          <w:rFonts w:ascii="宋体" w:eastAsia="宋体" w:hAnsi="宋体" w:cs="宋体" w:hint="eastAsia"/>
          <w:kern w:val="0"/>
        </w:rPr>
        <w:t>，</w:t>
      </w:r>
      <w:r>
        <w:rPr>
          <w:rFonts w:ascii="宋体" w:eastAsia="宋体" w:hAnsi="宋体" w:cs="宋体"/>
          <w:kern w:val="0"/>
        </w:rPr>
        <w:t>王要以啮齿目等小型兽类为主</w:t>
      </w:r>
      <w:r>
        <w:rPr>
          <w:rFonts w:ascii="宋体" w:eastAsia="宋体" w:hAnsi="宋体" w:cs="宋体" w:hint="eastAsia"/>
          <w:kern w:val="0"/>
        </w:rPr>
        <w:t>，</w:t>
      </w:r>
      <w:r>
        <w:rPr>
          <w:rFonts w:ascii="宋体" w:eastAsia="宋体" w:hAnsi="宋体" w:cs="宋体"/>
          <w:kern w:val="0"/>
        </w:rPr>
        <w:t>工程占地区未见</w:t>
      </w:r>
      <w:r>
        <w:rPr>
          <w:rFonts w:ascii="宋体" w:eastAsia="宋体" w:hAnsi="宋体" w:cs="宋体" w:hint="eastAsia"/>
          <w:kern w:val="0"/>
        </w:rPr>
        <w:t>大</w:t>
      </w:r>
      <w:r>
        <w:rPr>
          <w:rFonts w:ascii="宋体" w:eastAsia="宋体" w:hAnsi="宋体" w:cs="宋体"/>
          <w:kern w:val="0"/>
        </w:rPr>
        <w:t>型</w:t>
      </w:r>
      <w:r>
        <w:rPr>
          <w:rFonts w:ascii="宋体" w:eastAsia="宋体" w:hAnsi="宋体" w:cs="宋体" w:hint="eastAsia"/>
          <w:kern w:val="0"/>
        </w:rPr>
        <w:t>兽</w:t>
      </w:r>
      <w:r>
        <w:rPr>
          <w:rFonts w:ascii="宋体" w:eastAsia="宋体" w:hAnsi="宋体" w:cs="宋体"/>
          <w:kern w:val="0"/>
        </w:rPr>
        <w:t>类栖息活动</w:t>
      </w:r>
      <w:r>
        <w:rPr>
          <w:rFonts w:ascii="宋体" w:eastAsia="宋体" w:hAnsi="宋体" w:cs="宋体" w:hint="eastAsia"/>
          <w:kern w:val="0"/>
        </w:rPr>
        <w:t>，</w:t>
      </w:r>
      <w:r>
        <w:rPr>
          <w:rFonts w:ascii="宋体" w:eastAsia="宋体" w:hAnsi="宋体" w:cs="宋体"/>
          <w:kern w:val="0"/>
        </w:rPr>
        <w:t>没有珍稀兽类活动痕迹</w:t>
      </w:r>
      <w:r>
        <w:rPr>
          <w:rFonts w:ascii="宋体" w:eastAsia="宋体" w:hAnsi="宋体" w:cs="宋体" w:hint="eastAsia"/>
          <w:kern w:val="0"/>
        </w:rPr>
        <w:t>，</w:t>
      </w:r>
      <w:r>
        <w:rPr>
          <w:rFonts w:ascii="宋体" w:eastAsia="宋体" w:hAnsi="宋体" w:cs="宋体"/>
          <w:kern w:val="0"/>
        </w:rPr>
        <w:t>偶见啮齿目动物活动觅食。工程地不会对陆生动物产生较大影响。</w:t>
      </w:r>
    </w:p>
    <w:p w14:paraId="2C3A6A20" w14:textId="77777777" w:rsidR="005A1A44" w:rsidRDefault="0008059E">
      <w:pPr>
        <w:pStyle w:val="3"/>
        <w:numPr>
          <w:ilvl w:val="2"/>
          <w:numId w:val="2"/>
        </w:numPr>
      </w:pPr>
      <w:r>
        <w:rPr>
          <w:rFonts w:hint="eastAsia"/>
        </w:rPr>
        <w:t xml:space="preserve"> </w:t>
      </w:r>
      <w:r>
        <w:rPr>
          <w:rFonts w:hint="eastAsia"/>
        </w:rPr>
        <w:t>施工对水生动物的影响</w:t>
      </w:r>
    </w:p>
    <w:p w14:paraId="58061375" w14:textId="77777777" w:rsidR="005A1A44" w:rsidRDefault="0008059E">
      <w:pPr>
        <w:ind w:firstLine="480"/>
      </w:pPr>
      <w:r>
        <w:rPr>
          <w:rFonts w:hint="eastAsia"/>
        </w:rPr>
        <w:t>本项目不在和田河流域土著鱼类的“三场”分布区，项目施工期间，需要将原河段进行封闭导流，可能会对鱼类的通道产生一定的影响，但由于不是将河道断流，鱼类会顺施工导流渠回游等，施工结束后这一影响消失，项目施工不会对鱼类等生物造成大的影响。</w:t>
      </w:r>
    </w:p>
    <w:p w14:paraId="7C25546E" w14:textId="77777777" w:rsidR="005A1A44" w:rsidRDefault="0008059E">
      <w:pPr>
        <w:pStyle w:val="3"/>
        <w:numPr>
          <w:ilvl w:val="2"/>
          <w:numId w:val="2"/>
        </w:numPr>
      </w:pPr>
      <w:r>
        <w:rPr>
          <w:rFonts w:hint="eastAsia"/>
        </w:rPr>
        <w:t xml:space="preserve"> </w:t>
      </w:r>
      <w:r>
        <w:t>施工期水土流失的影响</w:t>
      </w:r>
    </w:p>
    <w:p w14:paraId="3F24F380" w14:textId="77777777" w:rsidR="005A1A44" w:rsidRDefault="0008059E">
      <w:pPr>
        <w:ind w:firstLine="480"/>
      </w:pPr>
      <w:r>
        <w:rPr>
          <w:rFonts w:ascii="宋体" w:eastAsia="宋体" w:hAnsi="宋体" w:cs="宋体" w:hint="eastAsia"/>
          <w:kern w:val="0"/>
        </w:rPr>
        <w:t>水土流失</w:t>
      </w:r>
      <w:r>
        <w:rPr>
          <w:rFonts w:ascii="宋体" w:eastAsia="宋体" w:hAnsi="宋体" w:cs="宋体"/>
          <w:kern w:val="0"/>
        </w:rPr>
        <w:t>是自然与人为双重因素作用的结果</w:t>
      </w:r>
      <w:r>
        <w:rPr>
          <w:rFonts w:ascii="宋体" w:eastAsia="宋体" w:hAnsi="宋体" w:cs="宋体" w:hint="eastAsia"/>
          <w:kern w:val="0"/>
        </w:rPr>
        <w:t>。</w:t>
      </w:r>
      <w:r>
        <w:rPr>
          <w:rFonts w:ascii="宋体" w:eastAsia="宋体" w:hAnsi="宋体" w:cs="宋体"/>
          <w:kern w:val="0"/>
        </w:rPr>
        <w:t>在区域自然侵蚀背景下</w:t>
      </w:r>
      <w:r>
        <w:rPr>
          <w:rFonts w:ascii="宋体" w:eastAsia="宋体" w:hAnsi="宋体" w:cs="宋体" w:hint="eastAsia"/>
          <w:kern w:val="0"/>
        </w:rPr>
        <w:t>，工程可能加剧水土流失</w:t>
      </w:r>
      <w:r>
        <w:rPr>
          <w:rFonts w:ascii="宋体" w:eastAsia="宋体" w:hAnsi="宋体" w:cs="宋体"/>
          <w:kern w:val="0"/>
        </w:rPr>
        <w:t>的主要因素体现在两个方面</w:t>
      </w:r>
      <w:r>
        <w:rPr>
          <w:rFonts w:ascii="宋体" w:eastAsia="宋体" w:hAnsi="宋体" w:cs="宋体" w:hint="eastAsia"/>
          <w:kern w:val="0"/>
        </w:rPr>
        <w:t>：一</w:t>
      </w:r>
      <w:r>
        <w:rPr>
          <w:rFonts w:ascii="宋体" w:eastAsia="宋体" w:hAnsi="宋体" w:cs="宋体"/>
          <w:kern w:val="0"/>
        </w:rPr>
        <w:t>方面是工程施工</w:t>
      </w:r>
      <w:r>
        <w:rPr>
          <w:rFonts w:ascii="宋体" w:eastAsia="宋体" w:hAnsi="宋体" w:cs="宋体" w:hint="eastAsia"/>
          <w:kern w:val="0"/>
        </w:rPr>
        <w:t>扰动，破坏地表植被等</w:t>
      </w:r>
      <w:r>
        <w:rPr>
          <w:rFonts w:ascii="宋体" w:eastAsia="宋体" w:hAnsi="宋体" w:cs="宋体"/>
          <w:kern w:val="0"/>
        </w:rPr>
        <w:t>具有水土保持功能的设施</w:t>
      </w:r>
      <w:r>
        <w:rPr>
          <w:rFonts w:ascii="宋体" w:eastAsia="宋体" w:hAnsi="宋体" w:cs="宋体" w:hint="eastAsia"/>
          <w:kern w:val="0"/>
        </w:rPr>
        <w:t>，</w:t>
      </w:r>
      <w:r>
        <w:rPr>
          <w:rFonts w:ascii="宋体" w:eastAsia="宋体" w:hAnsi="宋体" w:cs="宋体"/>
          <w:kern w:val="0"/>
        </w:rPr>
        <w:t>使地表控流程发生变化</w:t>
      </w:r>
      <w:r>
        <w:rPr>
          <w:rFonts w:ascii="宋体" w:eastAsia="宋体" w:hAnsi="宋体" w:cs="宋体" w:hint="eastAsia"/>
          <w:kern w:val="0"/>
        </w:rPr>
        <w:t>，</w:t>
      </w:r>
      <w:r>
        <w:rPr>
          <w:rFonts w:ascii="宋体" w:eastAsia="宋体" w:hAnsi="宋体" w:cs="宋体"/>
          <w:kern w:val="0"/>
        </w:rPr>
        <w:t>使边坡岩层裸露</w:t>
      </w:r>
      <w:r>
        <w:rPr>
          <w:rFonts w:ascii="宋体" w:eastAsia="宋体" w:hAnsi="宋体" w:cs="宋体" w:hint="eastAsia"/>
          <w:kern w:val="0"/>
        </w:rPr>
        <w:t>；</w:t>
      </w:r>
      <w:r>
        <w:rPr>
          <w:rFonts w:ascii="宋体" w:eastAsia="宋体" w:hAnsi="宋体" w:cs="宋体"/>
          <w:kern w:val="0"/>
        </w:rPr>
        <w:t>同时</w:t>
      </w:r>
      <w:r>
        <w:rPr>
          <w:rFonts w:ascii="宋体" w:eastAsia="宋体" w:hAnsi="宋体" w:cs="宋体" w:hint="eastAsia"/>
          <w:kern w:val="0"/>
        </w:rPr>
        <w:t>，</w:t>
      </w:r>
      <w:r>
        <w:rPr>
          <w:rFonts w:ascii="宋体" w:eastAsia="宋体" w:hAnsi="宋体" w:cs="宋体"/>
          <w:kern w:val="0"/>
        </w:rPr>
        <w:t>扰动、破坏使土壤质地发生相应变化</w:t>
      </w:r>
      <w:r>
        <w:rPr>
          <w:rFonts w:ascii="宋体" w:eastAsia="宋体" w:hAnsi="宋体" w:cs="宋体" w:hint="eastAsia"/>
          <w:kern w:val="0"/>
        </w:rPr>
        <w:t>，导致区域土壤模数显著增大，加剧水土流失。另一方面，工程土石方的开发挖产生大量弃渣，</w:t>
      </w:r>
      <w:r>
        <w:rPr>
          <w:rFonts w:ascii="宋体" w:eastAsia="宋体" w:hAnsi="宋体" w:cs="宋体"/>
          <w:kern w:val="0"/>
        </w:rPr>
        <w:t>弃渣堆放</w:t>
      </w:r>
      <w:r>
        <w:rPr>
          <w:rFonts w:ascii="宋体" w:eastAsia="宋体" w:hAnsi="宋体" w:cs="宋体" w:hint="eastAsia"/>
          <w:kern w:val="0"/>
        </w:rPr>
        <w:t>在未采取有效措施的情况下，遇到雨水冲刷，造成弃渣大量流失，导致水土流失量的增加。</w:t>
      </w:r>
    </w:p>
    <w:p w14:paraId="079E52F0"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本工程施工主要在河滩地内，弓藏能区域地势相对较平坦，河道疏浚和基础开</w:t>
      </w:r>
      <w:r>
        <w:rPr>
          <w:rFonts w:ascii="宋体" w:eastAsia="宋体" w:hAnsi="宋体" w:cs="宋体" w:hint="eastAsia"/>
          <w:kern w:val="0"/>
        </w:rPr>
        <w:lastRenderedPageBreak/>
        <w:t>挖时对工作区域进行一定的防护，加之区域干旱少雨，总体上水土流失量不大。</w:t>
      </w:r>
    </w:p>
    <w:p w14:paraId="5FE08811" w14:textId="77777777" w:rsidR="005A1A44" w:rsidRDefault="0008059E">
      <w:pPr>
        <w:pStyle w:val="3"/>
        <w:numPr>
          <w:ilvl w:val="2"/>
          <w:numId w:val="2"/>
        </w:numPr>
      </w:pPr>
      <w:r>
        <w:rPr>
          <w:rFonts w:hint="eastAsia"/>
        </w:rPr>
        <w:t xml:space="preserve"> </w:t>
      </w:r>
      <w:r>
        <w:t>工程施工对</w:t>
      </w:r>
      <w:r>
        <w:rPr>
          <w:rFonts w:hint="eastAsia"/>
        </w:rPr>
        <w:t>生</w:t>
      </w:r>
      <w:r>
        <w:t>态完整性的影响</w:t>
      </w:r>
    </w:p>
    <w:p w14:paraId="43D0EDEF" w14:textId="77777777" w:rsidR="005A1A44" w:rsidRDefault="0008059E">
      <w:pPr>
        <w:ind w:firstLine="480"/>
        <w:rPr>
          <w:rFonts w:ascii="宋体" w:eastAsia="宋体" w:hAnsi="宋体" w:cs="宋体" w:hint="eastAsia"/>
          <w:kern w:val="0"/>
        </w:rPr>
      </w:pPr>
      <w:r>
        <w:rPr>
          <w:rFonts w:ascii="宋体" w:eastAsia="宋体" w:hAnsi="宋体" w:cs="宋体"/>
          <w:kern w:val="0"/>
        </w:rPr>
        <w:t>由于工程施工仅使工程</w:t>
      </w:r>
      <w:r>
        <w:rPr>
          <w:rFonts w:ascii="宋体" w:eastAsia="宋体" w:hAnsi="宋体" w:cs="宋体" w:hint="eastAsia"/>
          <w:kern w:val="0"/>
        </w:rPr>
        <w:t>区</w:t>
      </w:r>
      <w:r>
        <w:rPr>
          <w:rFonts w:ascii="宋体" w:eastAsia="宋体" w:hAnsi="宋体" w:cs="宋体"/>
          <w:kern w:val="0"/>
        </w:rPr>
        <w:t>土地利用发生改变</w:t>
      </w:r>
      <w:r>
        <w:rPr>
          <w:rFonts w:ascii="宋体" w:eastAsia="宋体" w:hAnsi="宋体" w:cs="宋体" w:hint="eastAsia"/>
          <w:kern w:val="0"/>
        </w:rPr>
        <w:t>，</w:t>
      </w:r>
      <w:r>
        <w:rPr>
          <w:rFonts w:ascii="宋体" w:eastAsia="宋体" w:hAnsi="宋体" w:cs="宋体"/>
          <w:kern w:val="0"/>
        </w:rPr>
        <w:t>而其它区域</w:t>
      </w:r>
      <w:r>
        <w:rPr>
          <w:rFonts w:ascii="宋体" w:eastAsia="宋体" w:hAnsi="宋体" w:cs="宋体" w:hint="eastAsia"/>
          <w:kern w:val="0"/>
        </w:rPr>
        <w:t>土</w:t>
      </w:r>
      <w:r>
        <w:rPr>
          <w:rFonts w:ascii="宋体" w:eastAsia="宋体" w:hAnsi="宋体" w:cs="宋体"/>
          <w:kern w:val="0"/>
        </w:rPr>
        <w:t>地利用方式</w:t>
      </w:r>
      <w:r>
        <w:rPr>
          <w:rFonts w:ascii="宋体" w:eastAsia="宋体" w:hAnsi="宋体" w:cs="宋体" w:hint="eastAsia"/>
          <w:kern w:val="0"/>
        </w:rPr>
        <w:t>维持现状，因此</w:t>
      </w:r>
      <w:r>
        <w:rPr>
          <w:rFonts w:ascii="宋体" w:eastAsia="宋体" w:hAnsi="宋体" w:cs="宋体"/>
          <w:kern w:val="0"/>
        </w:rPr>
        <w:t>工程施工对生态完整性影唰的评价主要是对该工程施工区</w:t>
      </w:r>
      <w:r>
        <w:rPr>
          <w:rFonts w:ascii="宋体" w:eastAsia="宋体" w:hAnsi="宋体" w:cs="宋体" w:hint="eastAsia"/>
          <w:kern w:val="0"/>
        </w:rPr>
        <w:t>范围</w:t>
      </w:r>
      <w:r>
        <w:rPr>
          <w:rFonts w:ascii="宋体" w:eastAsia="宋体" w:hAnsi="宋体" w:cs="宋体"/>
          <w:kern w:val="0"/>
        </w:rPr>
        <w:t>内的自然体系能力与其稳定性状況的变化进行预测分析</w:t>
      </w:r>
      <w:r>
        <w:rPr>
          <w:rFonts w:ascii="宋体" w:eastAsia="宋体" w:hAnsi="宋体" w:cs="宋体" w:hint="eastAsia"/>
          <w:kern w:val="0"/>
        </w:rPr>
        <w:t>。</w:t>
      </w:r>
    </w:p>
    <w:p w14:paraId="4144CA08"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（1）</w:t>
      </w:r>
      <w:r>
        <w:rPr>
          <w:rFonts w:ascii="宋体" w:eastAsia="宋体" w:hAnsi="宋体" w:cs="宋体"/>
          <w:kern w:val="0"/>
        </w:rPr>
        <w:t>自然生态体系生产能力的变化</w:t>
      </w:r>
    </w:p>
    <w:p w14:paraId="07077771"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施工</w:t>
      </w:r>
      <w:r>
        <w:rPr>
          <w:rFonts w:ascii="宋体" w:eastAsia="宋体" w:hAnsi="宋体" w:cs="宋体"/>
          <w:kern w:val="0"/>
        </w:rPr>
        <w:t>直接影响区景观类型</w:t>
      </w:r>
      <w:r>
        <w:rPr>
          <w:rFonts w:ascii="宋体" w:eastAsia="宋体" w:hAnsi="宋体" w:cs="宋体" w:hint="eastAsia"/>
          <w:kern w:val="0"/>
        </w:rPr>
        <w:t>，戈壁地、沙地、盐碱地等未利用的土地是工程区</w:t>
      </w:r>
      <w:r>
        <w:rPr>
          <w:rFonts w:ascii="宋体" w:eastAsia="宋体" w:hAnsi="宋体" w:cs="宋体"/>
          <w:kern w:val="0"/>
        </w:rPr>
        <w:t>景观生态系统</w:t>
      </w:r>
      <w:r>
        <w:rPr>
          <w:rFonts w:ascii="宋体" w:eastAsia="宋体" w:hAnsi="宋体" w:cs="宋体" w:hint="eastAsia"/>
          <w:kern w:val="0"/>
        </w:rPr>
        <w:t>的主要用地类型，是该区域</w:t>
      </w:r>
      <w:r>
        <w:rPr>
          <w:rFonts w:ascii="宋体" w:eastAsia="宋体" w:hAnsi="宋体" w:cs="宋体"/>
          <w:kern w:val="0"/>
        </w:rPr>
        <w:t>生态环境质量的主要控制性组分,而</w:t>
      </w:r>
      <w:r>
        <w:rPr>
          <w:rFonts w:ascii="宋体" w:eastAsia="宋体" w:hAnsi="宋体" w:cs="宋体" w:hint="eastAsia"/>
          <w:kern w:val="0"/>
        </w:rPr>
        <w:t>草地</w:t>
      </w:r>
      <w:r>
        <w:rPr>
          <w:rFonts w:ascii="宋体" w:eastAsia="宋体" w:hAnsi="宋体" w:cs="宋体"/>
          <w:kern w:val="0"/>
        </w:rPr>
        <w:t>是对生态环境质量调控能力较弱的</w:t>
      </w:r>
      <w:r>
        <w:rPr>
          <w:rFonts w:ascii="宋体" w:eastAsia="宋体" w:hAnsi="宋体" w:cs="宋体" w:hint="eastAsia"/>
          <w:kern w:val="0"/>
        </w:rPr>
        <w:t>地块</w:t>
      </w:r>
      <w:r>
        <w:rPr>
          <w:rFonts w:ascii="宋体" w:eastAsia="宋体" w:hAnsi="宋体" w:cs="宋体"/>
          <w:kern w:val="0"/>
        </w:rPr>
        <w:t>类型。工程呈建设过程中</w:t>
      </w:r>
      <w:r>
        <w:rPr>
          <w:rFonts w:ascii="宋体" w:eastAsia="宋体" w:hAnsi="宋体" w:cs="宋体" w:hint="eastAsia"/>
          <w:kern w:val="0"/>
        </w:rPr>
        <w:t>，</w:t>
      </w:r>
      <w:r>
        <w:rPr>
          <w:rFonts w:ascii="宋体" w:eastAsia="宋体" w:hAnsi="宋体" w:cs="宋体"/>
          <w:kern w:val="0"/>
        </w:rPr>
        <w:t>临时占地将改变原有的景观格局</w:t>
      </w:r>
      <w:r>
        <w:rPr>
          <w:rFonts w:ascii="宋体" w:eastAsia="宋体" w:hAnsi="宋体" w:cs="宋体" w:hint="eastAsia"/>
          <w:kern w:val="0"/>
        </w:rPr>
        <w:t>，减少原有未利用土地面积，增加了</w:t>
      </w:r>
      <w:r>
        <w:rPr>
          <w:rFonts w:ascii="宋体" w:eastAsia="宋体" w:hAnsi="宋体" w:cs="宋体"/>
          <w:kern w:val="0"/>
        </w:rPr>
        <w:t>施工作业区</w:t>
      </w:r>
      <w:r>
        <w:rPr>
          <w:rFonts w:ascii="宋体" w:eastAsia="宋体" w:hAnsi="宋体" w:cs="宋体" w:hint="eastAsia"/>
          <w:kern w:val="0"/>
        </w:rPr>
        <w:t>、</w:t>
      </w:r>
      <w:r>
        <w:rPr>
          <w:rFonts w:ascii="宋体" w:eastAsia="宋体" w:hAnsi="宋体" w:cs="宋体"/>
          <w:kern w:val="0"/>
        </w:rPr>
        <w:t>临时堆土场的</w:t>
      </w:r>
      <w:r>
        <w:rPr>
          <w:rFonts w:ascii="宋体" w:eastAsia="宋体" w:hAnsi="宋体" w:cs="宋体" w:hint="eastAsia"/>
          <w:kern w:val="0"/>
        </w:rPr>
        <w:t>面积</w:t>
      </w:r>
      <w:r>
        <w:rPr>
          <w:rFonts w:ascii="宋体" w:eastAsia="宋体" w:hAnsi="宋体" w:cs="宋体"/>
          <w:kern w:val="0"/>
        </w:rPr>
        <w:t>,从而对自然生态体系的生产能力产生影响。</w:t>
      </w:r>
    </w:p>
    <w:p w14:paraId="447DD80F" w14:textId="77777777" w:rsidR="005A1A44" w:rsidRDefault="0008059E">
      <w:pPr>
        <w:ind w:firstLine="480"/>
        <w:rPr>
          <w:rFonts w:ascii="宋体" w:eastAsia="宋体" w:hAnsi="宋体" w:cs="宋体" w:hint="eastAsia"/>
          <w:kern w:val="0"/>
        </w:rPr>
      </w:pPr>
      <w:r>
        <w:rPr>
          <w:rFonts w:ascii="宋体" w:eastAsia="宋体" w:hAnsi="宋体" w:cs="宋体"/>
          <w:kern w:val="0"/>
        </w:rPr>
        <w:t>项目施工后因工程改变了工程区周围土地利用方式</w:t>
      </w:r>
      <w:r>
        <w:rPr>
          <w:rFonts w:ascii="宋体" w:eastAsia="宋体" w:hAnsi="宋体" w:cs="宋体" w:hint="eastAsia"/>
          <w:kern w:val="0"/>
        </w:rPr>
        <w:t>，</w:t>
      </w:r>
      <w:r>
        <w:rPr>
          <w:rFonts w:ascii="宋体" w:eastAsia="宋体" w:hAnsi="宋体" w:cs="宋体"/>
          <w:kern w:val="0"/>
        </w:rPr>
        <w:t>采取的措施对工</w:t>
      </w:r>
      <w:r>
        <w:rPr>
          <w:rFonts w:ascii="宋体" w:eastAsia="宋体" w:hAnsi="宋体" w:cs="宋体" w:hint="eastAsia"/>
          <w:kern w:val="0"/>
        </w:rPr>
        <w:t>程</w:t>
      </w:r>
      <w:r>
        <w:rPr>
          <w:rFonts w:ascii="宋体" w:eastAsia="宋体" w:hAnsi="宋体" w:cs="宋体"/>
          <w:kern w:val="0"/>
        </w:rPr>
        <w:t>区进行</w:t>
      </w:r>
      <w:r>
        <w:rPr>
          <w:rFonts w:ascii="宋体" w:eastAsia="宋体" w:hAnsi="宋体" w:cs="宋体" w:hint="eastAsia"/>
          <w:kern w:val="0"/>
        </w:rPr>
        <w:t>土地系统恢复，其影响也基本消失</w:t>
      </w:r>
      <w:r>
        <w:rPr>
          <w:rFonts w:ascii="宋体" w:eastAsia="宋体" w:hAnsi="宋体" w:cs="宋体"/>
          <w:kern w:val="0"/>
        </w:rPr>
        <w:t>。</w:t>
      </w:r>
    </w:p>
    <w:p w14:paraId="2AD67F28"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（2）</w:t>
      </w:r>
      <w:r>
        <w:rPr>
          <w:rFonts w:ascii="宋体" w:eastAsia="宋体" w:hAnsi="宋体" w:cs="宋体"/>
          <w:kern w:val="0"/>
        </w:rPr>
        <w:t>对生态体系稳定性的影响</w:t>
      </w:r>
    </w:p>
    <w:p w14:paraId="01D8F4DB"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①</w:t>
      </w:r>
      <w:r>
        <w:rPr>
          <w:rFonts w:ascii="宋体" w:eastAsia="宋体" w:hAnsi="宋体" w:cs="宋体"/>
          <w:kern w:val="0"/>
        </w:rPr>
        <w:t>对自然体系恢复稳定性的度量</w:t>
      </w:r>
    </w:p>
    <w:p w14:paraId="7B36286E" w14:textId="77777777" w:rsidR="005A1A44" w:rsidRDefault="0008059E">
      <w:pPr>
        <w:ind w:firstLine="480"/>
        <w:rPr>
          <w:rFonts w:ascii="宋体" w:eastAsia="宋体" w:hAnsi="宋体" w:cs="宋体" w:hint="eastAsia"/>
          <w:kern w:val="0"/>
        </w:rPr>
      </w:pPr>
      <w:r>
        <w:rPr>
          <w:rFonts w:ascii="宋体" w:eastAsia="宋体" w:hAnsi="宋体" w:cs="宋体"/>
          <w:kern w:val="0"/>
        </w:rPr>
        <w:t>由于本工程建成后采取</w:t>
      </w:r>
      <w:r>
        <w:rPr>
          <w:rFonts w:ascii="宋体" w:eastAsia="宋体" w:hAnsi="宋体" w:cs="宋体" w:hint="eastAsia"/>
          <w:kern w:val="0"/>
        </w:rPr>
        <w:t>适当</w:t>
      </w:r>
      <w:r>
        <w:rPr>
          <w:rFonts w:ascii="宋体" w:eastAsia="宋体" w:hAnsi="宋体" w:cs="宋体"/>
          <w:kern w:val="0"/>
        </w:rPr>
        <w:t>的措施</w:t>
      </w:r>
      <w:r>
        <w:rPr>
          <w:rFonts w:ascii="宋体" w:eastAsia="宋体" w:hAnsi="宋体" w:cs="宋体" w:hint="eastAsia"/>
          <w:kern w:val="0"/>
        </w:rPr>
        <w:t>，</w:t>
      </w:r>
      <w:r>
        <w:rPr>
          <w:rFonts w:ascii="宋体" w:eastAsia="宋体" w:hAnsi="宋体" w:cs="宋体"/>
          <w:kern w:val="0"/>
        </w:rPr>
        <w:t>对临时施工场地</w:t>
      </w:r>
      <w:r>
        <w:rPr>
          <w:rFonts w:ascii="宋体" w:eastAsia="宋体" w:hAnsi="宋体" w:cs="宋体" w:hint="eastAsia"/>
          <w:kern w:val="0"/>
        </w:rPr>
        <w:t>、</w:t>
      </w:r>
      <w:r>
        <w:rPr>
          <w:rFonts w:ascii="宋体" w:eastAsia="宋体" w:hAnsi="宋体" w:cs="宋体"/>
          <w:kern w:val="0"/>
        </w:rPr>
        <w:t>主体工程区等区域采取土地平整</w:t>
      </w:r>
      <w:r>
        <w:rPr>
          <w:rFonts w:ascii="宋体" w:eastAsia="宋体" w:hAnsi="宋体" w:cs="宋体" w:hint="eastAsia"/>
          <w:kern w:val="0"/>
        </w:rPr>
        <w:t>、</w:t>
      </w:r>
      <w:r>
        <w:rPr>
          <w:rFonts w:ascii="宋体" w:eastAsia="宋体" w:hAnsi="宋体" w:cs="宋体"/>
          <w:kern w:val="0"/>
        </w:rPr>
        <w:t>种植植物等措施</w:t>
      </w:r>
      <w:r>
        <w:rPr>
          <w:rFonts w:ascii="宋体" w:eastAsia="宋体" w:hAnsi="宋体" w:cs="宋体" w:hint="eastAsia"/>
          <w:kern w:val="0"/>
        </w:rPr>
        <w:t>，</w:t>
      </w:r>
      <w:r>
        <w:rPr>
          <w:rFonts w:ascii="宋体" w:eastAsia="宋体" w:hAnsi="宋体" w:cs="宋体"/>
          <w:kern w:val="0"/>
        </w:rPr>
        <w:t>因此工程施工建设对施工区自然生态体系恢复稳定性的影响</w:t>
      </w:r>
      <w:r>
        <w:rPr>
          <w:rFonts w:ascii="宋体" w:eastAsia="宋体" w:hAnsi="宋体" w:cs="宋体" w:hint="eastAsia"/>
          <w:kern w:val="0"/>
        </w:rPr>
        <w:t>不大</w:t>
      </w:r>
      <w:r>
        <w:rPr>
          <w:rFonts w:ascii="宋体" w:eastAsia="宋体" w:hAnsi="宋体" w:cs="宋体"/>
          <w:kern w:val="0"/>
        </w:rPr>
        <w:t>。</w:t>
      </w:r>
    </w:p>
    <w:p w14:paraId="67BA10FA"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②</w:t>
      </w:r>
      <w:r>
        <w:rPr>
          <w:rFonts w:ascii="宋体" w:eastAsia="宋体" w:hAnsi="宋体" w:cs="宋体"/>
          <w:kern w:val="0"/>
        </w:rPr>
        <w:t>对自然体系阻抗稳定性的度量</w:t>
      </w:r>
    </w:p>
    <w:p w14:paraId="682A31E4" w14:textId="77777777" w:rsidR="005A1A44" w:rsidRDefault="0008059E">
      <w:pPr>
        <w:ind w:firstLine="480"/>
        <w:rPr>
          <w:rFonts w:ascii="宋体" w:eastAsia="宋体" w:hAnsi="宋体" w:cs="宋体" w:hint="eastAsia"/>
          <w:kern w:val="0"/>
        </w:rPr>
      </w:pPr>
      <w:r>
        <w:rPr>
          <w:rFonts w:ascii="宋体" w:eastAsia="宋体" w:hAnsi="宋体" w:cs="宋体"/>
          <w:kern w:val="0"/>
        </w:rPr>
        <w:t>阻抗稳定性取决于自然生态体系的组成元素的数量、空间分布以及其异质化程度。通常用自然体系内植被异质性程度的改变程度来度量。</w:t>
      </w:r>
    </w:p>
    <w:p w14:paraId="35C8E753" w14:textId="77777777" w:rsidR="005A1A44" w:rsidRDefault="0008059E">
      <w:pPr>
        <w:ind w:firstLine="480"/>
        <w:rPr>
          <w:rFonts w:ascii="宋体" w:eastAsia="宋体" w:hAnsi="宋体" w:cs="宋体" w:hint="eastAsia"/>
          <w:kern w:val="0"/>
        </w:rPr>
      </w:pPr>
      <w:r>
        <w:rPr>
          <w:rFonts w:ascii="宋体" w:eastAsia="宋体" w:hAnsi="宋体" w:cs="宋体"/>
          <w:kern w:val="0"/>
        </w:rPr>
        <w:t>工程建设过程中</w:t>
      </w:r>
      <w:r>
        <w:rPr>
          <w:rFonts w:ascii="宋体" w:eastAsia="宋体" w:hAnsi="宋体" w:cs="宋体" w:hint="eastAsia"/>
          <w:kern w:val="0"/>
        </w:rPr>
        <w:t>，</w:t>
      </w:r>
      <w:r>
        <w:rPr>
          <w:rFonts w:ascii="宋体" w:eastAsia="宋体" w:hAnsi="宋体" w:cs="宋体"/>
          <w:kern w:val="0"/>
        </w:rPr>
        <w:t>工程区周围土地利用方式局部发生了改变</w:t>
      </w:r>
      <w:r>
        <w:rPr>
          <w:rFonts w:ascii="宋体" w:eastAsia="宋体" w:hAnsi="宋体" w:cs="宋体" w:hint="eastAsia"/>
          <w:kern w:val="0"/>
        </w:rPr>
        <w:t>，</w:t>
      </w:r>
      <w:r>
        <w:rPr>
          <w:rFonts w:ascii="宋体" w:eastAsia="宋体" w:hAnsi="宋体" w:cs="宋体"/>
          <w:kern w:val="0"/>
        </w:rPr>
        <w:t>但主要类型</w:t>
      </w:r>
      <w:r>
        <w:rPr>
          <w:rFonts w:ascii="宋体" w:eastAsia="宋体" w:hAnsi="宋体" w:cs="宋体" w:hint="eastAsia"/>
          <w:kern w:val="0"/>
        </w:rPr>
        <w:t>仍</w:t>
      </w:r>
      <w:r>
        <w:rPr>
          <w:rFonts w:ascii="宋体" w:eastAsia="宋体" w:hAnsi="宋体" w:cs="宋体"/>
          <w:kern w:val="0"/>
        </w:rPr>
        <w:t>然为</w:t>
      </w:r>
      <w:r>
        <w:rPr>
          <w:rFonts w:ascii="宋体" w:eastAsia="宋体" w:hAnsi="宋体" w:cs="宋体" w:hint="eastAsia"/>
          <w:kern w:val="0"/>
        </w:rPr>
        <w:t>未利用的盐碱地、沙地、戈壁石砾地等，</w:t>
      </w:r>
      <w:r>
        <w:rPr>
          <w:rFonts w:ascii="宋体" w:eastAsia="宋体" w:hAnsi="宋体" w:cs="宋体"/>
          <w:kern w:val="0"/>
        </w:rPr>
        <w:t>其仍然是控制周边生态环境质量的拼块类型</w:t>
      </w:r>
      <w:r>
        <w:rPr>
          <w:rFonts w:ascii="宋体" w:eastAsia="宋体" w:hAnsi="宋体" w:cs="宋体" w:hint="eastAsia"/>
          <w:kern w:val="0"/>
        </w:rPr>
        <w:t>；</w:t>
      </w:r>
      <w:r>
        <w:rPr>
          <w:rFonts w:ascii="宋体" w:eastAsia="宋体" w:hAnsi="宋体" w:cs="宋体"/>
          <w:kern w:val="0"/>
        </w:rPr>
        <w:t>同时由于施工营地</w:t>
      </w:r>
      <w:r>
        <w:rPr>
          <w:rFonts w:ascii="宋体" w:eastAsia="宋体" w:hAnsi="宋体" w:cs="宋体" w:hint="eastAsia"/>
          <w:kern w:val="0"/>
        </w:rPr>
        <w:t>，</w:t>
      </w:r>
      <w:r>
        <w:rPr>
          <w:rFonts w:ascii="宋体" w:eastAsia="宋体" w:hAnsi="宋体" w:cs="宋体"/>
          <w:kern w:val="0"/>
        </w:rPr>
        <w:t>生产区等景观的形成</w:t>
      </w:r>
      <w:r>
        <w:rPr>
          <w:rFonts w:ascii="宋体" w:eastAsia="宋体" w:hAnsi="宋体" w:cs="宋体" w:hint="eastAsia"/>
          <w:kern w:val="0"/>
        </w:rPr>
        <w:t>，</w:t>
      </w:r>
      <w:r>
        <w:rPr>
          <w:rFonts w:ascii="宋体" w:eastAsia="宋体" w:hAnsi="宋体" w:cs="宋体"/>
          <w:kern w:val="0"/>
        </w:rPr>
        <w:t>改变了区内现有的景观空间格局</w:t>
      </w:r>
      <w:r>
        <w:rPr>
          <w:rFonts w:ascii="宋体" w:eastAsia="宋体" w:hAnsi="宋体" w:cs="宋体" w:hint="eastAsia"/>
          <w:kern w:val="0"/>
        </w:rPr>
        <w:t>，</w:t>
      </w:r>
      <w:r>
        <w:rPr>
          <w:rFonts w:ascii="宋体" w:eastAsia="宋体" w:hAnsi="宋体" w:cs="宋体"/>
          <w:kern w:val="0"/>
        </w:rPr>
        <w:t>造成</w:t>
      </w:r>
      <w:r>
        <w:rPr>
          <w:rFonts w:ascii="宋体" w:eastAsia="宋体" w:hAnsi="宋体" w:cs="宋体" w:hint="eastAsia"/>
          <w:kern w:val="0"/>
        </w:rPr>
        <w:t>景观</w:t>
      </w:r>
      <w:r>
        <w:rPr>
          <w:rFonts w:ascii="宋体" w:eastAsia="宋体" w:hAnsi="宋体" w:cs="宋体"/>
          <w:kern w:val="0"/>
        </w:rPr>
        <w:t>破碎化程度的提高</w:t>
      </w:r>
      <w:r>
        <w:rPr>
          <w:rFonts w:ascii="宋体" w:eastAsia="宋体" w:hAnsi="宋体" w:cs="宋体" w:hint="eastAsia"/>
          <w:kern w:val="0"/>
        </w:rPr>
        <w:t>，</w:t>
      </w:r>
      <w:r>
        <w:rPr>
          <w:rFonts w:ascii="宋体" w:eastAsia="宋体" w:hAnsi="宋体" w:cs="宋体"/>
          <w:kern w:val="0"/>
        </w:rPr>
        <w:t>降低了施工规划区自然体系的异质化程度</w:t>
      </w:r>
      <w:r>
        <w:rPr>
          <w:rFonts w:ascii="宋体" w:eastAsia="宋体" w:hAnsi="宋体" w:cs="宋体" w:hint="eastAsia"/>
          <w:kern w:val="0"/>
        </w:rPr>
        <w:t>，</w:t>
      </w:r>
      <w:r>
        <w:rPr>
          <w:rFonts w:ascii="宋体" w:eastAsia="宋体" w:hAnsi="宋体" w:cs="宋体"/>
          <w:kern w:val="0"/>
        </w:rPr>
        <w:t>从而降低了该区域自然体系的阻抗稳定性。</w:t>
      </w:r>
    </w:p>
    <w:p w14:paraId="775F196A" w14:textId="77777777" w:rsidR="005A1A44" w:rsidRDefault="0008059E">
      <w:pPr>
        <w:ind w:firstLine="480"/>
      </w:pPr>
      <w:r>
        <w:rPr>
          <w:rFonts w:ascii="宋体" w:eastAsia="宋体" w:hAnsi="宋体" w:cs="宋体" w:hint="eastAsia"/>
          <w:kern w:val="0"/>
        </w:rPr>
        <w:lastRenderedPageBreak/>
        <w:t>（3）</w:t>
      </w:r>
      <w:r>
        <w:rPr>
          <w:rFonts w:ascii="宋体" w:eastAsia="宋体" w:hAnsi="宋体" w:cs="宋体"/>
          <w:kern w:val="0"/>
        </w:rPr>
        <w:t>对生态体系综合质量的影响</w:t>
      </w:r>
    </w:p>
    <w:p w14:paraId="165EF58A" w14:textId="77777777" w:rsidR="005A1A44" w:rsidRDefault="0008059E">
      <w:pPr>
        <w:ind w:firstLine="480"/>
      </w:pPr>
      <w:r>
        <w:rPr>
          <w:rFonts w:hint="eastAsia"/>
        </w:rPr>
        <w:t>项目施工期间，区域范围内的土地利人用格局发生了变化，其中原有的盐碱地、戈壁石砾地等被施工生产区、弃渣区等占据，从而导致对该区域自然生态生态系统具有控制性作用的地块面积减少，且施工中占用少量草地和耕地，但对总的土地利用类型改变有限，总体上，工程对区内自然体系的稳定状况影响不大，对该区域自然体系综合治理的影响也不大。</w:t>
      </w:r>
      <w:bookmarkStart w:id="199" w:name="_Toc465790240"/>
      <w:bookmarkStart w:id="200" w:name="_Toc24475_WPSOffice_Level2"/>
    </w:p>
    <w:p w14:paraId="53FE76B0" w14:textId="77777777" w:rsidR="005A1A44" w:rsidRDefault="0008059E">
      <w:pPr>
        <w:pStyle w:val="2"/>
        <w:numPr>
          <w:ilvl w:val="1"/>
          <w:numId w:val="2"/>
        </w:numPr>
      </w:pPr>
      <w:r>
        <w:rPr>
          <w:rFonts w:hint="eastAsia"/>
        </w:rPr>
        <w:t xml:space="preserve"> </w:t>
      </w:r>
      <w:bookmarkStart w:id="201" w:name="_Toc17256_WPSOffice_Level2"/>
      <w:bookmarkStart w:id="202" w:name="_Toc25985_WPSOffice_Level2"/>
      <w:r>
        <w:rPr>
          <w:rFonts w:hint="eastAsia"/>
        </w:rPr>
        <w:t>施工期社会影响分析</w:t>
      </w:r>
      <w:bookmarkEnd w:id="199"/>
      <w:bookmarkEnd w:id="200"/>
      <w:bookmarkEnd w:id="201"/>
      <w:bookmarkEnd w:id="202"/>
    </w:p>
    <w:p w14:paraId="641C29AF" w14:textId="77777777" w:rsidR="005A1A44" w:rsidRDefault="0008059E">
      <w:pPr>
        <w:pStyle w:val="3"/>
        <w:numPr>
          <w:ilvl w:val="2"/>
          <w:numId w:val="2"/>
        </w:numPr>
      </w:pPr>
      <w:r>
        <w:rPr>
          <w:rFonts w:hint="eastAsia"/>
        </w:rPr>
        <w:t xml:space="preserve"> </w:t>
      </w:r>
      <w:r>
        <w:rPr>
          <w:rFonts w:hint="eastAsia"/>
        </w:rPr>
        <w:t>施工对社会经济的影响</w:t>
      </w:r>
    </w:p>
    <w:p w14:paraId="2778000F" w14:textId="77777777" w:rsidR="005A1A44" w:rsidRDefault="0008059E">
      <w:pPr>
        <w:ind w:firstLine="480"/>
      </w:pPr>
      <w:r>
        <w:t>工程的建设将带动施工区域社会经济的发展，具体表现为：工程建设需要大量的水泥、砂石料、铅丝网等建筑材料，将促进当地建筑、运输等相关行业的发展。随着工程建设完成，将改善</w:t>
      </w:r>
      <w:r>
        <w:rPr>
          <w:rFonts w:hint="eastAsia"/>
        </w:rPr>
        <w:t>和田市</w:t>
      </w:r>
      <w:r>
        <w:t>的水环境和提升</w:t>
      </w:r>
      <w:r>
        <w:rPr>
          <w:rFonts w:hint="eastAsia"/>
        </w:rPr>
        <w:t>和田市</w:t>
      </w:r>
      <w:r>
        <w:t>的景观生态水平，也将促进当地服务业、文化娱乐等第三产业的繁荣和发展，创造就业机会，这不仅有利于搞活当地经济，而且会增加群众经济收入，提高当地人民群众的生活质量。</w:t>
      </w:r>
    </w:p>
    <w:p w14:paraId="41A6FEFD" w14:textId="77777777" w:rsidR="005A1A44" w:rsidRDefault="0008059E">
      <w:pPr>
        <w:pStyle w:val="3"/>
        <w:numPr>
          <w:ilvl w:val="2"/>
          <w:numId w:val="2"/>
        </w:numPr>
      </w:pPr>
      <w:bookmarkStart w:id="203" w:name="_Toc224634865"/>
      <w:r>
        <w:rPr>
          <w:rFonts w:hint="eastAsia"/>
        </w:rPr>
        <w:t xml:space="preserve"> </w:t>
      </w:r>
      <w:r>
        <w:rPr>
          <w:rFonts w:hint="eastAsia"/>
        </w:rPr>
        <w:t>施工期对交通出行的影响</w:t>
      </w:r>
      <w:bookmarkEnd w:id="203"/>
    </w:p>
    <w:p w14:paraId="3E910AF3" w14:textId="77777777" w:rsidR="005A1A44" w:rsidRDefault="0008059E">
      <w:pPr>
        <w:ind w:firstLine="480"/>
      </w:pPr>
      <w:r>
        <w:rPr>
          <w:rFonts w:hint="eastAsia"/>
        </w:rPr>
        <w:t>项目施工对交通的影响主要体现在：</w:t>
      </w:r>
    </w:p>
    <w:p w14:paraId="5D5DDA5A" w14:textId="77777777" w:rsidR="005A1A44" w:rsidRDefault="0008059E">
      <w:pPr>
        <w:ind w:firstLine="480"/>
      </w:pPr>
      <w:r>
        <w:rPr>
          <w:rFonts w:hint="eastAsia"/>
        </w:rPr>
        <w:t>（</w:t>
      </w:r>
      <w:r>
        <w:rPr>
          <w:rFonts w:hint="eastAsia"/>
        </w:rPr>
        <w:t>1</w:t>
      </w:r>
      <w:r>
        <w:rPr>
          <w:rFonts w:hint="eastAsia"/>
        </w:rPr>
        <w:t>）建筑材料运输车辆的增加使道路上的车流量增大；</w:t>
      </w:r>
    </w:p>
    <w:p w14:paraId="748E92DF" w14:textId="77777777" w:rsidR="005A1A44" w:rsidRDefault="0008059E">
      <w:pPr>
        <w:ind w:firstLine="480"/>
      </w:pPr>
      <w:r>
        <w:rPr>
          <w:rFonts w:hint="eastAsia"/>
        </w:rPr>
        <w:t>（</w:t>
      </w:r>
      <w:r>
        <w:rPr>
          <w:rFonts w:hint="eastAsia"/>
        </w:rPr>
        <w:t>2</w:t>
      </w:r>
      <w:r>
        <w:rPr>
          <w:rFonts w:hint="eastAsia"/>
        </w:rPr>
        <w:t>）土、石、砂料运输撒落，影响交通安全，路面损坏等方面，可能导致交通堵塞。</w:t>
      </w:r>
    </w:p>
    <w:p w14:paraId="1CA56F99" w14:textId="77777777" w:rsidR="005A1A44" w:rsidRDefault="0008059E">
      <w:pPr>
        <w:ind w:firstLine="480"/>
      </w:pPr>
      <w:r>
        <w:t>项目施工过程中拟在各交叉路口以及施工车辆的进出口设置施工提示牌、诱导提示牌、交通活动护栏等，各进出口安排专人管理。</w:t>
      </w:r>
      <w:r>
        <w:rPr>
          <w:rFonts w:hint="eastAsia"/>
        </w:rPr>
        <w:t>同时，应</w:t>
      </w:r>
      <w:r>
        <w:t>尽量避开高峰期，不集中运输，则项目施工对沿线交通的影响在可控制范围内，不会造成太大的影响。</w:t>
      </w:r>
    </w:p>
    <w:p w14:paraId="11B6FA5B" w14:textId="77777777" w:rsidR="005A1A44" w:rsidRDefault="005A1A44">
      <w:pPr>
        <w:pStyle w:val="1"/>
        <w:adjustRightInd w:val="0"/>
        <w:snapToGrid w:val="0"/>
        <w:spacing w:before="0" w:after="0" w:line="360" w:lineRule="auto"/>
        <w:ind w:left="431" w:hanging="431"/>
        <w:sectPr w:rsidR="005A1A44">
          <w:pgSz w:w="12240" w:h="15840"/>
          <w:pgMar w:top="1440" w:right="1803" w:bottom="1440" w:left="1803" w:header="720" w:footer="720" w:gutter="0"/>
          <w:cols w:space="0"/>
          <w:docGrid w:linePitch="312"/>
        </w:sectPr>
      </w:pPr>
      <w:bookmarkStart w:id="204" w:name="_Toc465790241"/>
    </w:p>
    <w:p w14:paraId="33AF2A42" w14:textId="77777777" w:rsidR="005A1A44" w:rsidRDefault="0008059E">
      <w:pPr>
        <w:pStyle w:val="1"/>
        <w:numPr>
          <w:ilvl w:val="0"/>
          <w:numId w:val="2"/>
        </w:numPr>
      </w:pPr>
      <w:bookmarkStart w:id="205" w:name="_Toc25516_WPSOffice_Level1"/>
      <w:r>
        <w:rPr>
          <w:rFonts w:hint="eastAsia"/>
        </w:rPr>
        <w:lastRenderedPageBreak/>
        <w:t xml:space="preserve">  </w:t>
      </w:r>
      <w:bookmarkStart w:id="206" w:name="_Toc1865_WPSOffice_Level1"/>
      <w:bookmarkStart w:id="207" w:name="_Toc23800_WPSOffice_Level1"/>
      <w:bookmarkStart w:id="208" w:name="_Toc32193_WPSOffice_Level1"/>
      <w:r>
        <w:rPr>
          <w:rFonts w:hint="eastAsia"/>
        </w:rPr>
        <w:t>运营期环境影响评价</w:t>
      </w:r>
      <w:bookmarkEnd w:id="204"/>
      <w:bookmarkEnd w:id="205"/>
      <w:bookmarkEnd w:id="206"/>
      <w:bookmarkEnd w:id="207"/>
      <w:bookmarkEnd w:id="208"/>
    </w:p>
    <w:p w14:paraId="61F4FE77" w14:textId="77777777" w:rsidR="005A1A44" w:rsidRDefault="0008059E">
      <w:pPr>
        <w:pStyle w:val="2"/>
        <w:numPr>
          <w:ilvl w:val="1"/>
          <w:numId w:val="2"/>
        </w:numPr>
      </w:pPr>
      <w:bookmarkStart w:id="209" w:name="_Toc9706_WPSOffice_Level2"/>
      <w:r>
        <w:rPr>
          <w:rFonts w:hint="eastAsia"/>
        </w:rPr>
        <w:t xml:space="preserve"> </w:t>
      </w:r>
      <w:bookmarkStart w:id="210" w:name="_Toc15271_WPSOffice_Level2"/>
      <w:r>
        <w:rPr>
          <w:rFonts w:hint="eastAsia"/>
        </w:rPr>
        <w:t>运营期大气环境影响分析</w:t>
      </w:r>
      <w:bookmarkEnd w:id="209"/>
      <w:bookmarkEnd w:id="210"/>
    </w:p>
    <w:p w14:paraId="0ED308EE" w14:textId="77777777" w:rsidR="005A1A44" w:rsidRDefault="0008059E">
      <w:pPr>
        <w:ind w:firstLine="480"/>
      </w:pPr>
      <w:r>
        <w:rPr>
          <w:rFonts w:hint="eastAsia"/>
        </w:rPr>
        <w:t>本项目作为河道综合治理工程，建成后基本没有废气产排。景观绿化区割草机割草产生的扬尘和喷洒化学农药产生的异味，工作人员应在行人较少的时候对草坪进行养护，最好选在清晨或傍晚，这样人群受到的影响较小。</w:t>
      </w:r>
    </w:p>
    <w:p w14:paraId="510A42F0" w14:textId="77777777" w:rsidR="005A1A44" w:rsidRDefault="0008059E">
      <w:pPr>
        <w:pStyle w:val="2"/>
        <w:numPr>
          <w:ilvl w:val="1"/>
          <w:numId w:val="2"/>
        </w:numPr>
      </w:pPr>
      <w:bookmarkStart w:id="211" w:name="_Toc10368_WPSOffice_Level2"/>
      <w:r>
        <w:rPr>
          <w:rFonts w:hint="eastAsia"/>
        </w:rPr>
        <w:t xml:space="preserve"> </w:t>
      </w:r>
      <w:bookmarkStart w:id="212" w:name="_Toc21634_WPSOffice_Level2"/>
      <w:r>
        <w:rPr>
          <w:rFonts w:hint="eastAsia"/>
        </w:rPr>
        <w:t>运营期噪声环境影响分析</w:t>
      </w:r>
      <w:bookmarkEnd w:id="211"/>
      <w:bookmarkEnd w:id="212"/>
    </w:p>
    <w:p w14:paraId="11B6DF09" w14:textId="77777777" w:rsidR="005A1A44" w:rsidRDefault="0008059E">
      <w:pPr>
        <w:ind w:firstLine="480"/>
      </w:pPr>
      <w:r>
        <w:rPr>
          <w:rFonts w:hint="eastAsia"/>
        </w:rPr>
        <w:t>本项目作为河道综合治理工程，没有较大的噪声源。割草机割草时产生的噪声，这类噪声是短暂、偶发性噪声，选用高效率低噪声的设备，应在行人较少的时候对沿路绿化进行修剪。</w:t>
      </w:r>
    </w:p>
    <w:p w14:paraId="2F971AB0" w14:textId="77777777" w:rsidR="005A1A44" w:rsidRDefault="0008059E">
      <w:pPr>
        <w:ind w:firstLine="480"/>
      </w:pPr>
      <w:r>
        <w:rPr>
          <w:rFonts w:hint="eastAsia"/>
        </w:rPr>
        <w:t>另外在河道两岸建成的景观休闲区，相比之前会有人的增加，随之而来的是人为活动噪声的产生。根据和田城区河道沿线土地利用规划，这些区域多为城市绿地，没有居住、医疗及教育用地，对声环境相对不敏感。因此由于游人增加而带来的人为活动噪声对所在区域的声环境影响较小。</w:t>
      </w:r>
    </w:p>
    <w:p w14:paraId="52E7912D" w14:textId="77777777" w:rsidR="005A1A44" w:rsidRDefault="0008059E">
      <w:pPr>
        <w:pStyle w:val="2"/>
        <w:numPr>
          <w:ilvl w:val="1"/>
          <w:numId w:val="2"/>
        </w:numPr>
      </w:pPr>
      <w:bookmarkStart w:id="213" w:name="_Toc24092_WPSOffice_Level2"/>
      <w:r>
        <w:rPr>
          <w:rFonts w:hint="eastAsia"/>
        </w:rPr>
        <w:t xml:space="preserve"> </w:t>
      </w:r>
      <w:bookmarkStart w:id="214" w:name="_Toc11904_WPSOffice_Level2"/>
      <w:r>
        <w:rPr>
          <w:rFonts w:hint="eastAsia"/>
        </w:rPr>
        <w:t>运营期地表水、地下水环境影响分析</w:t>
      </w:r>
      <w:bookmarkEnd w:id="213"/>
      <w:bookmarkEnd w:id="214"/>
    </w:p>
    <w:p w14:paraId="18B950E1" w14:textId="77777777" w:rsidR="005A1A44" w:rsidRDefault="0008059E">
      <w:pPr>
        <w:ind w:firstLine="480"/>
      </w:pPr>
      <w:r>
        <w:rPr>
          <w:rFonts w:hint="eastAsia"/>
        </w:rPr>
        <w:t>运营期河道内无废水产生，只在河道两岸的景观休闲区内不设有水冲式厕所，其排水全部接入市政排水管网，不会对周边地表水、地下水环境产生影响。</w:t>
      </w:r>
    </w:p>
    <w:p w14:paraId="18607FF0" w14:textId="77777777" w:rsidR="005A1A44" w:rsidRDefault="0008059E">
      <w:pPr>
        <w:ind w:firstLine="480"/>
      </w:pPr>
      <w:r>
        <w:rPr>
          <w:rFonts w:hint="eastAsia"/>
        </w:rPr>
        <w:t>（</w:t>
      </w:r>
      <w:r>
        <w:rPr>
          <w:rFonts w:hint="eastAsia"/>
        </w:rPr>
        <w:t>1</w:t>
      </w:r>
      <w:r>
        <w:rPr>
          <w:rFonts w:hint="eastAsia"/>
        </w:rPr>
        <w:t>）对河道水文情势的影响</w:t>
      </w:r>
    </w:p>
    <w:p w14:paraId="4918D681" w14:textId="77777777" w:rsidR="005A1A44" w:rsidRDefault="0008059E">
      <w:pPr>
        <w:ind w:firstLine="480"/>
      </w:pPr>
      <w:r>
        <w:t>本次项目段</w:t>
      </w:r>
      <w:r>
        <w:t>8+725</w:t>
      </w:r>
      <w:r>
        <w:t>（高速公路跨河大桥）至</w:t>
      </w:r>
      <w:r>
        <w:t>32+000</w:t>
      </w:r>
      <w:r>
        <w:t>段，该河段长度为</w:t>
      </w:r>
      <w:r>
        <w:t>23.275km</w:t>
      </w:r>
      <w:r>
        <w:t>，河槽宽度大，河床宽度在</w:t>
      </w:r>
      <w:r>
        <w:t>229~867m</w:t>
      </w:r>
      <w:r>
        <w:t>，而计算的稳定河槽宽度为</w:t>
      </w:r>
      <w:r>
        <w:t>156~310m</w:t>
      </w:r>
      <w:r>
        <w:t>；</w:t>
      </w:r>
      <w:r>
        <w:t>32+000</w:t>
      </w:r>
      <w:r>
        <w:t>至</w:t>
      </w:r>
      <w:r>
        <w:t>35+850</w:t>
      </w:r>
      <w:r>
        <w:t>（其中</w:t>
      </w:r>
      <w:r>
        <w:t>35+850</w:t>
      </w:r>
      <w:r>
        <w:t>为玉龙喀什河</w:t>
      </w:r>
      <w:r>
        <w:t>4</w:t>
      </w:r>
      <w:r>
        <w:t>桥，向北延伸北</w:t>
      </w:r>
      <w:r>
        <w:t>500</w:t>
      </w:r>
      <w:r>
        <w:t>米）段该河段长度为</w:t>
      </w:r>
      <w:r>
        <w:lastRenderedPageBreak/>
        <w:t>3.85km</w:t>
      </w:r>
      <w:r>
        <w:t>，河槽宽度大，</w:t>
      </w:r>
      <w:r>
        <w:t xml:space="preserve"> </w:t>
      </w:r>
      <w:r>
        <w:t>主流左右摆动而且汊流多，河床总宽度在</w:t>
      </w:r>
      <w:r>
        <w:t>650~1800m</w:t>
      </w:r>
      <w:r>
        <w:t>，而计算的稳定河槽宽度为</w:t>
      </w:r>
      <w:r>
        <w:t>310~545m</w:t>
      </w:r>
      <w:r>
        <w:t>，两岸河段基本没有永久性防洪工程。因此，直线河段沿自然河岸布置，在弯曲河段，根据河道内的自然趋势用微弯治导线衔接，防止河道左右摆动，控制河床宽度在</w:t>
      </w:r>
      <w:r>
        <w:t>600m</w:t>
      </w:r>
      <w:r>
        <w:t>。</w:t>
      </w:r>
    </w:p>
    <w:p w14:paraId="58E9F52B" w14:textId="77777777" w:rsidR="005A1A44" w:rsidRDefault="0008059E">
      <w:pPr>
        <w:ind w:firstLine="480"/>
      </w:pPr>
      <w:r>
        <w:t>该工程建成后，</w:t>
      </w:r>
      <w:r>
        <w:rPr>
          <w:rFonts w:hint="eastAsia"/>
        </w:rPr>
        <w:t>河道主流稳定，</w:t>
      </w:r>
      <w:r>
        <w:t>提高了防洪标准，有利于安全泄洪</w:t>
      </w:r>
      <w:r>
        <w:rPr>
          <w:rFonts w:hint="eastAsia"/>
        </w:rPr>
        <w:t>，并使</w:t>
      </w:r>
      <w:r>
        <w:t>河道能保持一定水深的水面，本工程的建设对和田河水文情势的变化属于有利影响。</w:t>
      </w:r>
    </w:p>
    <w:p w14:paraId="226F5873" w14:textId="77777777" w:rsidR="005A1A44" w:rsidRDefault="0008059E">
      <w:pPr>
        <w:ind w:firstLine="480"/>
      </w:pPr>
      <w:r>
        <w:rPr>
          <w:rFonts w:hint="eastAsia"/>
        </w:rPr>
        <w:t>（</w:t>
      </w:r>
      <w:r>
        <w:rPr>
          <w:rFonts w:hint="eastAsia"/>
        </w:rPr>
        <w:t>2</w:t>
      </w:r>
      <w:r>
        <w:rPr>
          <w:rFonts w:hint="eastAsia"/>
        </w:rPr>
        <w:t>）对河道水质的影响</w:t>
      </w:r>
    </w:p>
    <w:p w14:paraId="24A107D9" w14:textId="77777777" w:rsidR="005A1A44" w:rsidRDefault="0008059E">
      <w:pPr>
        <w:ind w:firstLine="480"/>
      </w:pPr>
      <w:r>
        <w:t>河道治理工程中的河道疏浚工程对改善</w:t>
      </w:r>
      <w:r>
        <w:rPr>
          <w:rFonts w:hint="eastAsia"/>
        </w:rPr>
        <w:t>玉龙喀什河</w:t>
      </w:r>
      <w:r>
        <w:t>水质</w:t>
      </w:r>
      <w:r>
        <w:rPr>
          <w:rFonts w:hint="eastAsia"/>
        </w:rPr>
        <w:t>可以</w:t>
      </w:r>
      <w:r>
        <w:t>起到</w:t>
      </w:r>
      <w:r>
        <w:rPr>
          <w:rFonts w:hint="eastAsia"/>
        </w:rPr>
        <w:t>一定的改善</w:t>
      </w:r>
      <w:r>
        <w:t>作用，疏浚工程</w:t>
      </w:r>
      <w:r>
        <w:rPr>
          <w:rFonts w:hint="eastAsia"/>
        </w:rPr>
        <w:t>可以</w:t>
      </w:r>
      <w:r>
        <w:t>清出含有一定</w:t>
      </w:r>
      <w:r>
        <w:rPr>
          <w:rFonts w:hint="eastAsia"/>
        </w:rPr>
        <w:t>有机质、</w:t>
      </w:r>
      <w:r>
        <w:t>N</w:t>
      </w:r>
      <w:r>
        <w:t>、</w:t>
      </w:r>
      <w:r>
        <w:t>P</w:t>
      </w:r>
      <w:r>
        <w:t>污染物</w:t>
      </w:r>
      <w:r>
        <w:rPr>
          <w:rFonts w:hint="eastAsia"/>
        </w:rPr>
        <w:t>的</w:t>
      </w:r>
      <w:r>
        <w:t>底泥，</w:t>
      </w:r>
      <w:r>
        <w:rPr>
          <w:rFonts w:hint="eastAsia"/>
        </w:rPr>
        <w:t>从而</w:t>
      </w:r>
      <w:r>
        <w:t>减轻了</w:t>
      </w:r>
      <w:r>
        <w:rPr>
          <w:rFonts w:hint="eastAsia"/>
        </w:rPr>
        <w:t>河道的内源污染，在一定程度上可以起到净化河道水质的作用</w:t>
      </w:r>
      <w:r>
        <w:t>。</w:t>
      </w:r>
    </w:p>
    <w:p w14:paraId="50B6E207" w14:textId="77777777" w:rsidR="005A1A44" w:rsidRDefault="0008059E">
      <w:pPr>
        <w:pStyle w:val="2"/>
        <w:numPr>
          <w:ilvl w:val="1"/>
          <w:numId w:val="2"/>
        </w:numPr>
      </w:pPr>
      <w:bookmarkStart w:id="215" w:name="_Toc4639_WPSOffice_Level2"/>
      <w:r>
        <w:rPr>
          <w:rFonts w:hint="eastAsia"/>
        </w:rPr>
        <w:t xml:space="preserve"> </w:t>
      </w:r>
      <w:bookmarkStart w:id="216" w:name="_Toc3976_WPSOffice_Level2"/>
      <w:r>
        <w:rPr>
          <w:rFonts w:hint="eastAsia"/>
        </w:rPr>
        <w:t>运营期固体废物影响分析</w:t>
      </w:r>
      <w:bookmarkEnd w:id="215"/>
      <w:bookmarkEnd w:id="216"/>
    </w:p>
    <w:p w14:paraId="130A0A5A" w14:textId="77777777" w:rsidR="005A1A44" w:rsidRDefault="0008059E">
      <w:pPr>
        <w:ind w:firstLine="480"/>
      </w:pPr>
      <w:r>
        <w:rPr>
          <w:rFonts w:hint="eastAsia"/>
        </w:rPr>
        <w:t>本项目作为河道综合治理工程，根据其功能定位，产生的固体废物主要为过往行人丢弃的垃圾。河道管护方通过在河段沿岸设置数量合适的垃圾桶，由专人管理，每日由环卫部门清运。</w:t>
      </w:r>
    </w:p>
    <w:p w14:paraId="033BD014" w14:textId="77777777" w:rsidR="005A1A44" w:rsidRDefault="0008059E">
      <w:pPr>
        <w:ind w:firstLine="480"/>
      </w:pPr>
      <w:r>
        <w:rPr>
          <w:rFonts w:hint="eastAsia"/>
        </w:rPr>
        <w:t>项目运营后没有危废产生。</w:t>
      </w:r>
    </w:p>
    <w:p w14:paraId="28AA3747" w14:textId="77777777" w:rsidR="005A1A44" w:rsidRDefault="0008059E">
      <w:pPr>
        <w:pStyle w:val="2"/>
        <w:numPr>
          <w:ilvl w:val="1"/>
          <w:numId w:val="2"/>
        </w:numPr>
      </w:pPr>
      <w:bookmarkStart w:id="217" w:name="_Toc4296_WPSOffice_Level2"/>
      <w:r>
        <w:rPr>
          <w:rFonts w:hint="eastAsia"/>
        </w:rPr>
        <w:t xml:space="preserve"> </w:t>
      </w:r>
      <w:bookmarkStart w:id="218" w:name="_Toc18779_WPSOffice_Level2"/>
      <w:r>
        <w:rPr>
          <w:rFonts w:hint="eastAsia"/>
        </w:rPr>
        <w:t>运营期生态环境影响分析</w:t>
      </w:r>
      <w:bookmarkEnd w:id="217"/>
      <w:bookmarkEnd w:id="218"/>
    </w:p>
    <w:p w14:paraId="2517787D" w14:textId="77777777" w:rsidR="005A1A44" w:rsidRDefault="0008059E">
      <w:pPr>
        <w:pStyle w:val="3"/>
        <w:numPr>
          <w:ilvl w:val="2"/>
          <w:numId w:val="2"/>
        </w:numPr>
      </w:pPr>
      <w:r>
        <w:rPr>
          <w:rFonts w:hint="eastAsia"/>
        </w:rPr>
        <w:t xml:space="preserve"> </w:t>
      </w:r>
      <w:r>
        <w:rPr>
          <w:rFonts w:hint="eastAsia"/>
        </w:rPr>
        <w:t>河道内生态的影响</w:t>
      </w:r>
    </w:p>
    <w:p w14:paraId="107607CA" w14:textId="77777777" w:rsidR="005A1A44" w:rsidRDefault="0008059E">
      <w:pPr>
        <w:ind w:firstLine="480"/>
      </w:pPr>
      <w:r>
        <w:rPr>
          <w:rFonts w:hint="eastAsia"/>
        </w:rPr>
        <w:t>项目建成后河道稳定性增加、防洪能力增强，水土流失有所减弱，</w:t>
      </w:r>
      <w:r>
        <w:t>抬高水位回灌补源，使周边环境的地下水位有所抬升，有利于周边环境的绿化美化；使河道能保持一定水深的水面，有利于水生生物的繁衍、生长、使该区域逐步形成一个完整的生物链，改变周边地区的生态环境。</w:t>
      </w:r>
      <w:r>
        <w:rPr>
          <w:rFonts w:hint="eastAsia"/>
        </w:rPr>
        <w:t>水生态系统住建逐渐稳定。</w:t>
      </w:r>
    </w:p>
    <w:p w14:paraId="1B158296" w14:textId="77777777" w:rsidR="005A1A44" w:rsidRDefault="0008059E">
      <w:pPr>
        <w:pStyle w:val="3"/>
        <w:numPr>
          <w:ilvl w:val="2"/>
          <w:numId w:val="2"/>
        </w:numPr>
      </w:pPr>
      <w:r>
        <w:rPr>
          <w:rFonts w:hint="eastAsia"/>
        </w:rPr>
        <w:lastRenderedPageBreak/>
        <w:t xml:space="preserve"> </w:t>
      </w:r>
      <w:r>
        <w:t>占地影响分析</w:t>
      </w:r>
    </w:p>
    <w:p w14:paraId="233F82CB" w14:textId="77777777" w:rsidR="005A1A44" w:rsidRDefault="0008059E">
      <w:pPr>
        <w:ind w:firstLine="480"/>
      </w:pPr>
      <w:r>
        <w:t>工程</w:t>
      </w:r>
      <w:r>
        <w:rPr>
          <w:rFonts w:hint="eastAsia"/>
        </w:rPr>
        <w:t>建成后，</w:t>
      </w:r>
      <w:r>
        <w:t>将</w:t>
      </w:r>
      <w:r>
        <w:rPr>
          <w:rFonts w:hint="eastAsia"/>
        </w:rPr>
        <w:t>部分</w:t>
      </w:r>
      <w:r>
        <w:t>改变土地原有的生态服务功能</w:t>
      </w:r>
      <w:r>
        <w:rPr>
          <w:rFonts w:hint="eastAsia"/>
        </w:rPr>
        <w:t>，</w:t>
      </w:r>
      <w:r>
        <w:t>工程建设前土地利用状况基本是</w:t>
      </w:r>
      <w:r>
        <w:rPr>
          <w:rFonts w:hint="eastAsia"/>
        </w:rPr>
        <w:t>河漫滩地（盐碱地、沙地和戈壁石砾地）</w:t>
      </w:r>
      <w:r>
        <w:t>和低覆盖度草地</w:t>
      </w:r>
      <w:r>
        <w:rPr>
          <w:rFonts w:hint="eastAsia"/>
        </w:rPr>
        <w:t>，工程建成后河漫滩区域土地利用仍以盐碱地、沙地和戈壁石砾地为主，部分区域仍然保持自然草地，但河岸区域则主要改变为人工草地，将使得区域</w:t>
      </w:r>
      <w:r>
        <w:t>生态环境</w:t>
      </w:r>
      <w:r>
        <w:rPr>
          <w:rFonts w:hint="eastAsia"/>
        </w:rPr>
        <w:t>得到改善。</w:t>
      </w:r>
    </w:p>
    <w:p w14:paraId="56897877" w14:textId="77777777" w:rsidR="005A1A44" w:rsidRDefault="0008059E">
      <w:pPr>
        <w:pStyle w:val="3"/>
        <w:numPr>
          <w:ilvl w:val="2"/>
          <w:numId w:val="2"/>
        </w:numPr>
      </w:pPr>
      <w:r>
        <w:rPr>
          <w:rFonts w:hint="eastAsia"/>
        </w:rPr>
        <w:t xml:space="preserve"> </w:t>
      </w:r>
      <w:r>
        <w:t>土地利用影响分析</w:t>
      </w:r>
    </w:p>
    <w:p w14:paraId="72DF5B72" w14:textId="77777777" w:rsidR="005A1A44" w:rsidRDefault="0008059E">
      <w:pPr>
        <w:ind w:firstLine="480"/>
      </w:pPr>
      <w:r>
        <w:t>工程建成对土地的影响主要为占用土地</w:t>
      </w:r>
      <w:r>
        <w:rPr>
          <w:rFonts w:hint="eastAsia"/>
        </w:rPr>
        <w:t>，</w:t>
      </w:r>
      <w:r>
        <w:t>且属永久性占地</w:t>
      </w:r>
      <w:r>
        <w:t> </w:t>
      </w:r>
      <w:r>
        <w:t>永久性的占地将使被占用土地改变并丧失了原有的功能</w:t>
      </w:r>
      <w:r>
        <w:rPr>
          <w:rFonts w:hint="eastAsia"/>
        </w:rPr>
        <w:t>，</w:t>
      </w:r>
      <w:r>
        <w:t>对整体的土地生产力产生一定的影响。</w:t>
      </w:r>
    </w:p>
    <w:p w14:paraId="7DC42C08" w14:textId="77777777" w:rsidR="005A1A44" w:rsidRDefault="0008059E">
      <w:pPr>
        <w:ind w:firstLine="480"/>
      </w:pPr>
      <w:r>
        <w:rPr>
          <w:rFonts w:hint="eastAsia"/>
        </w:rPr>
        <w:t>现状项目区土地利用情况：项目总的范围为</w:t>
      </w:r>
      <w:r>
        <w:rPr>
          <w:rFonts w:hint="eastAsia"/>
        </w:rPr>
        <w:t>2540hm</w:t>
      </w:r>
      <w:r>
        <w:rPr>
          <w:rFonts w:hint="eastAsia"/>
          <w:vertAlign w:val="superscript"/>
        </w:rPr>
        <w:t>2</w:t>
      </w:r>
      <w:r>
        <w:rPr>
          <w:rFonts w:hint="eastAsia"/>
        </w:rPr>
        <w:t>，以滩涂、沙地、裸地为主，有少量的草地、林地和耕地、城乡用地等。</w:t>
      </w:r>
      <w:r>
        <w:t>工程建成后</w:t>
      </w:r>
      <w:r>
        <w:rPr>
          <w:rFonts w:hint="eastAsia"/>
        </w:rPr>
        <w:t>到区域内土地利用类型仍然以未利用土地为主，部分草地将损失，但河岸区域则主要为景观和绿地，</w:t>
      </w:r>
      <w:r>
        <w:t>将原有低生产力的土地改变成改变成为高生产力的土地</w:t>
      </w:r>
      <w:r>
        <w:rPr>
          <w:rFonts w:hint="eastAsia"/>
        </w:rPr>
        <w:t>，</w:t>
      </w:r>
      <w:r>
        <w:t>对当地土地资源的利用影响不大</w:t>
      </w:r>
      <w:r>
        <w:rPr>
          <w:rFonts w:hint="eastAsia"/>
        </w:rPr>
        <w:t>，</w:t>
      </w:r>
      <w:r>
        <w:t>生态环境将变好。</w:t>
      </w:r>
    </w:p>
    <w:p w14:paraId="69DA266A" w14:textId="77777777" w:rsidR="005A1A44" w:rsidRDefault="0008059E">
      <w:pPr>
        <w:pStyle w:val="3"/>
        <w:numPr>
          <w:ilvl w:val="2"/>
          <w:numId w:val="2"/>
        </w:numPr>
      </w:pPr>
      <w:r>
        <w:rPr>
          <w:rFonts w:hint="eastAsia"/>
        </w:rPr>
        <w:t xml:space="preserve"> </w:t>
      </w:r>
      <w:r>
        <w:t>土壤环境影响分析</w:t>
      </w:r>
    </w:p>
    <w:p w14:paraId="7100A5EB" w14:textId="77777777" w:rsidR="005A1A44" w:rsidRDefault="0008059E">
      <w:pPr>
        <w:ind w:firstLine="480"/>
        <w:rPr>
          <w:rFonts w:ascii="宋体" w:eastAsia="宋体" w:hAnsi="宋体" w:cs="宋体" w:hint="eastAsia"/>
          <w:kern w:val="0"/>
        </w:rPr>
      </w:pPr>
      <w:r>
        <w:rPr>
          <w:rFonts w:ascii="宋体" w:eastAsia="宋体" w:hAnsi="宋体" w:cs="宋体"/>
          <w:kern w:val="0"/>
        </w:rPr>
        <w:t>随着</w:t>
      </w:r>
      <w:r>
        <w:rPr>
          <w:rFonts w:ascii="宋体" w:eastAsia="宋体" w:hAnsi="宋体" w:cs="宋体" w:hint="eastAsia"/>
          <w:kern w:val="0"/>
        </w:rPr>
        <w:t>工程建成</w:t>
      </w:r>
      <w:r>
        <w:rPr>
          <w:rFonts w:ascii="宋体" w:eastAsia="宋体" w:hAnsi="宋体" w:cs="宋体"/>
          <w:kern w:val="0"/>
        </w:rPr>
        <w:t>投运</w:t>
      </w:r>
      <w:r>
        <w:rPr>
          <w:rFonts w:ascii="宋体" w:eastAsia="宋体" w:hAnsi="宋体" w:cs="宋体" w:hint="eastAsia"/>
          <w:kern w:val="0"/>
        </w:rPr>
        <w:t>，河岸景观</w:t>
      </w:r>
      <w:r>
        <w:rPr>
          <w:rFonts w:ascii="宋体" w:eastAsia="宋体" w:hAnsi="宋体" w:cs="宋体"/>
          <w:kern w:val="0"/>
        </w:rPr>
        <w:t>绿化带的建成</w:t>
      </w:r>
      <w:r>
        <w:rPr>
          <w:rFonts w:ascii="宋体" w:eastAsia="宋体" w:hAnsi="宋体" w:cs="宋体" w:hint="eastAsia"/>
          <w:kern w:val="0"/>
        </w:rPr>
        <w:t>，</w:t>
      </w:r>
      <w:r>
        <w:rPr>
          <w:rFonts w:ascii="宋体" w:eastAsia="宋体" w:hAnsi="宋体" w:cs="宋体"/>
          <w:kern w:val="0"/>
        </w:rPr>
        <w:t>土壤将发生</w:t>
      </w:r>
      <w:r>
        <w:rPr>
          <w:rFonts w:ascii="宋体" w:eastAsia="宋体" w:hAnsi="宋体" w:cs="宋体" w:hint="eastAsia"/>
          <w:kern w:val="0"/>
        </w:rPr>
        <w:t>一定程度的</w:t>
      </w:r>
      <w:r>
        <w:rPr>
          <w:rFonts w:ascii="宋体" w:eastAsia="宋体" w:hAnsi="宋体" w:cs="宋体"/>
          <w:kern w:val="0"/>
        </w:rPr>
        <w:t>改变</w:t>
      </w:r>
      <w:r>
        <w:rPr>
          <w:rFonts w:ascii="宋体" w:eastAsia="宋体" w:hAnsi="宋体" w:cs="宋体" w:hint="eastAsia"/>
          <w:kern w:val="0"/>
        </w:rPr>
        <w:t>，河道内及河道两岸</w:t>
      </w:r>
      <w:r>
        <w:rPr>
          <w:rFonts w:ascii="宋体" w:eastAsia="宋体" w:hAnsi="宋体" w:cs="宋体"/>
          <w:kern w:val="0"/>
        </w:rPr>
        <w:t>土壤侵蚀和水土流失将减少</w:t>
      </w:r>
      <w:r>
        <w:rPr>
          <w:rFonts w:ascii="宋体" w:eastAsia="宋体" w:hAnsi="宋体" w:cs="宋体" w:hint="eastAsia"/>
          <w:kern w:val="0"/>
        </w:rPr>
        <w:t>，</w:t>
      </w:r>
      <w:r>
        <w:rPr>
          <w:rFonts w:ascii="宋体" w:eastAsia="宋体" w:hAnsi="宋体" w:cs="宋体"/>
          <w:kern w:val="0"/>
        </w:rPr>
        <w:t>生态环境的变化将吸引更多的动物居住、萌戏和逗留</w:t>
      </w:r>
      <w:r>
        <w:rPr>
          <w:rFonts w:ascii="宋体" w:eastAsia="宋体" w:hAnsi="宋体" w:cs="宋体" w:hint="eastAsia"/>
          <w:kern w:val="0"/>
        </w:rPr>
        <w:t>。</w:t>
      </w:r>
    </w:p>
    <w:p w14:paraId="40EA1A6A" w14:textId="77777777" w:rsidR="005A1A44" w:rsidRDefault="0008059E">
      <w:pPr>
        <w:pStyle w:val="3"/>
        <w:numPr>
          <w:ilvl w:val="2"/>
          <w:numId w:val="2"/>
        </w:numPr>
      </w:pPr>
      <w:r>
        <w:rPr>
          <w:rFonts w:hint="eastAsia"/>
        </w:rPr>
        <w:t xml:space="preserve"> </w:t>
      </w:r>
      <w:r>
        <w:rPr>
          <w:rFonts w:hint="eastAsia"/>
        </w:rPr>
        <w:t>植被</w:t>
      </w:r>
      <w:r>
        <w:t>影响分析</w:t>
      </w:r>
    </w:p>
    <w:p w14:paraId="700419AA" w14:textId="77777777" w:rsidR="005A1A44" w:rsidRDefault="0008059E">
      <w:pPr>
        <w:ind w:firstLine="480"/>
        <w:rPr>
          <w:rFonts w:ascii="宋体" w:eastAsia="宋体" w:hAnsi="宋体" w:cs="宋体" w:hint="eastAsia"/>
          <w:kern w:val="0"/>
        </w:rPr>
      </w:pPr>
      <w:r>
        <w:rPr>
          <w:rFonts w:ascii="宋体" w:eastAsia="宋体" w:hAnsi="宋体" w:cs="宋体"/>
          <w:kern w:val="0"/>
        </w:rPr>
        <w:t>运营期对植被的影响</w:t>
      </w:r>
      <w:r>
        <w:rPr>
          <w:rFonts w:ascii="宋体" w:eastAsia="宋体" w:hAnsi="宋体" w:cs="宋体" w:hint="eastAsia"/>
          <w:kern w:val="0"/>
        </w:rPr>
        <w:t>，</w:t>
      </w:r>
      <w:r>
        <w:rPr>
          <w:rFonts w:ascii="宋体" w:eastAsia="宋体" w:hAnsi="宋体" w:cs="宋体"/>
          <w:kern w:val="0"/>
        </w:rPr>
        <w:t>首先表现在占地对草地</w:t>
      </w:r>
      <w:r>
        <w:rPr>
          <w:rFonts w:ascii="宋体" w:eastAsia="宋体" w:hAnsi="宋体" w:cs="宋体" w:hint="eastAsia"/>
          <w:kern w:val="0"/>
        </w:rPr>
        <w:t>、耕地</w:t>
      </w:r>
      <w:r>
        <w:rPr>
          <w:rFonts w:ascii="宋体" w:eastAsia="宋体" w:hAnsi="宋体" w:cs="宋体"/>
          <w:kern w:val="0"/>
        </w:rPr>
        <w:t>的影响</w:t>
      </w:r>
      <w:r>
        <w:rPr>
          <w:rFonts w:ascii="宋体" w:eastAsia="宋体" w:hAnsi="宋体" w:cs="宋体" w:hint="eastAsia"/>
          <w:kern w:val="0"/>
        </w:rPr>
        <w:t>，工程实施后占地将使得地表生物量</w:t>
      </w:r>
      <w:r>
        <w:rPr>
          <w:rFonts w:ascii="宋体" w:eastAsia="宋体" w:hAnsi="宋体" w:cs="宋体"/>
          <w:kern w:val="0"/>
        </w:rPr>
        <w:t>性损失为</w:t>
      </w:r>
      <w:r>
        <w:rPr>
          <w:rFonts w:ascii="宋体" w:eastAsia="宋体" w:hAnsi="宋体" w:cs="宋体" w:hint="eastAsia"/>
          <w:kern w:val="0"/>
        </w:rPr>
        <w:t>302.07t，但同时由于人工绿地的增加，又使得区域生物量增加529.72t，总体上使得区域草地面积增加259.481hm</w:t>
      </w:r>
      <w:r>
        <w:rPr>
          <w:rFonts w:ascii="宋体" w:eastAsia="宋体" w:hAnsi="宋体" w:cs="宋体" w:hint="eastAsia"/>
          <w:kern w:val="0"/>
          <w:vertAlign w:val="superscript"/>
        </w:rPr>
        <w:t>2</w:t>
      </w:r>
      <w:r>
        <w:rPr>
          <w:rFonts w:ascii="宋体" w:eastAsia="宋体" w:hAnsi="宋体" w:cs="宋体" w:hint="eastAsia"/>
          <w:kern w:val="0"/>
        </w:rPr>
        <w:t>，生物量净增加227.65t。</w:t>
      </w:r>
    </w:p>
    <w:p w14:paraId="685981B2"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lastRenderedPageBreak/>
        <w:t>增加的绿地除了草地，还包括青杨、毛白杨、胡杨、柽柳、旱柳、法国梧桐、火炬树、樱花、山楂、西府海棠、榆叶梅、结香、红瑞木、蜀葵、太平花、海州常山、白三叶、八宝景天、腊梅、迎春、玫瑰、月季、黄蔷薇、黄刺玫等植被，</w:t>
      </w:r>
      <w:r>
        <w:rPr>
          <w:rFonts w:ascii="宋体" w:eastAsia="宋体" w:hAnsi="宋体" w:cs="宋体"/>
          <w:kern w:val="0"/>
        </w:rPr>
        <w:t>这些植物将形成并营造较大面积良好的动植物生态环境</w:t>
      </w:r>
      <w:r>
        <w:rPr>
          <w:rFonts w:ascii="宋体" w:eastAsia="宋体" w:hAnsi="宋体" w:cs="宋体" w:hint="eastAsia"/>
          <w:kern w:val="0"/>
        </w:rPr>
        <w:t>，</w:t>
      </w:r>
      <w:r>
        <w:rPr>
          <w:rFonts w:ascii="宋体" w:eastAsia="宋体" w:hAnsi="宋体" w:cs="宋体"/>
          <w:kern w:val="0"/>
        </w:rPr>
        <w:t>也将吸引较多动物做生存栖息地</w:t>
      </w:r>
      <w:r>
        <w:rPr>
          <w:rFonts w:ascii="宋体" w:eastAsia="宋体" w:hAnsi="宋体" w:cs="宋体" w:hint="eastAsia"/>
          <w:kern w:val="0"/>
        </w:rPr>
        <w:t>，</w:t>
      </w:r>
      <w:r>
        <w:rPr>
          <w:rFonts w:ascii="宋体" w:eastAsia="宋体" w:hAnsi="宋体" w:cs="宋体"/>
          <w:kern w:val="0"/>
        </w:rPr>
        <w:t>同时将会改变周边局地小气候</w:t>
      </w:r>
      <w:r>
        <w:rPr>
          <w:rFonts w:ascii="宋体" w:eastAsia="宋体" w:hAnsi="宋体" w:cs="宋体" w:hint="eastAsia"/>
          <w:kern w:val="0"/>
        </w:rPr>
        <w:t>，</w:t>
      </w:r>
      <w:r>
        <w:rPr>
          <w:rFonts w:ascii="宋体" w:eastAsia="宋体" w:hAnsi="宋体" w:cs="宋体"/>
          <w:kern w:val="0"/>
        </w:rPr>
        <w:t>减少风力</w:t>
      </w:r>
      <w:r>
        <w:rPr>
          <w:rFonts w:ascii="宋体" w:eastAsia="宋体" w:hAnsi="宋体" w:cs="宋体" w:hint="eastAsia"/>
          <w:kern w:val="0"/>
        </w:rPr>
        <w:t>，</w:t>
      </w:r>
      <w:r>
        <w:rPr>
          <w:rFonts w:ascii="宋体" w:eastAsia="宋体" w:hAnsi="宋体" w:cs="宋体"/>
          <w:kern w:val="0"/>
        </w:rPr>
        <w:t>提高土壤蓄水保肥能力</w:t>
      </w:r>
      <w:r>
        <w:rPr>
          <w:rFonts w:ascii="宋体" w:eastAsia="宋体" w:hAnsi="宋体" w:cs="宋体" w:hint="eastAsia"/>
          <w:kern w:val="0"/>
        </w:rPr>
        <w:t>，</w:t>
      </w:r>
      <w:r>
        <w:rPr>
          <w:rFonts w:ascii="宋体" w:eastAsia="宋体" w:hAnsi="宋体" w:cs="宋体"/>
          <w:kern w:val="0"/>
        </w:rPr>
        <w:t>有利于周边自然植被生长和防止水土流失及土地沙化加剧</w:t>
      </w:r>
      <w:r>
        <w:rPr>
          <w:rFonts w:ascii="宋体" w:eastAsia="宋体" w:hAnsi="宋体" w:cs="宋体" w:hint="eastAsia"/>
          <w:kern w:val="0"/>
        </w:rPr>
        <w:t>，</w:t>
      </w:r>
      <w:r>
        <w:rPr>
          <w:rFonts w:ascii="宋体" w:eastAsia="宋体" w:hAnsi="宋体" w:cs="宋体"/>
          <w:kern w:val="0"/>
        </w:rPr>
        <w:t>对区域生态环境产生一定的正面影响</w:t>
      </w:r>
      <w:r>
        <w:rPr>
          <w:rFonts w:ascii="宋体" w:eastAsia="宋体" w:hAnsi="宋体" w:cs="宋体" w:hint="eastAsia"/>
          <w:kern w:val="0"/>
        </w:rPr>
        <w:t>。</w:t>
      </w:r>
    </w:p>
    <w:p w14:paraId="4CD17C14" w14:textId="77777777" w:rsidR="005A1A44" w:rsidRDefault="0008059E">
      <w:pPr>
        <w:pStyle w:val="3"/>
        <w:numPr>
          <w:ilvl w:val="2"/>
          <w:numId w:val="2"/>
        </w:numPr>
      </w:pPr>
      <w:r>
        <w:rPr>
          <w:rFonts w:hint="eastAsia"/>
        </w:rPr>
        <w:t xml:space="preserve"> </w:t>
      </w:r>
      <w:r>
        <w:t>对野生动物的影响</w:t>
      </w:r>
    </w:p>
    <w:p w14:paraId="1B91F31E" w14:textId="77777777" w:rsidR="005A1A44" w:rsidRDefault="0008059E">
      <w:pPr>
        <w:widowControl/>
        <w:spacing w:after="240"/>
        <w:ind w:firstLine="480"/>
        <w:jc w:val="left"/>
        <w:rPr>
          <w:rFonts w:ascii="宋体" w:eastAsia="宋体" w:hAnsi="宋体" w:cs="宋体" w:hint="eastAsia"/>
          <w:kern w:val="0"/>
        </w:rPr>
      </w:pPr>
      <w:r>
        <w:rPr>
          <w:rFonts w:ascii="宋体" w:eastAsia="宋体" w:hAnsi="宋体" w:cs="宋体"/>
          <w:kern w:val="0"/>
        </w:rPr>
        <w:t>工程建成后工程所在区域将形成以</w:t>
      </w:r>
      <w:r>
        <w:rPr>
          <w:rFonts w:ascii="宋体" w:eastAsia="宋体" w:hAnsi="宋体" w:cs="宋体" w:hint="eastAsia"/>
          <w:kern w:val="0"/>
        </w:rPr>
        <w:t>河滩地和以绿地为主的河岸景观，</w:t>
      </w:r>
      <w:r>
        <w:rPr>
          <w:rFonts w:ascii="宋体" w:eastAsia="宋体" w:hAnsi="宋体" w:cs="宋体"/>
          <w:kern w:val="0"/>
        </w:rPr>
        <w:t>人工绿地</w:t>
      </w:r>
      <w:r>
        <w:rPr>
          <w:rFonts w:ascii="宋体" w:eastAsia="宋体" w:hAnsi="宋体" w:cs="宋体" w:hint="eastAsia"/>
          <w:kern w:val="0"/>
        </w:rPr>
        <w:t>由</w:t>
      </w:r>
      <w:r>
        <w:rPr>
          <w:rFonts w:ascii="宋体" w:eastAsia="宋体" w:hAnsi="宋体" w:cs="宋体"/>
          <w:kern w:val="0"/>
        </w:rPr>
        <w:t>复杂多样的植</w:t>
      </w:r>
      <w:r>
        <w:rPr>
          <w:rFonts w:ascii="宋体" w:eastAsia="宋体" w:hAnsi="宋体" w:cs="宋体" w:hint="eastAsia"/>
          <w:kern w:val="0"/>
        </w:rPr>
        <w:t>被组成，</w:t>
      </w:r>
      <w:r>
        <w:rPr>
          <w:rFonts w:ascii="宋体" w:eastAsia="宋体" w:hAnsi="宋体" w:cs="宋体"/>
          <w:kern w:val="0"/>
        </w:rPr>
        <w:t>为野生动物提供了良好的栖息地</w:t>
      </w:r>
      <w:r>
        <w:rPr>
          <w:rFonts w:ascii="宋体" w:eastAsia="宋体" w:hAnsi="宋体" w:cs="宋体" w:hint="eastAsia"/>
          <w:kern w:val="0"/>
        </w:rPr>
        <w:t>，</w:t>
      </w:r>
      <w:r>
        <w:rPr>
          <w:rFonts w:ascii="宋体" w:eastAsia="宋体" w:hAnsi="宋体" w:cs="宋体"/>
          <w:kern w:val="0"/>
        </w:rPr>
        <w:t>是鸟类、两栖类动物的繁殖、栖息、迁徙、越冬的场所。并且</w:t>
      </w:r>
      <w:r>
        <w:rPr>
          <w:rFonts w:ascii="宋体" w:eastAsia="宋体" w:hAnsi="宋体" w:cs="宋体" w:hint="eastAsia"/>
          <w:kern w:val="0"/>
        </w:rPr>
        <w:t>，</w:t>
      </w:r>
      <w:r>
        <w:rPr>
          <w:rFonts w:ascii="宋体" w:eastAsia="宋体" w:hAnsi="宋体" w:cs="宋体"/>
          <w:kern w:val="0"/>
        </w:rPr>
        <w:t>伴随着</w:t>
      </w:r>
      <w:r>
        <w:rPr>
          <w:rFonts w:ascii="宋体" w:eastAsia="宋体" w:hAnsi="宋体" w:cs="宋体" w:hint="eastAsia"/>
          <w:kern w:val="0"/>
        </w:rPr>
        <w:t>河道</w:t>
      </w:r>
      <w:r>
        <w:rPr>
          <w:rFonts w:ascii="宋体" w:eastAsia="宋体" w:hAnsi="宋体" w:cs="宋体"/>
          <w:kern w:val="0"/>
        </w:rPr>
        <w:t>水体生态功能的完善</w:t>
      </w:r>
      <w:r>
        <w:rPr>
          <w:rFonts w:ascii="宋体" w:eastAsia="宋体" w:hAnsi="宋体" w:cs="宋体" w:hint="eastAsia"/>
          <w:kern w:val="0"/>
        </w:rPr>
        <w:t>，</w:t>
      </w:r>
      <w:r>
        <w:rPr>
          <w:rFonts w:ascii="宋体" w:eastAsia="宋体" w:hAnsi="宋体" w:cs="宋体"/>
          <w:kern w:val="0"/>
        </w:rPr>
        <w:t>将形成以水生植物、浮动动物、水生生物为整体的水生生态系统。</w:t>
      </w:r>
      <w:r>
        <w:rPr>
          <w:rFonts w:ascii="宋体" w:eastAsia="宋体" w:hAnsi="宋体" w:cs="宋体" w:hint="eastAsia"/>
          <w:kern w:val="0"/>
        </w:rPr>
        <w:t>总体来说，项目</w:t>
      </w:r>
      <w:r>
        <w:rPr>
          <w:rFonts w:ascii="宋体" w:eastAsia="宋体" w:hAnsi="宋体" w:cs="宋体"/>
          <w:kern w:val="0"/>
        </w:rPr>
        <w:t>建成对工程区野生动物的影响是积极的</w:t>
      </w:r>
      <w:r>
        <w:rPr>
          <w:rFonts w:ascii="宋体" w:eastAsia="宋体" w:hAnsi="宋体" w:cs="宋体" w:hint="eastAsia"/>
          <w:kern w:val="0"/>
        </w:rPr>
        <w:t>，</w:t>
      </w:r>
      <w:r>
        <w:rPr>
          <w:rFonts w:ascii="宋体" w:eastAsia="宋体" w:hAnsi="宋体" w:cs="宋体"/>
          <w:kern w:val="0"/>
        </w:rPr>
        <w:t>可吸引更多的动物前来筑巢、嬉戏、繁殖等。</w:t>
      </w:r>
    </w:p>
    <w:p w14:paraId="4928964C" w14:textId="77777777" w:rsidR="005A1A44" w:rsidRDefault="0008059E">
      <w:pPr>
        <w:pStyle w:val="3"/>
        <w:numPr>
          <w:ilvl w:val="2"/>
          <w:numId w:val="2"/>
        </w:numPr>
        <w:tabs>
          <w:tab w:val="left" w:pos="701"/>
        </w:tabs>
      </w:pPr>
      <w:r>
        <w:rPr>
          <w:rFonts w:hint="eastAsia"/>
        </w:rPr>
        <w:tab/>
      </w:r>
      <w:r>
        <w:rPr>
          <w:rFonts w:hint="eastAsia"/>
        </w:rPr>
        <w:t>对水生生物的影响</w:t>
      </w:r>
    </w:p>
    <w:p w14:paraId="351AB7A1" w14:textId="77777777" w:rsidR="005A1A44" w:rsidRDefault="0008059E">
      <w:pPr>
        <w:ind w:firstLine="480"/>
      </w:pPr>
      <w:r>
        <w:rPr>
          <w:rFonts w:hint="eastAsia"/>
        </w:rPr>
        <w:t>本项目运营期河道通畅、主流稳定，有利于形成稳定和有一定深度的水面，有利于鱼类回游等。</w:t>
      </w:r>
    </w:p>
    <w:p w14:paraId="5D03630B" w14:textId="77777777" w:rsidR="005A1A44" w:rsidRDefault="0008059E">
      <w:pPr>
        <w:pStyle w:val="3"/>
        <w:numPr>
          <w:ilvl w:val="2"/>
          <w:numId w:val="2"/>
        </w:numPr>
      </w:pPr>
      <w:r>
        <w:rPr>
          <w:rFonts w:hint="eastAsia"/>
        </w:rPr>
        <w:t xml:space="preserve"> </w:t>
      </w:r>
      <w:r>
        <w:t>景观生态系统变化评价</w:t>
      </w:r>
    </w:p>
    <w:p w14:paraId="65FB88BE" w14:textId="77777777" w:rsidR="005A1A44" w:rsidRDefault="0008059E">
      <w:pPr>
        <w:ind w:firstLine="480"/>
      </w:pPr>
      <w:r>
        <w:rPr>
          <w:rFonts w:ascii="宋体" w:eastAsia="宋体" w:hAnsi="宋体" w:cs="宋体"/>
          <w:kern w:val="0"/>
        </w:rPr>
        <w:t>本工程的建设</w:t>
      </w:r>
      <w:r>
        <w:rPr>
          <w:rFonts w:ascii="宋体" w:eastAsia="宋体" w:hAnsi="宋体" w:cs="宋体" w:hint="eastAsia"/>
          <w:kern w:val="0"/>
        </w:rPr>
        <w:t>部分</w:t>
      </w:r>
      <w:r>
        <w:rPr>
          <w:rFonts w:ascii="宋体" w:eastAsia="宋体" w:hAnsi="宋体" w:cs="宋体"/>
          <w:kern w:val="0"/>
        </w:rPr>
        <w:t>变了该区域的环境状况和景观结构。项目完成后</w:t>
      </w:r>
      <w:r>
        <w:rPr>
          <w:rFonts w:ascii="宋体" w:eastAsia="宋体" w:hAnsi="宋体" w:cs="宋体" w:hint="eastAsia"/>
          <w:kern w:val="0"/>
        </w:rPr>
        <w:t>，河道部分主流稳定，岸线清晰，河岸绿地景观广布</w:t>
      </w:r>
      <w:r>
        <w:rPr>
          <w:rFonts w:ascii="宋体" w:eastAsia="宋体" w:hAnsi="宋体" w:cs="宋体"/>
          <w:kern w:val="0"/>
        </w:rPr>
        <w:t>不</w:t>
      </w:r>
      <w:r>
        <w:rPr>
          <w:rFonts w:ascii="宋体" w:eastAsia="宋体" w:hAnsi="宋体" w:cs="宋体" w:hint="eastAsia"/>
          <w:kern w:val="0"/>
        </w:rPr>
        <w:t>，形成了不同层次的</w:t>
      </w:r>
      <w:r>
        <w:rPr>
          <w:rFonts w:ascii="宋体" w:eastAsia="宋体" w:hAnsi="宋体" w:cs="宋体"/>
          <w:kern w:val="0"/>
        </w:rPr>
        <w:t>绿化带</w:t>
      </w:r>
      <w:r>
        <w:rPr>
          <w:rFonts w:ascii="宋体" w:eastAsia="宋体" w:hAnsi="宋体" w:cs="宋体" w:hint="eastAsia"/>
          <w:kern w:val="0"/>
        </w:rPr>
        <w:t>，</w:t>
      </w:r>
      <w:r>
        <w:rPr>
          <w:rFonts w:ascii="宋体" w:eastAsia="宋体" w:hAnsi="宋体" w:cs="宋体"/>
          <w:kern w:val="0"/>
        </w:rPr>
        <w:t>在功能上兼顾了人及自然界物质和能量的交流</w:t>
      </w:r>
      <w:r>
        <w:rPr>
          <w:rFonts w:ascii="宋体" w:eastAsia="宋体" w:hAnsi="宋体" w:cs="宋体" w:hint="eastAsia"/>
          <w:kern w:val="0"/>
        </w:rPr>
        <w:t>，</w:t>
      </w:r>
      <w:r>
        <w:rPr>
          <w:rFonts w:ascii="宋体" w:eastAsia="宋体" w:hAnsi="宋体" w:cs="宋体"/>
          <w:kern w:val="0"/>
        </w:rPr>
        <w:t>丰富了生境的多样性开强化了边界效应</w:t>
      </w:r>
      <w:r>
        <w:rPr>
          <w:rFonts w:ascii="宋体" w:eastAsia="宋体" w:hAnsi="宋体" w:cs="宋体" w:hint="eastAsia"/>
          <w:kern w:val="0"/>
        </w:rPr>
        <w:t>，</w:t>
      </w:r>
      <w:r>
        <w:rPr>
          <w:rFonts w:ascii="宋体" w:eastAsia="宋体" w:hAnsi="宋体" w:cs="宋体"/>
          <w:kern w:val="0"/>
        </w:rPr>
        <w:t>为生物多样性的维持提供了条件</w:t>
      </w:r>
      <w:r>
        <w:rPr>
          <w:rFonts w:ascii="宋体" w:eastAsia="宋体" w:hAnsi="宋体" w:cs="宋体" w:hint="eastAsia"/>
          <w:kern w:val="0"/>
        </w:rPr>
        <w:t>，</w:t>
      </w:r>
      <w:r>
        <w:rPr>
          <w:rFonts w:ascii="宋体" w:eastAsia="宋体" w:hAnsi="宋体" w:cs="宋体"/>
          <w:kern w:val="0"/>
        </w:rPr>
        <w:t>同时形成了新的景观</w:t>
      </w:r>
      <w:r>
        <w:rPr>
          <w:rFonts w:ascii="宋体" w:eastAsia="宋体" w:hAnsi="宋体" w:cs="宋体" w:hint="eastAsia"/>
          <w:kern w:val="0"/>
        </w:rPr>
        <w:t>，</w:t>
      </w:r>
      <w:r>
        <w:rPr>
          <w:rFonts w:ascii="宋体" w:eastAsia="宋体" w:hAnsi="宋体" w:cs="宋体"/>
          <w:kern w:val="0"/>
        </w:rPr>
        <w:t>丰富了本地区的绿地系统</w:t>
      </w:r>
      <w:r>
        <w:rPr>
          <w:rFonts w:ascii="宋体" w:eastAsia="宋体" w:hAnsi="宋体" w:cs="宋体" w:hint="eastAsia"/>
          <w:kern w:val="0"/>
        </w:rPr>
        <w:t>，</w:t>
      </w:r>
      <w:r>
        <w:rPr>
          <w:rFonts w:ascii="宋体" w:eastAsia="宋体" w:hAnsi="宋体" w:cs="宋体"/>
          <w:kern w:val="0"/>
        </w:rPr>
        <w:t>提高</w:t>
      </w:r>
      <w:r>
        <w:t>了本区域的景观绿化品质</w:t>
      </w:r>
      <w:r>
        <w:rPr>
          <w:rFonts w:hint="eastAsia"/>
        </w:rPr>
        <w:t>，</w:t>
      </w:r>
      <w:r>
        <w:t>对本区域的生态环境产生正效益影响。</w:t>
      </w:r>
    </w:p>
    <w:p w14:paraId="7DB9C280" w14:textId="77777777" w:rsidR="005A1A44" w:rsidRDefault="0008059E">
      <w:pPr>
        <w:ind w:firstLine="480"/>
        <w:rPr>
          <w:rFonts w:ascii="宋体" w:eastAsia="宋体" w:hAnsi="宋体" w:cs="宋体" w:hint="eastAsia"/>
          <w:kern w:val="0"/>
        </w:rPr>
      </w:pPr>
      <w:r>
        <w:t>项目建成后</w:t>
      </w:r>
      <w:r>
        <w:rPr>
          <w:rFonts w:hint="eastAsia"/>
        </w:rPr>
        <w:t>，</w:t>
      </w:r>
      <w:r>
        <w:rPr>
          <w:rFonts w:ascii="宋体" w:eastAsia="宋体" w:hAnsi="宋体" w:cs="宋体"/>
          <w:kern w:val="0"/>
        </w:rPr>
        <w:t>可促进该区域的环境与面貌的改善</w:t>
      </w:r>
      <w:r>
        <w:rPr>
          <w:rFonts w:ascii="宋体" w:eastAsia="宋体" w:hAnsi="宋体" w:cs="宋体" w:hint="eastAsia"/>
          <w:kern w:val="0"/>
        </w:rPr>
        <w:t>，</w:t>
      </w:r>
      <w:r>
        <w:rPr>
          <w:rFonts w:ascii="宋体" w:eastAsia="宋体" w:hAnsi="宋体" w:cs="宋体"/>
          <w:kern w:val="0"/>
        </w:rPr>
        <w:t>将给周边景观环境建设垫来</w:t>
      </w:r>
      <w:r>
        <w:rPr>
          <w:rFonts w:ascii="宋体" w:eastAsia="宋体" w:hAnsi="宋体" w:cs="宋体"/>
          <w:kern w:val="0"/>
        </w:rPr>
        <w:lastRenderedPageBreak/>
        <w:t>一定的正效益。此外</w:t>
      </w:r>
      <w:r>
        <w:rPr>
          <w:rFonts w:ascii="宋体" w:eastAsia="宋体" w:hAnsi="宋体" w:cs="宋体" w:hint="eastAsia"/>
          <w:kern w:val="0"/>
        </w:rPr>
        <w:t>，</w:t>
      </w:r>
      <w:r>
        <w:rPr>
          <w:rFonts w:ascii="宋体" w:eastAsia="宋体" w:hAnsi="宋体" w:cs="宋体"/>
          <w:kern w:val="0"/>
        </w:rPr>
        <w:t>还可以优化投资环境</w:t>
      </w:r>
      <w:r>
        <w:rPr>
          <w:rFonts w:ascii="宋体" w:eastAsia="宋体" w:hAnsi="宋体" w:cs="宋体" w:hint="eastAsia"/>
          <w:kern w:val="0"/>
        </w:rPr>
        <w:t>，</w:t>
      </w:r>
      <w:r>
        <w:rPr>
          <w:rFonts w:ascii="宋体" w:eastAsia="宋体" w:hAnsi="宋体" w:cs="宋体"/>
          <w:kern w:val="0"/>
        </w:rPr>
        <w:t>,带动工业</w:t>
      </w:r>
      <w:r>
        <w:rPr>
          <w:rFonts w:ascii="宋体" w:eastAsia="宋体" w:hAnsi="宋体" w:cs="宋体" w:hint="eastAsia"/>
          <w:kern w:val="0"/>
        </w:rPr>
        <w:t>，</w:t>
      </w:r>
      <w:r>
        <w:rPr>
          <w:rFonts w:ascii="宋体" w:eastAsia="宋体" w:hAnsi="宋体" w:cs="宋体"/>
          <w:kern w:val="0"/>
        </w:rPr>
        <w:t>旅游休闲的快速发屈周边生活环境也会大夫提升</w:t>
      </w:r>
      <w:r>
        <w:rPr>
          <w:rFonts w:ascii="宋体" w:eastAsia="宋体" w:hAnsi="宋体" w:cs="宋体" w:hint="eastAsia"/>
          <w:kern w:val="0"/>
        </w:rPr>
        <w:t>，</w:t>
      </w:r>
      <w:r>
        <w:rPr>
          <w:rFonts w:ascii="宋体" w:eastAsia="宋体" w:hAnsi="宋体" w:cs="宋体"/>
          <w:kern w:val="0"/>
        </w:rPr>
        <w:t>将促进周边地块使用价值的提升。</w:t>
      </w:r>
    </w:p>
    <w:p w14:paraId="5A67B4C4" w14:textId="77777777" w:rsidR="005A1A44" w:rsidRDefault="0008059E">
      <w:pPr>
        <w:ind w:firstLine="480"/>
        <w:rPr>
          <w:rFonts w:ascii="宋体" w:eastAsia="宋体" w:hAnsi="宋体" w:cs="宋体" w:hint="eastAsia"/>
          <w:kern w:val="0"/>
        </w:rPr>
      </w:pPr>
      <w:r>
        <w:rPr>
          <w:rFonts w:ascii="宋体" w:eastAsia="宋体" w:hAnsi="宋体" w:cs="宋体"/>
          <w:kern w:val="0"/>
        </w:rPr>
        <w:t>综上所述</w:t>
      </w:r>
      <w:r>
        <w:rPr>
          <w:rFonts w:ascii="宋体" w:eastAsia="宋体" w:hAnsi="宋体" w:cs="宋体" w:hint="eastAsia"/>
          <w:kern w:val="0"/>
        </w:rPr>
        <w:t>，</w:t>
      </w:r>
      <w:r>
        <w:rPr>
          <w:rFonts w:ascii="宋体" w:eastAsia="宋体" w:hAnsi="宋体" w:cs="宋体"/>
          <w:kern w:val="0"/>
        </w:rPr>
        <w:t>项目建设过程中对区域的生态环境负面影响较小</w:t>
      </w:r>
      <w:r>
        <w:rPr>
          <w:rFonts w:ascii="宋体" w:eastAsia="宋体" w:hAnsi="宋体" w:cs="宋体" w:hint="eastAsia"/>
          <w:kern w:val="0"/>
        </w:rPr>
        <w:t>，</w:t>
      </w:r>
      <w:r>
        <w:rPr>
          <w:rFonts w:ascii="宋体" w:eastAsia="宋体" w:hAnsi="宋体" w:cs="宋体"/>
          <w:kern w:val="0"/>
        </w:rPr>
        <w:t>项目建成后对生态的改善是积极的</w:t>
      </w:r>
      <w:r>
        <w:rPr>
          <w:rFonts w:ascii="宋体" w:eastAsia="宋体" w:hAnsi="宋体" w:cs="宋体" w:hint="eastAsia"/>
          <w:kern w:val="0"/>
        </w:rPr>
        <w:t>、</w:t>
      </w:r>
      <w:r>
        <w:rPr>
          <w:rFonts w:ascii="宋体" w:eastAsia="宋体" w:hAnsi="宋体" w:cs="宋体"/>
          <w:kern w:val="0"/>
        </w:rPr>
        <w:t>有益的。</w:t>
      </w:r>
    </w:p>
    <w:p w14:paraId="578E9E3D" w14:textId="77777777" w:rsidR="005A1A44" w:rsidRDefault="0008059E">
      <w:pPr>
        <w:pStyle w:val="2"/>
        <w:numPr>
          <w:ilvl w:val="1"/>
          <w:numId w:val="2"/>
        </w:numPr>
      </w:pPr>
      <w:bookmarkStart w:id="219" w:name="_Toc465790244"/>
      <w:bookmarkStart w:id="220" w:name="_Toc30264_WPSOffice_Level2"/>
      <w:r>
        <w:rPr>
          <w:rFonts w:hint="eastAsia"/>
        </w:rPr>
        <w:t xml:space="preserve"> </w:t>
      </w:r>
      <w:bookmarkStart w:id="221" w:name="_Toc14628_WPSOffice_Level2"/>
      <w:bookmarkStart w:id="222" w:name="_Toc18256_WPSOffice_Level2"/>
      <w:r>
        <w:rPr>
          <w:rFonts w:hint="eastAsia"/>
        </w:rPr>
        <w:t>社会经济影响分析</w:t>
      </w:r>
      <w:bookmarkEnd w:id="219"/>
      <w:bookmarkEnd w:id="220"/>
      <w:bookmarkEnd w:id="221"/>
      <w:bookmarkEnd w:id="222"/>
    </w:p>
    <w:p w14:paraId="15597E9A" w14:textId="77777777" w:rsidR="005A1A44" w:rsidRDefault="0008059E">
      <w:pPr>
        <w:ind w:firstLine="480"/>
      </w:pPr>
      <w:r>
        <w:t>尽快实施</w:t>
      </w:r>
      <w:r>
        <w:rPr>
          <w:rFonts w:hint="eastAsia"/>
        </w:rPr>
        <w:t>玉龙喀什河</w:t>
      </w:r>
      <w:r>
        <w:t>河道治理</w:t>
      </w:r>
      <w:r>
        <w:rPr>
          <w:rFonts w:hint="eastAsia"/>
        </w:rPr>
        <w:t>及两岸生态修复项目</w:t>
      </w:r>
      <w:r>
        <w:t>，避免洪水可能对城市建设造成的巨大损失，确保保护区内人民生命财产安全，改善</w:t>
      </w:r>
      <w:r>
        <w:rPr>
          <w:rFonts w:hint="eastAsia"/>
        </w:rPr>
        <w:t>和田市</w:t>
      </w:r>
      <w:r>
        <w:t>对外形象，提高投资者的投资信心，促进该地区社会经济和环境的可持续健康发展，是十分必要和非常迫切的。</w:t>
      </w:r>
    </w:p>
    <w:p w14:paraId="255A97C3" w14:textId="77777777" w:rsidR="005A1A44" w:rsidRDefault="005A1A44">
      <w:pPr>
        <w:ind w:firstLine="480"/>
        <w:jc w:val="left"/>
      </w:pPr>
    </w:p>
    <w:p w14:paraId="1F7CE810" w14:textId="77777777" w:rsidR="005A1A44" w:rsidRDefault="005A1A44">
      <w:pPr>
        <w:ind w:firstLine="480"/>
        <w:jc w:val="left"/>
      </w:pPr>
    </w:p>
    <w:p w14:paraId="15DF6796" w14:textId="77777777" w:rsidR="005A1A44" w:rsidRDefault="005A1A44">
      <w:pPr>
        <w:pStyle w:val="1"/>
        <w:adjustRightInd w:val="0"/>
        <w:snapToGrid w:val="0"/>
        <w:spacing w:before="0" w:after="0" w:line="360" w:lineRule="auto"/>
        <w:ind w:left="431" w:hanging="431"/>
        <w:sectPr w:rsidR="005A1A44">
          <w:pgSz w:w="12240" w:h="15840"/>
          <w:pgMar w:top="1440" w:right="1803" w:bottom="1440" w:left="1803" w:header="720" w:footer="720" w:gutter="0"/>
          <w:cols w:space="0"/>
          <w:docGrid w:linePitch="312"/>
        </w:sectPr>
      </w:pPr>
    </w:p>
    <w:p w14:paraId="36959AB1" w14:textId="77777777" w:rsidR="005A1A44" w:rsidRDefault="0008059E">
      <w:pPr>
        <w:pStyle w:val="1"/>
        <w:numPr>
          <w:ilvl w:val="0"/>
          <w:numId w:val="2"/>
        </w:numPr>
      </w:pPr>
      <w:bookmarkStart w:id="223" w:name="_Toc14546_WPSOffice_Level1"/>
      <w:r>
        <w:rPr>
          <w:rFonts w:hint="eastAsia"/>
        </w:rPr>
        <w:lastRenderedPageBreak/>
        <w:t xml:space="preserve"> </w:t>
      </w:r>
      <w:bookmarkStart w:id="224" w:name="_Toc3841_WPSOffice_Level1"/>
      <w:bookmarkStart w:id="225" w:name="_Toc6430_WPSOffice_Level1"/>
      <w:bookmarkStart w:id="226" w:name="_Toc12178_WPSOffice_Level1"/>
      <w:r>
        <w:rPr>
          <w:rFonts w:hint="eastAsia"/>
        </w:rPr>
        <w:t>环境风险分析</w:t>
      </w:r>
      <w:bookmarkEnd w:id="224"/>
      <w:bookmarkEnd w:id="225"/>
      <w:bookmarkEnd w:id="226"/>
    </w:p>
    <w:p w14:paraId="245C50CB" w14:textId="77777777" w:rsidR="005A1A44" w:rsidRDefault="0008059E">
      <w:pPr>
        <w:pStyle w:val="2"/>
        <w:numPr>
          <w:ilvl w:val="1"/>
          <w:numId w:val="2"/>
        </w:numPr>
      </w:pPr>
      <w:bookmarkStart w:id="227" w:name="_Toc483733167"/>
      <w:bookmarkStart w:id="228" w:name="_Toc485196112"/>
      <w:bookmarkEnd w:id="227"/>
      <w:r>
        <w:rPr>
          <w:rFonts w:hint="eastAsia"/>
        </w:rPr>
        <w:t xml:space="preserve"> </w:t>
      </w:r>
      <w:bookmarkStart w:id="229" w:name="_Toc13749_WPSOffice_Level2"/>
      <w:bookmarkStart w:id="230" w:name="_Toc17554_WPSOffice_Level2"/>
      <w:r>
        <w:rPr>
          <w:rFonts w:hint="eastAsia"/>
        </w:rPr>
        <w:t>环境风险分析目的</w:t>
      </w:r>
      <w:bookmarkEnd w:id="228"/>
      <w:bookmarkEnd w:id="229"/>
      <w:bookmarkEnd w:id="230"/>
    </w:p>
    <w:p w14:paraId="04944315" w14:textId="77777777" w:rsidR="005A1A44" w:rsidRDefault="0008059E">
      <w:pPr>
        <w:ind w:firstLine="480"/>
      </w:pPr>
      <w:r>
        <w:t>环境风险指在自然环境中产生的或通过自然环境传递的，对人类健康和幸福产生不利影响同时又具有某些不确定性的危害事件，环境风险评价就是评估事件发生概率及在不同概率事件后果的严重性，决定采取适宜对策，主要特点是评价环境中不确定性和突发性风险问题及关心的风险事故发生的可能性及其产生的环境后果。</w:t>
      </w:r>
    </w:p>
    <w:p w14:paraId="46DE2D1C" w14:textId="77777777" w:rsidR="005A1A44" w:rsidRDefault="0008059E">
      <w:pPr>
        <w:ind w:firstLine="480"/>
      </w:pPr>
      <w:r>
        <w:t>环境风险评价目的是分析和预测建设项目存在的潜在危险和有害因素，建设项目运营期间可能发生的突发性事件或事故（一般不包括人为破坏及自然灾害），引起有毒有害、易燃易爆等物质的泄漏、爆炸和火灾，评估所造成的人身安全与环境影响和损害程度，提出合理可行的防范、应急与减缓措施，使建设项目事故率达到可接受水平，损失和环境影响达到最小。</w:t>
      </w:r>
    </w:p>
    <w:p w14:paraId="547552A7" w14:textId="77777777" w:rsidR="005A1A44" w:rsidRDefault="0008059E">
      <w:pPr>
        <w:pStyle w:val="2"/>
        <w:numPr>
          <w:ilvl w:val="1"/>
          <w:numId w:val="2"/>
        </w:numPr>
      </w:pPr>
      <w:r>
        <w:rPr>
          <w:rFonts w:hint="eastAsia"/>
        </w:rPr>
        <w:t xml:space="preserve"> </w:t>
      </w:r>
      <w:bookmarkStart w:id="231" w:name="_Toc30468_WPSOffice_Level2"/>
      <w:bookmarkStart w:id="232" w:name="_Toc15129_WPSOffice_Level2"/>
      <w:r>
        <w:rPr>
          <w:rFonts w:hint="eastAsia"/>
        </w:rPr>
        <w:t>环境风险识别</w:t>
      </w:r>
      <w:bookmarkEnd w:id="231"/>
      <w:bookmarkEnd w:id="232"/>
    </w:p>
    <w:p w14:paraId="33F0B573" w14:textId="77777777" w:rsidR="005A1A44" w:rsidRDefault="0008059E">
      <w:pPr>
        <w:ind w:firstLine="480"/>
        <w:rPr>
          <w:shd w:val="clear" w:color="auto" w:fill="FFFFFF"/>
        </w:rPr>
      </w:pPr>
      <w:r>
        <w:rPr>
          <w:shd w:val="clear" w:color="auto" w:fill="FFFFFF"/>
        </w:rPr>
        <w:t>本项目涉及的工程主要包括</w:t>
      </w:r>
      <w:r>
        <w:rPr>
          <w:rFonts w:hint="eastAsia"/>
          <w:shd w:val="clear" w:color="auto" w:fill="FFFFFF"/>
        </w:rPr>
        <w:t>河道疏浚、防洪堤建筑、景观建设等</w:t>
      </w:r>
      <w:r>
        <w:rPr>
          <w:shd w:val="clear" w:color="auto" w:fill="FFFFFF"/>
        </w:rPr>
        <w:t>。</w:t>
      </w:r>
      <w:r>
        <w:rPr>
          <w:rFonts w:hint="eastAsia"/>
          <w:shd w:val="clear" w:color="auto" w:fill="FFFFFF"/>
        </w:rPr>
        <w:t>项目运营期无环境风险源，项目施工期</w:t>
      </w:r>
      <w:r>
        <w:rPr>
          <w:shd w:val="clear" w:color="auto" w:fill="FFFFFF"/>
        </w:rPr>
        <w:t>可能发生的环境风险事故为柴油储存设施泄漏火灾爆炸事故，对事故区域及</w:t>
      </w:r>
      <w:r>
        <w:rPr>
          <w:rFonts w:hint="eastAsia"/>
          <w:shd w:val="clear" w:color="auto" w:fill="FFFFFF"/>
        </w:rPr>
        <w:t>周边环境质量、饮用水水源地</w:t>
      </w:r>
      <w:r>
        <w:rPr>
          <w:shd w:val="clear" w:color="auto" w:fill="FFFFFF"/>
        </w:rPr>
        <w:t>及人员健康安全产生的影响。</w:t>
      </w:r>
    </w:p>
    <w:p w14:paraId="346DBC05" w14:textId="77777777" w:rsidR="005A1A44" w:rsidRDefault="0008059E">
      <w:pPr>
        <w:ind w:firstLine="480"/>
      </w:pPr>
      <w:r>
        <w:rPr>
          <w:rFonts w:hint="eastAsia"/>
        </w:rPr>
        <w:t>项目建设期耗用柴油</w:t>
      </w:r>
      <w:r>
        <w:rPr>
          <w:rFonts w:hint="eastAsia"/>
        </w:rPr>
        <w:t xml:space="preserve"> 551.88 </w:t>
      </w:r>
      <w:r>
        <w:rPr>
          <w:rFonts w:hint="eastAsia"/>
        </w:rPr>
        <w:t>吨，但项目实施期间不设置柴油存储区或存储装置，施工机械用油自行在和田市境内的加油站加油，因此不存在柴油储存发生的环境风险。</w:t>
      </w:r>
    </w:p>
    <w:p w14:paraId="70D2CAFA" w14:textId="77777777" w:rsidR="005A1A44" w:rsidRDefault="0008059E">
      <w:pPr>
        <w:ind w:firstLine="480"/>
      </w:pPr>
      <w:r>
        <w:rPr>
          <w:rFonts w:hint="eastAsia"/>
          <w:shd w:val="clear" w:color="auto" w:fill="FFFFFF"/>
        </w:rPr>
        <w:t>施工机械在工作中可能产生跑、冒、滴、漏的现象，但不会产生集中的风险事件，项目</w:t>
      </w:r>
      <w:r>
        <w:rPr>
          <w:rFonts w:hint="eastAsia"/>
        </w:rPr>
        <w:t>施工区设置有费油收集装置，收集后的费油交由有关部门进行处置。</w:t>
      </w:r>
    </w:p>
    <w:p w14:paraId="61C1DDBE" w14:textId="77777777" w:rsidR="005A1A44" w:rsidRDefault="0008059E">
      <w:pPr>
        <w:ind w:firstLine="480"/>
      </w:pPr>
      <w:r>
        <w:rPr>
          <w:rFonts w:hint="eastAsia"/>
        </w:rPr>
        <w:t>总体上项目没有大的较大的环境风险源。</w:t>
      </w:r>
      <w:bookmarkStart w:id="233" w:name="_Toc483733179"/>
      <w:bookmarkStart w:id="234" w:name="_Toc481175048"/>
      <w:bookmarkEnd w:id="233"/>
      <w:bookmarkEnd w:id="234"/>
    </w:p>
    <w:p w14:paraId="6564A4DA" w14:textId="77777777" w:rsidR="005A1A44" w:rsidRDefault="0008059E">
      <w:pPr>
        <w:pStyle w:val="2"/>
        <w:numPr>
          <w:ilvl w:val="1"/>
          <w:numId w:val="2"/>
        </w:numPr>
      </w:pPr>
      <w:r>
        <w:rPr>
          <w:rFonts w:hint="eastAsia"/>
        </w:rPr>
        <w:lastRenderedPageBreak/>
        <w:t xml:space="preserve"> </w:t>
      </w:r>
      <w:bookmarkStart w:id="235" w:name="_Toc1605_WPSOffice_Level2"/>
      <w:bookmarkStart w:id="236" w:name="_Toc20879_WPSOffice_Level2"/>
      <w:r>
        <w:rPr>
          <w:rFonts w:hint="eastAsia"/>
        </w:rPr>
        <w:t>事故应急预案框架</w:t>
      </w:r>
      <w:bookmarkEnd w:id="235"/>
      <w:bookmarkEnd w:id="236"/>
    </w:p>
    <w:p w14:paraId="61152F70" w14:textId="77777777" w:rsidR="005A1A44" w:rsidRDefault="0008059E">
      <w:pPr>
        <w:ind w:firstLine="480"/>
      </w:pPr>
      <w:r>
        <w:t>为应对项目可能产生的各类突发性环境污染事件以及生态破坏事故，建设单位应编制环境安全应急预案，本次评价给出该预案的框架。</w:t>
      </w:r>
    </w:p>
    <w:p w14:paraId="04C9B947" w14:textId="77777777" w:rsidR="005A1A44" w:rsidRDefault="0008059E">
      <w:pPr>
        <w:ind w:firstLine="480"/>
      </w:pPr>
      <w:bookmarkStart w:id="237" w:name="_Toc13925_WPSOffice_Level2"/>
      <w:bookmarkStart w:id="238" w:name="_Toc4415_WPSOffice_Level2"/>
      <w:r>
        <w:rPr>
          <w:rFonts w:hint="eastAsia"/>
        </w:rPr>
        <w:t>（一）</w:t>
      </w:r>
      <w:r>
        <w:t>应急组织机构及应急处置程序</w:t>
      </w:r>
      <w:bookmarkEnd w:id="237"/>
      <w:bookmarkEnd w:id="238"/>
    </w:p>
    <w:p w14:paraId="49D58740" w14:textId="77777777" w:rsidR="005A1A44" w:rsidRDefault="0008059E">
      <w:pPr>
        <w:ind w:firstLine="480"/>
      </w:pPr>
      <w:r>
        <w:rPr>
          <w:rFonts w:hint="eastAsia"/>
        </w:rPr>
        <w:t>（</w:t>
      </w:r>
      <w:r>
        <w:rPr>
          <w:rFonts w:hint="eastAsia"/>
        </w:rPr>
        <w:t>1</w:t>
      </w:r>
      <w:r>
        <w:rPr>
          <w:rFonts w:hint="eastAsia"/>
        </w:rPr>
        <w:t>）</w:t>
      </w:r>
      <w:r>
        <w:t>应急组织机构</w:t>
      </w:r>
    </w:p>
    <w:p w14:paraId="1FB26D68" w14:textId="77777777" w:rsidR="005A1A44" w:rsidRDefault="0008059E">
      <w:pPr>
        <w:ind w:firstLine="480"/>
      </w:pPr>
      <w:r>
        <w:t>公司设立事故应急救援指挥领导小组，领导小组由总经理、分管安全生产的副总经理、安环部主管、办公室、安全员以及安全、设备、配电、库管、保卫等相关人员组成，指挥领导小组设在安环部办公室，日常工作由安环部主管负责。小组由总经理任总指挥（总经理不在现场或出差时由负责生产的副总经理代理总指挥职责），安环部主管协助工作，全体在班员工担任兼职救援小组成员，负责应急救援工作的组织和指挥协调工作。</w:t>
      </w:r>
    </w:p>
    <w:p w14:paraId="1B1BE961" w14:textId="77777777" w:rsidR="005A1A44" w:rsidRDefault="0008059E">
      <w:pPr>
        <w:ind w:firstLine="480"/>
      </w:pPr>
      <w:r>
        <w:rPr>
          <w:rFonts w:hint="eastAsia"/>
        </w:rPr>
        <w:t>（</w:t>
      </w:r>
      <w:r>
        <w:rPr>
          <w:rFonts w:hint="eastAsia"/>
        </w:rPr>
        <w:t>2</w:t>
      </w:r>
      <w:r>
        <w:rPr>
          <w:rFonts w:hint="eastAsia"/>
        </w:rPr>
        <w:t>）</w:t>
      </w:r>
      <w:r>
        <w:t>应急救援器材的配备情况</w:t>
      </w:r>
    </w:p>
    <w:p w14:paraId="18D4E35D" w14:textId="77777777" w:rsidR="005A1A44" w:rsidRDefault="0008059E">
      <w:pPr>
        <w:ind w:firstLine="480"/>
      </w:pPr>
      <w:r>
        <w:t>公司在生产基地通过内部电话进行通信，重要岗位配备对讲机，应急指挥部配备电话。</w:t>
      </w:r>
    </w:p>
    <w:p w14:paraId="3A23384F" w14:textId="77777777" w:rsidR="005A1A44" w:rsidRDefault="0008059E">
      <w:pPr>
        <w:ind w:firstLine="480"/>
      </w:pPr>
      <w:r>
        <w:t>配备充电式手提手电，发电机房配备应急照明电源，确保人员安全疏散的出入口和通道，装设了疏散照明。</w:t>
      </w:r>
    </w:p>
    <w:p w14:paraId="7433FA26" w14:textId="77777777" w:rsidR="005A1A44" w:rsidRDefault="0008059E">
      <w:pPr>
        <w:ind w:firstLine="480"/>
      </w:pPr>
      <w:r>
        <w:t>灭火器摆放在车间、办公、宿舍、食堂等建筑固定位置，设有医务室，配备治疗药品、设施和医务人员。</w:t>
      </w:r>
    </w:p>
    <w:p w14:paraId="091080A4" w14:textId="77777777" w:rsidR="005A1A44" w:rsidRDefault="0008059E">
      <w:pPr>
        <w:ind w:firstLine="480"/>
      </w:pPr>
      <w:r>
        <w:t>配备救护车一辆，发生事故后负责现场抢救受伤以及向上级医院转运工作。</w:t>
      </w:r>
    </w:p>
    <w:p w14:paraId="5923B85E" w14:textId="77777777" w:rsidR="005A1A44" w:rsidRDefault="0008059E">
      <w:pPr>
        <w:ind w:firstLine="480"/>
      </w:pPr>
      <w:r>
        <w:rPr>
          <w:rFonts w:hint="eastAsia"/>
        </w:rPr>
        <w:t>（</w:t>
      </w:r>
      <w:r>
        <w:rPr>
          <w:rFonts w:hint="eastAsia"/>
        </w:rPr>
        <w:t>3</w:t>
      </w:r>
      <w:r>
        <w:rPr>
          <w:rFonts w:hint="eastAsia"/>
        </w:rPr>
        <w:t>）</w:t>
      </w:r>
      <w:r>
        <w:t>事故应急处置程序</w:t>
      </w:r>
    </w:p>
    <w:p w14:paraId="4A64CF1B" w14:textId="77777777" w:rsidR="005A1A44" w:rsidRDefault="0008059E">
      <w:pPr>
        <w:ind w:firstLine="480"/>
      </w:pPr>
      <w:r>
        <w:t>在发生突发性环境污染事故时，应急处置的首要工作是控制事故污染源和防止污染物扩散造成对周围人群、动植物的伤害，防止进一步污染环境。事故应急处置程序包括事故报警、指挥和救援系统启动、设置警戒线和救援通道、组织人员疏散、事故的控制和消除过程、现场医疗救护、社会应急救援、发布救援信息、应急状态终止及恢复等。</w:t>
      </w:r>
    </w:p>
    <w:p w14:paraId="186A1A4C" w14:textId="77777777" w:rsidR="005A1A44" w:rsidRDefault="0008059E">
      <w:pPr>
        <w:ind w:firstLine="480"/>
      </w:pPr>
      <w:r>
        <w:rPr>
          <w:rFonts w:ascii="华文中宋" w:hAnsi="华文中宋"/>
        </w:rPr>
        <w:t>若储油罐发生爆炸时，应停止生产，组织全部力量投入到抢救伤员的工作中，经过初步的现场治疗以后，立即转移到条件好的大医院治疗；立即组织灭火等工作，</w:t>
      </w:r>
      <w:r>
        <w:rPr>
          <w:rFonts w:ascii="华文中宋" w:hAnsi="华文中宋"/>
        </w:rPr>
        <w:lastRenderedPageBreak/>
        <w:t>最大限度的减少事故损失；及时报告有关部门，进行事故鉴定及事故责任分析，出具事故报告。清理现场，开展灾后重建工作，并从技术、管理等方面有针对性地提出防范措施，杜绝此类事故的重演。</w:t>
      </w:r>
    </w:p>
    <w:p w14:paraId="397FA722" w14:textId="77777777" w:rsidR="005A1A44" w:rsidRDefault="0008059E">
      <w:pPr>
        <w:ind w:firstLine="480"/>
      </w:pPr>
      <w:bookmarkStart w:id="239" w:name="_Toc17933_WPSOffice_Level2"/>
      <w:bookmarkStart w:id="240" w:name="_Toc13677_WPSOffice_Level2"/>
      <w:r>
        <w:rPr>
          <w:rFonts w:hint="eastAsia"/>
        </w:rPr>
        <w:t>（二）</w:t>
      </w:r>
      <w:r>
        <w:t>重大危险源的确定</w:t>
      </w:r>
      <w:bookmarkEnd w:id="239"/>
      <w:bookmarkEnd w:id="240"/>
    </w:p>
    <w:p w14:paraId="713B8ECD" w14:textId="77777777" w:rsidR="005A1A44" w:rsidRDefault="0008059E">
      <w:pPr>
        <w:ind w:firstLine="480"/>
      </w:pPr>
      <w:r>
        <w:t>根据生产实际情况，找出其它可能发生的会对环境产生重大污染的危险源，分析其可能产生的事故类型、事故级别、事故位置、发生事故的影响范围和程度等，并绘制重大危险源分布图。</w:t>
      </w:r>
    </w:p>
    <w:p w14:paraId="14E24B4E" w14:textId="77777777" w:rsidR="005A1A44" w:rsidRDefault="0008059E">
      <w:pPr>
        <w:ind w:firstLine="480"/>
      </w:pPr>
      <w:bookmarkStart w:id="241" w:name="_Toc18925_WPSOffice_Level2"/>
      <w:bookmarkStart w:id="242" w:name="_Toc6612_WPSOffice_Level2"/>
      <w:r>
        <w:rPr>
          <w:rFonts w:hint="eastAsia"/>
        </w:rPr>
        <w:t>（三）</w:t>
      </w:r>
      <w:r>
        <w:rPr>
          <w:rFonts w:ascii="华文中宋" w:hAnsi="华文中宋"/>
        </w:rPr>
        <w:t>对事故的控制措施</w:t>
      </w:r>
      <w:bookmarkEnd w:id="241"/>
      <w:bookmarkEnd w:id="242"/>
    </w:p>
    <w:p w14:paraId="486FBA7D" w14:textId="77777777" w:rsidR="005A1A44" w:rsidRDefault="0008059E">
      <w:pPr>
        <w:ind w:firstLine="480"/>
        <w:rPr>
          <w:sz w:val="21"/>
          <w:szCs w:val="21"/>
        </w:rPr>
      </w:pPr>
      <w:bookmarkStart w:id="243" w:name="_Toc276938903"/>
      <w:bookmarkStart w:id="244" w:name="_Toc336411582"/>
      <w:bookmarkEnd w:id="243"/>
      <w:r>
        <w:t>（</w:t>
      </w:r>
      <w:bookmarkEnd w:id="244"/>
      <w:r>
        <w:t>1</w:t>
      </w:r>
      <w:r>
        <w:t>）应急预案内容</w:t>
      </w:r>
    </w:p>
    <w:p w14:paraId="01522E5F" w14:textId="77777777" w:rsidR="005A1A44" w:rsidRDefault="0008059E">
      <w:pPr>
        <w:ind w:firstLine="480"/>
        <w:rPr>
          <w:sz w:val="21"/>
          <w:szCs w:val="21"/>
        </w:rPr>
      </w:pPr>
      <w:r>
        <w:t>为有效防范突发环境事件的发生，及时、合理处置可能发生的各类重大、特大环境污染事故，保障人民群众身心健康及正常生产、生活活动，依据《中华人民共和国环境保护法》的规定，制定本预案，同时本项目应急预案须报</w:t>
      </w:r>
      <w:r>
        <w:rPr>
          <w:rFonts w:hint="eastAsia"/>
        </w:rPr>
        <w:t>和田县</w:t>
      </w:r>
      <w:r>
        <w:t>环保局备案。</w:t>
      </w:r>
    </w:p>
    <w:p w14:paraId="48C9A7A3" w14:textId="77777777" w:rsidR="005A1A44" w:rsidRDefault="0008059E">
      <w:pPr>
        <w:ind w:firstLine="480"/>
        <w:rPr>
          <w:sz w:val="21"/>
          <w:szCs w:val="21"/>
        </w:rPr>
      </w:pPr>
      <w:r>
        <w:t>（</w:t>
      </w:r>
      <w:r>
        <w:t>2</w:t>
      </w:r>
      <w:r>
        <w:t>）处置程序</w:t>
      </w:r>
    </w:p>
    <w:p w14:paraId="7B30E9BC" w14:textId="77777777" w:rsidR="005A1A44" w:rsidRDefault="0008059E">
      <w:pPr>
        <w:ind w:firstLine="480"/>
        <w:rPr>
          <w:sz w:val="21"/>
          <w:szCs w:val="21"/>
        </w:rPr>
      </w:pPr>
      <w:r>
        <w:rPr>
          <w:rFonts w:hint="eastAsia"/>
        </w:rPr>
        <w:t>①</w:t>
      </w:r>
      <w:r>
        <w:t>迅速报告</w:t>
      </w:r>
    </w:p>
    <w:p w14:paraId="1E83CE94" w14:textId="77777777" w:rsidR="005A1A44" w:rsidRDefault="0008059E">
      <w:pPr>
        <w:ind w:firstLine="480"/>
      </w:pPr>
      <w:r>
        <w:t>发生突发环境事件后，必须在第一时间向当地环保部门应急报告。同时，配合有关管理部门，立即启动应急指挥系统，检查所需仪器装备，了解事发地地形地貌、气象条件、地表及地下水文条件、重要保护目标及其分布等情况。</w:t>
      </w:r>
    </w:p>
    <w:p w14:paraId="4198D237" w14:textId="77777777" w:rsidR="005A1A44" w:rsidRDefault="0008059E">
      <w:pPr>
        <w:ind w:firstLine="480"/>
      </w:pPr>
      <w:r>
        <w:rPr>
          <w:rFonts w:hint="eastAsia"/>
        </w:rPr>
        <w:t>②</w:t>
      </w:r>
      <w:r>
        <w:t>快速出警</w:t>
      </w:r>
    </w:p>
    <w:p w14:paraId="1EC568A4" w14:textId="77777777" w:rsidR="005A1A44" w:rsidRDefault="0008059E">
      <w:pPr>
        <w:ind w:firstLine="480"/>
      </w:pPr>
      <w:r>
        <w:t>接到指令后，配合应急现场指挥组率各应急小组携带环境应急专用设备，在最短的时间内赶赴事发现场。</w:t>
      </w:r>
    </w:p>
    <w:p w14:paraId="164C1B32" w14:textId="77777777" w:rsidR="005A1A44" w:rsidRDefault="0008059E">
      <w:pPr>
        <w:ind w:firstLine="480"/>
      </w:pPr>
      <w:r>
        <w:rPr>
          <w:rFonts w:hint="eastAsia"/>
        </w:rPr>
        <w:t>③</w:t>
      </w:r>
      <w:r>
        <w:t>现场控制</w:t>
      </w:r>
    </w:p>
    <w:p w14:paraId="00BC08D0" w14:textId="77777777" w:rsidR="005A1A44" w:rsidRDefault="0008059E">
      <w:pPr>
        <w:ind w:firstLine="480"/>
      </w:pPr>
      <w:r>
        <w:t>应急处置小组到达现场后，应迅速控制现场、划定紧急隔离区域、设置警告标志、制定处置措施，切断污染源，防止污染物扩散。</w:t>
      </w:r>
    </w:p>
    <w:p w14:paraId="48AAB727" w14:textId="77777777" w:rsidR="005A1A44" w:rsidRDefault="0008059E">
      <w:pPr>
        <w:ind w:firstLine="480"/>
      </w:pPr>
      <w:r>
        <w:t>应急监测小组到达现场后，应迅速布点监测，在第一时间确定污染物种类，出具监测数据。</w:t>
      </w:r>
    </w:p>
    <w:p w14:paraId="584137B9" w14:textId="77777777" w:rsidR="005A1A44" w:rsidRDefault="0008059E">
      <w:pPr>
        <w:ind w:firstLine="480"/>
      </w:pPr>
      <w:r>
        <w:rPr>
          <w:rFonts w:hint="eastAsia"/>
        </w:rPr>
        <w:t>④</w:t>
      </w:r>
      <w:r>
        <w:t>现场调查</w:t>
      </w:r>
    </w:p>
    <w:p w14:paraId="5903905E" w14:textId="77777777" w:rsidR="005A1A44" w:rsidRDefault="0008059E">
      <w:pPr>
        <w:ind w:firstLine="480"/>
      </w:pPr>
      <w:r>
        <w:t>应急处置小组应迅速展开现场调查、取证工作，查明事件原因、影响程度等；</w:t>
      </w:r>
      <w:r>
        <w:lastRenderedPageBreak/>
        <w:t>并负责与当地公安、消防等单位协调，共同进行现场勘验工作。</w:t>
      </w:r>
    </w:p>
    <w:p w14:paraId="78C65005" w14:textId="77777777" w:rsidR="005A1A44" w:rsidRDefault="0008059E">
      <w:pPr>
        <w:ind w:firstLine="480"/>
      </w:pPr>
      <w:r>
        <w:rPr>
          <w:rFonts w:hint="eastAsia"/>
        </w:rPr>
        <w:t>⑤</w:t>
      </w:r>
      <w:r>
        <w:t>现场报告</w:t>
      </w:r>
    </w:p>
    <w:p w14:paraId="6AF8C2E7" w14:textId="77777777" w:rsidR="005A1A44" w:rsidRDefault="0008059E">
      <w:pPr>
        <w:ind w:firstLine="480"/>
      </w:pPr>
      <w:r>
        <w:t>各应急小组将现场调查情况、应急监测数据和现场处置情况，及时报告应急现场指挥组。</w:t>
      </w:r>
    </w:p>
    <w:p w14:paraId="645A181E" w14:textId="77777777" w:rsidR="005A1A44" w:rsidRDefault="0008059E">
      <w:pPr>
        <w:ind w:firstLine="480"/>
      </w:pPr>
      <w:r>
        <w:t>应急现场指挥组按</w:t>
      </w:r>
      <w:r>
        <w:t>6</w:t>
      </w:r>
      <w:r>
        <w:t>小时速报、</w:t>
      </w:r>
      <w:r>
        <w:t>24</w:t>
      </w:r>
      <w:r>
        <w:t>小时确报的要求，负责向应急领导组报告突发事件现场处置动态情况。</w:t>
      </w:r>
    </w:p>
    <w:p w14:paraId="6F5C2F02" w14:textId="77777777" w:rsidR="005A1A44" w:rsidRDefault="0008059E">
      <w:pPr>
        <w:ind w:firstLine="480"/>
      </w:pPr>
      <w:r>
        <w:t>应急领导组根据事件影响范围、程度，决定是否增调有关专家、人员、设备、物资前往现场增援。</w:t>
      </w:r>
    </w:p>
    <w:p w14:paraId="3E844016" w14:textId="77777777" w:rsidR="005A1A44" w:rsidRDefault="0008059E">
      <w:pPr>
        <w:ind w:firstLine="480"/>
      </w:pPr>
      <w:r>
        <w:rPr>
          <w:rFonts w:hint="eastAsia"/>
        </w:rPr>
        <w:t>⑥</w:t>
      </w:r>
      <w:r>
        <w:t>污染处置</w:t>
      </w:r>
    </w:p>
    <w:p w14:paraId="729B563E" w14:textId="77777777" w:rsidR="005A1A44" w:rsidRDefault="0008059E">
      <w:pPr>
        <w:ind w:firstLine="480"/>
      </w:pPr>
      <w:r>
        <w:t>各应急小组根据现场调查和查阅有关资料并参考专家意见，向应急现场指挥组提出污染处置方案。</w:t>
      </w:r>
    </w:p>
    <w:p w14:paraId="4C4888F3" w14:textId="77777777" w:rsidR="005A1A44" w:rsidRDefault="0008059E">
      <w:pPr>
        <w:ind w:firstLine="480"/>
      </w:pPr>
      <w:r>
        <w:t>对造成水污染事故的，应急监测小组需测量流速，估算污染物转移、扩散速率。</w:t>
      </w:r>
    </w:p>
    <w:p w14:paraId="15BAB902" w14:textId="77777777" w:rsidR="005A1A44" w:rsidRDefault="0008059E">
      <w:pPr>
        <w:ind w:firstLine="480"/>
      </w:pPr>
      <w:r>
        <w:t>迅速联合当地环境监察人员对事故周围环境和人员反应作初步调查。</w:t>
      </w:r>
    </w:p>
    <w:p w14:paraId="37583654" w14:textId="77777777" w:rsidR="005A1A44" w:rsidRDefault="0008059E">
      <w:pPr>
        <w:ind w:firstLine="480"/>
      </w:pPr>
      <w:r>
        <w:rPr>
          <w:rFonts w:hint="eastAsia"/>
        </w:rPr>
        <w:t>⑦</w:t>
      </w:r>
      <w:r>
        <w:t>污染警戒区域划定和消息发布</w:t>
      </w:r>
    </w:p>
    <w:p w14:paraId="4E28FB9F" w14:textId="77777777" w:rsidR="005A1A44" w:rsidRDefault="0008059E">
      <w:pPr>
        <w:ind w:firstLine="480"/>
      </w:pPr>
      <w:r>
        <w:t>应急处置小组根据污染监测数据和现场调查，向应急现场指挥组提出污染警戒区域（划定居住区域）的建议。应急现场指挥组向应急领导组报告后发布警报决定。</w:t>
      </w:r>
    </w:p>
    <w:p w14:paraId="1549EB11" w14:textId="77777777" w:rsidR="005A1A44" w:rsidRDefault="0008059E">
      <w:pPr>
        <w:ind w:firstLine="480"/>
      </w:pPr>
      <w:r>
        <w:t>应急现场指挥组要组织各应急小组召开事故处理分析会，将分析结果及时报告应急领导小组。</w:t>
      </w:r>
    </w:p>
    <w:p w14:paraId="4FCB98A8" w14:textId="77777777" w:rsidR="005A1A44" w:rsidRDefault="0008059E">
      <w:pPr>
        <w:ind w:firstLine="480"/>
      </w:pPr>
      <w:r>
        <w:rPr>
          <w:rFonts w:hint="eastAsia"/>
        </w:rPr>
        <w:t>⑧</w:t>
      </w:r>
      <w:r>
        <w:t>污染跟踪</w:t>
      </w:r>
    </w:p>
    <w:p w14:paraId="50AC48AF" w14:textId="77777777" w:rsidR="005A1A44" w:rsidRDefault="0008059E">
      <w:pPr>
        <w:ind w:firstLine="480"/>
      </w:pPr>
      <w:r>
        <w:t>应急小组要对污染状况进行跟踪调查，根据监测数据和其他有关数据编制分析图表，预测污染迁移强度、速度和影响范围，及时调整对策。每</w:t>
      </w:r>
      <w:r>
        <w:t>24</w:t>
      </w:r>
      <w:r>
        <w:t>小时向应急现场指挥组报告一次污染事故处理动态和下一步对策（续报），直至突发事件消失。</w:t>
      </w:r>
    </w:p>
    <w:p w14:paraId="7C6D51BD" w14:textId="77777777" w:rsidR="005A1A44" w:rsidRDefault="0008059E">
      <w:pPr>
        <w:ind w:firstLine="480"/>
      </w:pPr>
      <w:r>
        <w:rPr>
          <w:rFonts w:hint="eastAsia"/>
        </w:rPr>
        <w:t>⑨</w:t>
      </w:r>
      <w:r>
        <w:t>污染警报解除</w:t>
      </w:r>
    </w:p>
    <w:p w14:paraId="08E5BCA5" w14:textId="77777777" w:rsidR="005A1A44" w:rsidRDefault="0008059E">
      <w:pPr>
        <w:ind w:firstLine="480"/>
      </w:pPr>
      <w:r>
        <w:t>污染警报解除由应急现场指挥组根据监测数据报应急领导小组同意后发布。</w:t>
      </w:r>
    </w:p>
    <w:p w14:paraId="7082B884" w14:textId="77777777" w:rsidR="005A1A44" w:rsidRDefault="0008059E">
      <w:pPr>
        <w:ind w:firstLine="480"/>
      </w:pPr>
      <w:r>
        <w:rPr>
          <w:rFonts w:hint="eastAsia"/>
        </w:rPr>
        <w:t>⑩</w:t>
      </w:r>
      <w:r>
        <w:t>调查取证及结案归档</w:t>
      </w:r>
    </w:p>
    <w:p w14:paraId="61ED9118" w14:textId="77777777" w:rsidR="005A1A44" w:rsidRDefault="0008059E">
      <w:pPr>
        <w:ind w:firstLine="480"/>
      </w:pPr>
      <w:r>
        <w:t>全程详细记录污染事故过程、污染范围、周围环境状况、污染物排放情况、污染途径、危害程度等内容，调查、分析事故原因。尽可能采用原始的第一手材料，科学分析确定事故责任人，依法对涉案人员作调查询问笔录，立案查处。</w:t>
      </w:r>
    </w:p>
    <w:p w14:paraId="71E42A58" w14:textId="77777777" w:rsidR="005A1A44" w:rsidRDefault="0008059E">
      <w:pPr>
        <w:ind w:firstLine="480"/>
      </w:pPr>
      <w:r>
        <w:lastRenderedPageBreak/>
        <w:t>污染事故处理完毕后，及时归纳、整理，形成总结报告，按照一事一卷要求存档备案，并上报</w:t>
      </w:r>
      <w:r>
        <w:rPr>
          <w:rFonts w:hint="eastAsia"/>
        </w:rPr>
        <w:t>和田</w:t>
      </w:r>
      <w:r>
        <w:t>地区有关部门。</w:t>
      </w:r>
    </w:p>
    <w:p w14:paraId="59396FFF" w14:textId="77777777" w:rsidR="005A1A44" w:rsidRDefault="0008059E">
      <w:pPr>
        <w:ind w:firstLine="480"/>
        <w:rPr>
          <w:sz w:val="21"/>
          <w:szCs w:val="21"/>
        </w:rPr>
      </w:pPr>
      <w:r>
        <w:t>（</w:t>
      </w:r>
      <w:r>
        <w:t>2</w:t>
      </w:r>
      <w:r>
        <w:t>）应急处置工作保障</w:t>
      </w:r>
    </w:p>
    <w:p w14:paraId="0B8A778F" w14:textId="77777777" w:rsidR="005A1A44" w:rsidRDefault="0008059E">
      <w:pPr>
        <w:ind w:firstLine="480"/>
        <w:rPr>
          <w:sz w:val="21"/>
          <w:szCs w:val="21"/>
        </w:rPr>
      </w:pPr>
      <w:r>
        <w:rPr>
          <w:rFonts w:hint="eastAsia"/>
        </w:rPr>
        <w:t>①</w:t>
      </w:r>
      <w:r>
        <w:t>应急能力建设要求</w:t>
      </w:r>
    </w:p>
    <w:p w14:paraId="5A196E55" w14:textId="77777777" w:rsidR="005A1A44" w:rsidRDefault="0008059E">
      <w:pPr>
        <w:ind w:firstLine="480"/>
      </w:pPr>
      <w:r>
        <w:t>服从上级应急现场指挥组统一指挥，切实加强应急能力建设，完善应对突发环境事件的各项内部制度，加强培训和演练。</w:t>
      </w:r>
    </w:p>
    <w:p w14:paraId="1CAA945D" w14:textId="77777777" w:rsidR="005A1A44" w:rsidRDefault="0008059E">
      <w:pPr>
        <w:ind w:firstLine="480"/>
      </w:pPr>
      <w:r>
        <w:rPr>
          <w:rFonts w:hint="eastAsia"/>
        </w:rPr>
        <w:t>②</w:t>
      </w:r>
      <w:r>
        <w:t>通信保障</w:t>
      </w:r>
    </w:p>
    <w:p w14:paraId="570A7353" w14:textId="77777777" w:rsidR="005A1A44" w:rsidRDefault="0008059E">
      <w:pPr>
        <w:ind w:firstLine="480"/>
      </w:pPr>
      <w:r>
        <w:t>配合有关管理部门建立和完善环境安全应急指挥系统、环境应急处置全省联动系统和环境安全科学预警系统，确保本预案启动时，市环保局应急领导组指挥中心的通信畅通。</w:t>
      </w:r>
    </w:p>
    <w:p w14:paraId="46F71231" w14:textId="77777777" w:rsidR="005A1A44" w:rsidRDefault="0008059E">
      <w:pPr>
        <w:ind w:firstLine="480"/>
      </w:pPr>
      <w:r>
        <w:rPr>
          <w:rFonts w:hint="eastAsia"/>
        </w:rPr>
        <w:t>③</w:t>
      </w:r>
      <w:r>
        <w:t>培训与演练</w:t>
      </w:r>
    </w:p>
    <w:p w14:paraId="0F81AFE1" w14:textId="77777777" w:rsidR="005A1A44" w:rsidRDefault="0008059E">
      <w:pPr>
        <w:ind w:firstLine="480"/>
      </w:pPr>
      <w:r>
        <w:t>加强环保系统专业技术人员日常培训和重要目标工作人员的培训管理，培养一批训练有素具备突发环境事件处置能力的专门人才。要结合当地实际，组织不同类型的实战演练，以积累处置突发环境事件的应急处置经验，增强实战能力。</w:t>
      </w:r>
    </w:p>
    <w:p w14:paraId="7D45088D" w14:textId="77777777" w:rsidR="005A1A44" w:rsidRDefault="0008059E">
      <w:pPr>
        <w:ind w:firstLine="480"/>
      </w:pPr>
      <w:r>
        <w:rPr>
          <w:rFonts w:ascii="华文中宋" w:hAnsi="华文中宋"/>
        </w:rPr>
        <w:t>本项目采用成熟可靠的生产工艺和设备，在设计中严格执行有关规范中的安全条款，对影响安全的因素，均采取了措施予以预防，企业只要严格遵守各项安全操作规程和制度，加强安全管理，在建设和运营过程中，其生产是安全可靠的。正常情况下能够保证安全生产和达到工业企业设计卫生标准的要求。</w:t>
      </w:r>
    </w:p>
    <w:p w14:paraId="5C6603CE" w14:textId="77777777" w:rsidR="005A1A44" w:rsidRDefault="005A1A44">
      <w:pPr>
        <w:pStyle w:val="Char"/>
        <w:ind w:firstLine="602"/>
        <w:sectPr w:rsidR="005A1A44">
          <w:pgSz w:w="12240" w:h="15840"/>
          <w:pgMar w:top="1440" w:right="1803" w:bottom="1440" w:left="1803" w:header="720" w:footer="720" w:gutter="0"/>
          <w:cols w:space="0"/>
          <w:docGrid w:linePitch="312"/>
        </w:sectPr>
      </w:pPr>
    </w:p>
    <w:p w14:paraId="50ACD5F8" w14:textId="77777777" w:rsidR="005A1A44" w:rsidRDefault="0008059E">
      <w:pPr>
        <w:pStyle w:val="1"/>
        <w:numPr>
          <w:ilvl w:val="0"/>
          <w:numId w:val="2"/>
        </w:numPr>
      </w:pPr>
      <w:r>
        <w:rPr>
          <w:rFonts w:hint="eastAsia"/>
        </w:rPr>
        <w:lastRenderedPageBreak/>
        <w:t xml:space="preserve"> </w:t>
      </w:r>
      <w:bookmarkStart w:id="245" w:name="_Toc19998_WPSOffice_Level1"/>
      <w:bookmarkStart w:id="246" w:name="_Toc10735_WPSOffice_Level1"/>
      <w:bookmarkStart w:id="247" w:name="_Toc29988_WPSOffice_Level1"/>
      <w:r>
        <w:rPr>
          <w:rFonts w:hint="eastAsia"/>
        </w:rPr>
        <w:t>环境保护措施及其可行性论证</w:t>
      </w:r>
      <w:bookmarkEnd w:id="223"/>
      <w:bookmarkEnd w:id="245"/>
      <w:bookmarkEnd w:id="246"/>
      <w:bookmarkEnd w:id="247"/>
    </w:p>
    <w:p w14:paraId="119966A9" w14:textId="77777777" w:rsidR="005A1A44" w:rsidRDefault="0008059E">
      <w:pPr>
        <w:pStyle w:val="2"/>
        <w:numPr>
          <w:ilvl w:val="1"/>
          <w:numId w:val="2"/>
        </w:numPr>
      </w:pPr>
      <w:bookmarkStart w:id="248" w:name="_Toc465790270"/>
      <w:bookmarkStart w:id="249" w:name="_Toc11508_WPSOffice_Level2"/>
      <w:bookmarkStart w:id="250" w:name="_Toc19486_WPSOffice_Level2"/>
      <w:bookmarkStart w:id="251" w:name="_Toc18870_WPSOffice_Level2"/>
      <w:r>
        <w:rPr>
          <w:rFonts w:hint="eastAsia"/>
        </w:rPr>
        <w:t>施工期环保工程措施</w:t>
      </w:r>
      <w:bookmarkEnd w:id="248"/>
      <w:bookmarkEnd w:id="249"/>
      <w:bookmarkEnd w:id="250"/>
      <w:bookmarkEnd w:id="251"/>
    </w:p>
    <w:p w14:paraId="45041386" w14:textId="77777777" w:rsidR="005A1A44" w:rsidRDefault="0008059E">
      <w:pPr>
        <w:pStyle w:val="3"/>
        <w:numPr>
          <w:ilvl w:val="2"/>
          <w:numId w:val="2"/>
        </w:numPr>
      </w:pPr>
      <w:r>
        <w:rPr>
          <w:rFonts w:hint="eastAsia"/>
        </w:rPr>
        <w:t xml:space="preserve"> </w:t>
      </w:r>
      <w:r>
        <w:rPr>
          <w:rFonts w:hint="eastAsia"/>
        </w:rPr>
        <w:t>社会环境保护措施</w:t>
      </w:r>
    </w:p>
    <w:p w14:paraId="486DC303" w14:textId="77777777" w:rsidR="005A1A44" w:rsidRDefault="0008059E">
      <w:pPr>
        <w:ind w:firstLine="480"/>
      </w:pPr>
      <w:r>
        <w:t>为避免施工过程中造成片区交通堵塞，工程将在各交叉路口以及施工车辆的进出口设置施工提示牌、诱导提示牌、交通活动护栏等，各进出口安排专人管理。同路段如有多处施工，需施工好一处再进行下一处施工，方便车辆通行，各种交通活动护栏、指示牌等可以结合各段的施工时间顺序合理重复利用。具体疏解措施如下：</w:t>
      </w:r>
    </w:p>
    <w:p w14:paraId="35DF20EF" w14:textId="77777777" w:rsidR="005A1A44" w:rsidRDefault="0008059E">
      <w:pPr>
        <w:ind w:firstLine="480"/>
      </w:pPr>
      <w:r>
        <w:rPr>
          <w:rFonts w:hint="eastAsia"/>
        </w:rPr>
        <w:t>（</w:t>
      </w:r>
      <w:r>
        <w:rPr>
          <w:rFonts w:hint="eastAsia"/>
        </w:rPr>
        <w:t>1</w:t>
      </w:r>
      <w:r>
        <w:t>）施工时积极与当地各级行政及公安部门交警合作，在各通道出入口处设置标志牌、指示人行及车辆通行。</w:t>
      </w:r>
    </w:p>
    <w:p w14:paraId="4BFF384E" w14:textId="77777777" w:rsidR="005A1A44" w:rsidRDefault="0008059E">
      <w:pPr>
        <w:ind w:firstLine="480"/>
      </w:pPr>
      <w:r>
        <w:rPr>
          <w:rFonts w:hint="eastAsia"/>
        </w:rPr>
        <w:t>（</w:t>
      </w:r>
      <w:r>
        <w:rPr>
          <w:rFonts w:hint="eastAsia"/>
        </w:rPr>
        <w:t>2</w:t>
      </w:r>
      <w:r>
        <w:t>）本工程实行全封闭管理施工，各通道出入口设置交通活动护栏，将车辆与施工区域分隔开，防止车辆及非施工人员进入施工场地。</w:t>
      </w:r>
    </w:p>
    <w:p w14:paraId="191FED1E" w14:textId="77777777" w:rsidR="005A1A44" w:rsidRDefault="0008059E">
      <w:pPr>
        <w:ind w:firstLine="480"/>
      </w:pPr>
      <w:r>
        <w:rPr>
          <w:rFonts w:hint="eastAsia"/>
        </w:rPr>
        <w:t>（</w:t>
      </w:r>
      <w:r>
        <w:rPr>
          <w:rFonts w:hint="eastAsia"/>
        </w:rPr>
        <w:t>3</w:t>
      </w:r>
      <w:r>
        <w:t>）各通道出入口及交通繁忙地段设置专职维持交通人员，在施工期间不间断值班，同时配合交警工作，指挥附近车辆和行人通行，确保交通顺畅。</w:t>
      </w:r>
    </w:p>
    <w:p w14:paraId="78D85723" w14:textId="77777777" w:rsidR="005A1A44" w:rsidRDefault="0008059E">
      <w:pPr>
        <w:ind w:firstLine="480"/>
      </w:pPr>
      <w:r>
        <w:rPr>
          <w:rFonts w:hint="eastAsia"/>
        </w:rPr>
        <w:t>（</w:t>
      </w:r>
      <w:r>
        <w:rPr>
          <w:rFonts w:hint="eastAsia"/>
        </w:rPr>
        <w:t>4</w:t>
      </w:r>
      <w:r>
        <w:t>）施工材料及机械停放一律在施工范围内，不准占用行车通道。</w:t>
      </w:r>
    </w:p>
    <w:p w14:paraId="1E93BF3F" w14:textId="77777777" w:rsidR="005A1A44" w:rsidRDefault="0008059E">
      <w:pPr>
        <w:ind w:firstLine="480"/>
      </w:pPr>
      <w:r>
        <w:rPr>
          <w:rFonts w:hint="eastAsia"/>
        </w:rPr>
        <w:t>（</w:t>
      </w:r>
      <w:r>
        <w:rPr>
          <w:rFonts w:hint="eastAsia"/>
        </w:rPr>
        <w:t>5</w:t>
      </w:r>
      <w:r>
        <w:rPr>
          <w:rFonts w:hint="eastAsia"/>
        </w:rPr>
        <w:t>）</w:t>
      </w:r>
      <w:r>
        <w:t>机械退场尽量选择行车较少的时段，避免造成交通阻塞。</w:t>
      </w:r>
    </w:p>
    <w:p w14:paraId="251C8C29" w14:textId="77777777" w:rsidR="005A1A44" w:rsidRDefault="0008059E">
      <w:pPr>
        <w:pStyle w:val="3"/>
        <w:numPr>
          <w:ilvl w:val="2"/>
          <w:numId w:val="2"/>
        </w:numPr>
      </w:pPr>
      <w:r>
        <w:rPr>
          <w:rFonts w:hint="eastAsia"/>
        </w:rPr>
        <w:t xml:space="preserve"> </w:t>
      </w:r>
      <w:r>
        <w:rPr>
          <w:rFonts w:hint="eastAsia"/>
        </w:rPr>
        <w:t>施工期大气环境污染防治措施</w:t>
      </w:r>
    </w:p>
    <w:p w14:paraId="5339C42E" w14:textId="77777777" w:rsidR="005A1A44" w:rsidRDefault="0008059E">
      <w:pPr>
        <w:ind w:firstLine="480"/>
      </w:pPr>
      <w:r>
        <w:rPr>
          <w:rFonts w:ascii="宋体" w:eastAsia="宋体" w:hAnsi="宋体" w:cs="宋体"/>
          <w:kern w:val="0"/>
        </w:rPr>
        <w:t>由于本工程建设施工期较长</w:t>
      </w:r>
      <w:r>
        <w:rPr>
          <w:rFonts w:ascii="宋体" w:eastAsia="宋体" w:hAnsi="宋体" w:cs="宋体" w:hint="eastAsia"/>
          <w:kern w:val="0"/>
        </w:rPr>
        <w:t>，</w:t>
      </w:r>
      <w:r>
        <w:rPr>
          <w:rFonts w:ascii="宋体" w:eastAsia="宋体" w:hAnsi="宋体" w:cs="宋体"/>
          <w:kern w:val="0"/>
        </w:rPr>
        <w:t>伴随着建筑材料运输</w:t>
      </w:r>
      <w:r>
        <w:rPr>
          <w:rFonts w:ascii="宋体" w:eastAsia="宋体" w:hAnsi="宋体" w:cs="宋体" w:hint="eastAsia"/>
          <w:kern w:val="0"/>
        </w:rPr>
        <w:t>，</w:t>
      </w:r>
      <w:r>
        <w:rPr>
          <w:rFonts w:ascii="宋体" w:eastAsia="宋体" w:hAnsi="宋体" w:cs="宋体"/>
          <w:kern w:val="0"/>
        </w:rPr>
        <w:t>装卸等施工过程的进行施工期间产生的扬尘将对施工场地周围环境空气带来不利影啊</w:t>
      </w:r>
      <w:r>
        <w:rPr>
          <w:rFonts w:ascii="宋体" w:eastAsia="宋体" w:hAnsi="宋体" w:cs="宋体" w:hint="eastAsia"/>
          <w:kern w:val="0"/>
        </w:rPr>
        <w:t>，</w:t>
      </w:r>
      <w:r>
        <w:rPr>
          <w:rFonts w:ascii="宋体" w:eastAsia="宋体" w:hAnsi="宋体" w:cs="宋体"/>
          <w:kern w:val="0"/>
        </w:rPr>
        <w:t>因此必须采取合理可行</w:t>
      </w:r>
      <w:r>
        <w:t>的控制措施</w:t>
      </w:r>
      <w:r>
        <w:rPr>
          <w:rFonts w:hint="eastAsia"/>
        </w:rPr>
        <w:t>，</w:t>
      </w:r>
      <w:r>
        <w:t>尽量减轻其污染程度</w:t>
      </w:r>
      <w:r>
        <w:rPr>
          <w:rFonts w:hint="eastAsia"/>
        </w:rPr>
        <w:t>，</w:t>
      </w:r>
      <w:r>
        <w:t>缩小其影响范围。建设单位应要求</w:t>
      </w:r>
      <w:r>
        <w:rPr>
          <w:rFonts w:hint="eastAsia"/>
        </w:rPr>
        <w:t>施工</w:t>
      </w:r>
      <w:r>
        <w:t>单位文明施工</w:t>
      </w:r>
      <w:r>
        <w:rPr>
          <w:rFonts w:hint="eastAsia"/>
        </w:rPr>
        <w:t>，</w:t>
      </w:r>
      <w:r>
        <w:t>同时可对施工单位提出如下要求</w:t>
      </w:r>
      <w:r>
        <w:rPr>
          <w:rFonts w:hint="eastAsia"/>
        </w:rPr>
        <w:t>。</w:t>
      </w:r>
    </w:p>
    <w:p w14:paraId="6A27F6E5" w14:textId="77777777" w:rsidR="005A1A44" w:rsidRDefault="0008059E">
      <w:pPr>
        <w:ind w:firstLine="480"/>
      </w:pPr>
      <w:r>
        <w:rPr>
          <w:rFonts w:hint="eastAsia"/>
        </w:rPr>
        <w:t>（</w:t>
      </w:r>
      <w:r>
        <w:rPr>
          <w:rFonts w:hint="eastAsia"/>
        </w:rPr>
        <w:t>1</w:t>
      </w:r>
      <w:r>
        <w:rPr>
          <w:rFonts w:hint="eastAsia"/>
        </w:rPr>
        <w:t>）</w:t>
      </w:r>
      <w:r>
        <w:t>施工扬尘</w:t>
      </w:r>
    </w:p>
    <w:p w14:paraId="1A379565" w14:textId="77777777" w:rsidR="005A1A44" w:rsidRDefault="0008059E">
      <w:pPr>
        <w:ind w:firstLine="480"/>
        <w:rPr>
          <w:rFonts w:ascii="宋体" w:eastAsia="宋体" w:hAnsi="宋体" w:cs="宋体" w:hint="eastAsia"/>
          <w:kern w:val="0"/>
        </w:rPr>
      </w:pPr>
      <w:r>
        <w:rPr>
          <w:rFonts w:hint="eastAsia"/>
        </w:rPr>
        <w:lastRenderedPageBreak/>
        <w:t>①</w:t>
      </w:r>
      <w:r>
        <w:t>对施工现</w:t>
      </w:r>
      <w:r>
        <w:rPr>
          <w:rFonts w:ascii="宋体" w:eastAsia="宋体" w:hAnsi="宋体" w:cs="宋体"/>
          <w:kern w:val="0"/>
        </w:rPr>
        <w:t>场进行科学管理</w:t>
      </w:r>
      <w:r>
        <w:rPr>
          <w:rFonts w:ascii="宋体" w:eastAsia="宋体" w:hAnsi="宋体" w:cs="宋体" w:hint="eastAsia"/>
          <w:kern w:val="0"/>
        </w:rPr>
        <w:t>，</w:t>
      </w:r>
      <w:r>
        <w:rPr>
          <w:rFonts w:ascii="宋体" w:eastAsia="宋体" w:hAnsi="宋体" w:cs="宋体"/>
          <w:kern w:val="0"/>
        </w:rPr>
        <w:t>砂石料应统一堆放</w:t>
      </w:r>
      <w:r>
        <w:rPr>
          <w:rFonts w:ascii="宋体" w:eastAsia="宋体" w:hAnsi="宋体" w:cs="宋体" w:hint="eastAsia"/>
          <w:kern w:val="0"/>
        </w:rPr>
        <w:t>，</w:t>
      </w:r>
      <w:r>
        <w:rPr>
          <w:rFonts w:ascii="宋体" w:eastAsia="宋体" w:hAnsi="宋体" w:cs="宋体"/>
          <w:kern w:val="0"/>
        </w:rPr>
        <w:t>水泥应设专门库房堆放</w:t>
      </w:r>
      <w:r>
        <w:rPr>
          <w:rFonts w:ascii="宋体" w:eastAsia="宋体" w:hAnsi="宋体" w:cs="宋体" w:hint="eastAsia"/>
          <w:kern w:val="0"/>
        </w:rPr>
        <w:t>，</w:t>
      </w:r>
      <w:r>
        <w:rPr>
          <w:rFonts w:ascii="宋体" w:eastAsia="宋体" w:hAnsi="宋体" w:cs="宋体"/>
          <w:kern w:val="0"/>
        </w:rPr>
        <w:t>尽量减少搬运环节</w:t>
      </w:r>
      <w:r>
        <w:rPr>
          <w:rFonts w:ascii="宋体" w:eastAsia="宋体" w:hAnsi="宋体" w:cs="宋体" w:hint="eastAsia"/>
          <w:kern w:val="0"/>
        </w:rPr>
        <w:t>，</w:t>
      </w:r>
      <w:r>
        <w:rPr>
          <w:rFonts w:ascii="宋体" w:eastAsia="宋体" w:hAnsi="宋体" w:cs="宋体"/>
          <w:kern w:val="0"/>
        </w:rPr>
        <w:t>并设集中混凝土搅拌站</w:t>
      </w:r>
      <w:r>
        <w:rPr>
          <w:rFonts w:ascii="宋体" w:eastAsia="宋体" w:hAnsi="宋体" w:cs="宋体" w:hint="eastAsia"/>
          <w:kern w:val="0"/>
        </w:rPr>
        <w:t>。</w:t>
      </w:r>
    </w:p>
    <w:p w14:paraId="616B143D"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②</w:t>
      </w:r>
      <w:r>
        <w:rPr>
          <w:rFonts w:ascii="宋体" w:eastAsia="宋体" w:hAnsi="宋体" w:cs="宋体"/>
          <w:kern w:val="0"/>
        </w:rPr>
        <w:t>地面开挖时</w:t>
      </w:r>
      <w:r>
        <w:rPr>
          <w:rFonts w:ascii="宋体" w:eastAsia="宋体" w:hAnsi="宋体" w:cs="宋体" w:hint="eastAsia"/>
          <w:kern w:val="0"/>
        </w:rPr>
        <w:t>，</w:t>
      </w:r>
      <w:r>
        <w:rPr>
          <w:rFonts w:ascii="宋体" w:eastAsia="宋体" w:hAnsi="宋体" w:cs="宋体"/>
          <w:kern w:val="0"/>
        </w:rPr>
        <w:t>对作业面适当喷水</w:t>
      </w:r>
      <w:r>
        <w:rPr>
          <w:rFonts w:ascii="宋体" w:eastAsia="宋体" w:hAnsi="宋体" w:cs="宋体" w:hint="eastAsia"/>
          <w:kern w:val="0"/>
        </w:rPr>
        <w:t>，</w:t>
      </w:r>
      <w:r>
        <w:rPr>
          <w:rFonts w:ascii="宋体" w:eastAsia="宋体" w:hAnsi="宋体" w:cs="宋体"/>
          <w:kern w:val="0"/>
        </w:rPr>
        <w:t>使其保持一定湿度</w:t>
      </w:r>
      <w:r>
        <w:rPr>
          <w:rFonts w:ascii="宋体" w:eastAsia="宋体" w:hAnsi="宋体" w:cs="宋体" w:hint="eastAsia"/>
          <w:kern w:val="0"/>
        </w:rPr>
        <w:t>，</w:t>
      </w:r>
      <w:r>
        <w:rPr>
          <w:rFonts w:ascii="宋体" w:eastAsia="宋体" w:hAnsi="宋体" w:cs="宋体"/>
          <w:kern w:val="0"/>
        </w:rPr>
        <w:t>以减少扬尘产生量</w:t>
      </w:r>
      <w:r>
        <w:rPr>
          <w:rFonts w:ascii="宋体" w:eastAsia="宋体" w:hAnsi="宋体" w:cs="宋体" w:hint="eastAsia"/>
          <w:kern w:val="0"/>
        </w:rPr>
        <w:t>；</w:t>
      </w:r>
      <w:r>
        <w:rPr>
          <w:rFonts w:ascii="宋体" w:eastAsia="宋体" w:hAnsi="宋体" w:cs="宋体"/>
          <w:kern w:val="0"/>
        </w:rPr>
        <w:t>建筑材料和建筑垃圾应及时清运</w:t>
      </w:r>
      <w:r>
        <w:rPr>
          <w:rFonts w:ascii="宋体" w:eastAsia="宋体" w:hAnsi="宋体" w:cs="宋体" w:hint="eastAsia"/>
          <w:kern w:val="0"/>
        </w:rPr>
        <w:t>；</w:t>
      </w:r>
      <w:r>
        <w:rPr>
          <w:rFonts w:ascii="宋体" w:eastAsia="宋体" w:hAnsi="宋体" w:cs="宋体"/>
          <w:kern w:val="0"/>
        </w:rPr>
        <w:t>施工现场要设围挡</w:t>
      </w:r>
      <w:r>
        <w:rPr>
          <w:rFonts w:ascii="宋体" w:eastAsia="宋体" w:hAnsi="宋体" w:cs="宋体" w:hint="eastAsia"/>
          <w:kern w:val="0"/>
        </w:rPr>
        <w:t>，</w:t>
      </w:r>
      <w:r>
        <w:rPr>
          <w:rFonts w:ascii="宋体" w:eastAsia="宋体" w:hAnsi="宋体" w:cs="宋体"/>
          <w:kern w:val="0"/>
        </w:rPr>
        <w:t>减少施工扬尘扩散范围</w:t>
      </w:r>
      <w:r>
        <w:rPr>
          <w:rFonts w:ascii="宋体" w:eastAsia="宋体" w:hAnsi="宋体" w:cs="宋体" w:hint="eastAsia"/>
          <w:kern w:val="0"/>
        </w:rPr>
        <w:t>，</w:t>
      </w:r>
      <w:r>
        <w:rPr>
          <w:rFonts w:ascii="宋体" w:eastAsia="宋体" w:hAnsi="宋体" w:cs="宋体"/>
          <w:kern w:val="0"/>
        </w:rPr>
        <w:t>避免大风天气施工</w:t>
      </w:r>
      <w:r>
        <w:rPr>
          <w:rFonts w:ascii="宋体" w:eastAsia="宋体" w:hAnsi="宋体" w:cs="宋体" w:hint="eastAsia"/>
          <w:kern w:val="0"/>
        </w:rPr>
        <w:t>，</w:t>
      </w:r>
      <w:r>
        <w:rPr>
          <w:rFonts w:ascii="宋体" w:eastAsia="宋体" w:hAnsi="宋体" w:cs="宋体"/>
          <w:kern w:val="0"/>
        </w:rPr>
        <w:t>施工过程中风速过大时应停止施工作业</w:t>
      </w:r>
      <w:r>
        <w:rPr>
          <w:rFonts w:ascii="宋体" w:eastAsia="宋体" w:hAnsi="宋体" w:cs="宋体" w:hint="eastAsia"/>
          <w:kern w:val="0"/>
        </w:rPr>
        <w:t>，</w:t>
      </w:r>
      <w:r>
        <w:rPr>
          <w:rFonts w:ascii="宋体" w:eastAsia="宋体" w:hAnsi="宋体" w:cs="宋体"/>
          <w:kern w:val="0"/>
        </w:rPr>
        <w:t>并对堆放的砂石等建筑材料进行遮盖处理</w:t>
      </w:r>
      <w:r>
        <w:rPr>
          <w:rFonts w:ascii="宋体" w:eastAsia="宋体" w:hAnsi="宋体" w:cs="宋体" w:hint="eastAsia"/>
          <w:kern w:val="0"/>
        </w:rPr>
        <w:t>。</w:t>
      </w:r>
    </w:p>
    <w:p w14:paraId="63F44C1D"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③</w:t>
      </w:r>
      <w:r>
        <w:rPr>
          <w:rFonts w:ascii="宋体" w:eastAsia="宋体" w:hAnsi="宋体" w:cs="宋体"/>
          <w:kern w:val="0"/>
        </w:rPr>
        <w:t>物料装卸过程应在相对封闭的空间进行作业</w:t>
      </w:r>
      <w:r>
        <w:rPr>
          <w:rFonts w:ascii="宋体" w:eastAsia="宋体" w:hAnsi="宋体" w:cs="宋体" w:hint="eastAsia"/>
          <w:kern w:val="0"/>
        </w:rPr>
        <w:t>，</w:t>
      </w:r>
      <w:r>
        <w:rPr>
          <w:rFonts w:ascii="宋体" w:eastAsia="宋体" w:hAnsi="宋体" w:cs="宋体"/>
          <w:kern w:val="0"/>
        </w:rPr>
        <w:t>防止扬尘外泄</w:t>
      </w:r>
      <w:r>
        <w:rPr>
          <w:rFonts w:ascii="宋体" w:eastAsia="宋体" w:hAnsi="宋体" w:cs="宋体" w:hint="eastAsia"/>
          <w:kern w:val="0"/>
        </w:rPr>
        <w:t>，</w:t>
      </w:r>
      <w:r>
        <w:rPr>
          <w:rFonts w:ascii="宋体" w:eastAsia="宋体" w:hAnsi="宋体" w:cs="宋体"/>
          <w:kern w:val="0"/>
        </w:rPr>
        <w:t>无法在封闭空间进行的作业须采取对物料喷洒水雾或抑尘剂等方式防治扬尘污染。</w:t>
      </w:r>
    </w:p>
    <w:p w14:paraId="2E18DA37" w14:textId="77777777" w:rsidR="005A1A44" w:rsidRDefault="0008059E">
      <w:pPr>
        <w:ind w:firstLine="480"/>
      </w:pPr>
      <w:r>
        <w:rPr>
          <w:rFonts w:hint="eastAsia"/>
        </w:rPr>
        <w:t>（</w:t>
      </w:r>
      <w:r>
        <w:rPr>
          <w:rFonts w:hint="eastAsia"/>
        </w:rPr>
        <w:t>2</w:t>
      </w:r>
      <w:r>
        <w:rPr>
          <w:rFonts w:hint="eastAsia"/>
        </w:rPr>
        <w:t>）</w:t>
      </w:r>
      <w:r>
        <w:t>车辆运输扬尘</w:t>
      </w:r>
    </w:p>
    <w:p w14:paraId="0A78361E"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①</w:t>
      </w:r>
      <w:r>
        <w:rPr>
          <w:rFonts w:ascii="宋体" w:eastAsia="宋体" w:hAnsi="宋体" w:cs="宋体"/>
          <w:kern w:val="0"/>
        </w:rPr>
        <w:t>装载多尘物料时</w:t>
      </w:r>
      <w:r>
        <w:rPr>
          <w:rFonts w:ascii="宋体" w:eastAsia="宋体" w:hAnsi="宋体" w:cs="宋体" w:hint="eastAsia"/>
          <w:kern w:val="0"/>
        </w:rPr>
        <w:t>，</w:t>
      </w:r>
      <w:r>
        <w:rPr>
          <w:rFonts w:ascii="宋体" w:eastAsia="宋体" w:hAnsi="宋体" w:cs="宋体"/>
          <w:kern w:val="0"/>
        </w:rPr>
        <w:t>应对物料适当加湿或用篷布遮盖</w:t>
      </w:r>
      <w:r>
        <w:rPr>
          <w:rFonts w:ascii="宋体" w:eastAsia="宋体" w:hAnsi="宋体" w:cs="宋体" w:hint="eastAsia"/>
          <w:kern w:val="0"/>
        </w:rPr>
        <w:t>，</w:t>
      </w:r>
      <w:r>
        <w:rPr>
          <w:rFonts w:ascii="宋体" w:eastAsia="宋体" w:hAnsi="宋体" w:cs="宋体"/>
          <w:kern w:val="0"/>
        </w:rPr>
        <w:t>减少其沿途遗洒</w:t>
      </w:r>
      <w:r>
        <w:rPr>
          <w:rFonts w:ascii="宋体" w:eastAsia="宋体" w:hAnsi="宋体" w:cs="宋体" w:hint="eastAsia"/>
          <w:kern w:val="0"/>
        </w:rPr>
        <w:t>，</w:t>
      </w:r>
      <w:r>
        <w:rPr>
          <w:rFonts w:ascii="宋体" w:eastAsia="宋体" w:hAnsi="宋体" w:cs="宋体"/>
          <w:kern w:val="0"/>
        </w:rPr>
        <w:t>及时清扫散落在路面的泥土和灰尘</w:t>
      </w:r>
      <w:r>
        <w:rPr>
          <w:rFonts w:ascii="宋体" w:eastAsia="宋体" w:hAnsi="宋体" w:cs="宋体" w:hint="eastAsia"/>
          <w:kern w:val="0"/>
        </w:rPr>
        <w:t>；</w:t>
      </w:r>
      <w:r>
        <w:rPr>
          <w:rFonts w:ascii="宋体" w:eastAsia="宋体" w:hAnsi="宋体" w:cs="宋体"/>
          <w:kern w:val="0"/>
        </w:rPr>
        <w:t>定时洒水压尘</w:t>
      </w:r>
      <w:r>
        <w:rPr>
          <w:rFonts w:ascii="宋体" w:eastAsia="宋体" w:hAnsi="宋体" w:cs="宋体" w:hint="eastAsia"/>
          <w:kern w:val="0"/>
        </w:rPr>
        <w:t>，</w:t>
      </w:r>
      <w:r>
        <w:rPr>
          <w:rFonts w:ascii="宋体" w:eastAsia="宋体" w:hAnsi="宋体" w:cs="宋体"/>
          <w:kern w:val="0"/>
        </w:rPr>
        <w:t>减少运输过程中的扬尘</w:t>
      </w:r>
      <w:r>
        <w:rPr>
          <w:rFonts w:ascii="宋体" w:eastAsia="宋体" w:hAnsi="宋体" w:cs="宋体" w:hint="eastAsia"/>
          <w:kern w:val="0"/>
        </w:rPr>
        <w:t>；</w:t>
      </w:r>
      <w:r>
        <w:rPr>
          <w:rFonts w:ascii="宋体" w:eastAsia="宋体" w:hAnsi="宋体" w:cs="宋体"/>
          <w:kern w:val="0"/>
        </w:rPr>
        <w:t>运送水泥等细颗粒材料的车辆应采用密封储罐车</w:t>
      </w:r>
      <w:r>
        <w:rPr>
          <w:rFonts w:ascii="宋体" w:eastAsia="宋体" w:hAnsi="宋体" w:cs="宋体" w:hint="eastAsia"/>
          <w:kern w:val="0"/>
        </w:rPr>
        <w:t>；</w:t>
      </w:r>
      <w:r>
        <w:rPr>
          <w:rFonts w:ascii="宋体" w:eastAsia="宋体" w:hAnsi="宋体" w:cs="宋体"/>
          <w:kern w:val="0"/>
        </w:rPr>
        <w:t>装卸、堆放中应防止物料流散并经常清洗运输车辆</w:t>
      </w:r>
      <w:r>
        <w:rPr>
          <w:rFonts w:ascii="宋体" w:eastAsia="宋体" w:hAnsi="宋体" w:cs="宋体" w:hint="eastAsia"/>
          <w:kern w:val="0"/>
        </w:rPr>
        <w:t>；</w:t>
      </w:r>
      <w:r>
        <w:rPr>
          <w:rFonts w:ascii="宋体" w:eastAsia="宋体" w:hAnsi="宋体" w:cs="宋体"/>
          <w:kern w:val="0"/>
        </w:rPr>
        <w:t>谨防运输车辆装载过满</w:t>
      </w:r>
      <w:r>
        <w:rPr>
          <w:rFonts w:ascii="宋体" w:eastAsia="宋体" w:hAnsi="宋体" w:cs="宋体" w:hint="eastAsia"/>
          <w:kern w:val="0"/>
        </w:rPr>
        <w:t>；</w:t>
      </w:r>
      <w:r>
        <w:rPr>
          <w:rFonts w:ascii="宋体" w:eastAsia="宋体" w:hAnsi="宋体" w:cs="宋体"/>
          <w:kern w:val="0"/>
        </w:rPr>
        <w:t>,并尽量采取遮盖、密闭措施。</w:t>
      </w:r>
    </w:p>
    <w:p w14:paraId="40C0D0F9"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②</w:t>
      </w:r>
      <w:r>
        <w:rPr>
          <w:rFonts w:ascii="宋体" w:eastAsia="宋体" w:hAnsi="宋体" w:cs="宋体"/>
          <w:kern w:val="0"/>
        </w:rPr>
        <w:t>对施工道路进行定期养护,保持路面平整</w:t>
      </w:r>
      <w:r>
        <w:rPr>
          <w:rFonts w:ascii="宋体" w:eastAsia="宋体" w:hAnsi="宋体" w:cs="宋体" w:hint="eastAsia"/>
          <w:kern w:val="0"/>
        </w:rPr>
        <w:t>，</w:t>
      </w:r>
      <w:r>
        <w:rPr>
          <w:rFonts w:ascii="宋体" w:eastAsia="宋体" w:hAnsi="宋体" w:cs="宋体"/>
          <w:kern w:val="0"/>
        </w:rPr>
        <w:t>车速不得超过30km/h</w:t>
      </w:r>
      <w:r>
        <w:rPr>
          <w:rFonts w:ascii="宋体" w:eastAsia="宋体" w:hAnsi="宋体" w:cs="宋体" w:hint="eastAsia"/>
          <w:kern w:val="0"/>
        </w:rPr>
        <w:t>，</w:t>
      </w:r>
      <w:r>
        <w:rPr>
          <w:rFonts w:ascii="宋体" w:eastAsia="宋体" w:hAnsi="宋体" w:cs="宋体"/>
          <w:kern w:val="0"/>
        </w:rPr>
        <w:t>路边应安装限速标志。</w:t>
      </w:r>
    </w:p>
    <w:p w14:paraId="401DC383"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③</w:t>
      </w:r>
      <w:r>
        <w:rPr>
          <w:rFonts w:ascii="宋体" w:eastAsia="宋体" w:hAnsi="宋体" w:cs="宋体"/>
          <w:kern w:val="0"/>
        </w:rPr>
        <w:t>在施工道路区</w:t>
      </w:r>
      <w:r>
        <w:rPr>
          <w:rFonts w:ascii="宋体" w:eastAsia="宋体" w:hAnsi="宋体" w:cs="宋体" w:hint="eastAsia"/>
          <w:kern w:val="0"/>
        </w:rPr>
        <w:t>每天</w:t>
      </w:r>
      <w:r>
        <w:rPr>
          <w:rFonts w:ascii="宋体" w:eastAsia="宋体" w:hAnsi="宋体" w:cs="宋体"/>
          <w:kern w:val="0"/>
        </w:rPr>
        <w:t>至少洒水</w:t>
      </w:r>
      <w:r>
        <w:rPr>
          <w:rFonts w:ascii="宋体" w:eastAsia="宋体" w:hAnsi="宋体" w:cs="宋体" w:hint="eastAsia"/>
          <w:kern w:val="0"/>
        </w:rPr>
        <w:t>5</w:t>
      </w:r>
      <w:r>
        <w:rPr>
          <w:rFonts w:ascii="宋体" w:eastAsia="宋体" w:hAnsi="宋体" w:cs="宋体"/>
          <w:kern w:val="0"/>
        </w:rPr>
        <w:t>次</w:t>
      </w:r>
      <w:r>
        <w:rPr>
          <w:rFonts w:ascii="宋体" w:eastAsia="宋体" w:hAnsi="宋体" w:cs="宋体" w:hint="eastAsia"/>
          <w:kern w:val="0"/>
        </w:rPr>
        <w:t>，</w:t>
      </w:r>
      <w:r>
        <w:rPr>
          <w:rFonts w:ascii="宋体" w:eastAsia="宋体" w:hAnsi="宋体" w:cs="宋体"/>
          <w:kern w:val="0"/>
        </w:rPr>
        <w:t>还应据天气情况酌情增洒</w:t>
      </w:r>
      <w:r>
        <w:rPr>
          <w:rFonts w:ascii="宋体" w:eastAsia="宋体" w:hAnsi="宋体" w:cs="宋体" w:hint="eastAsia"/>
          <w:kern w:val="0"/>
        </w:rPr>
        <w:t>加</w:t>
      </w:r>
      <w:r>
        <w:rPr>
          <w:rFonts w:ascii="宋体" w:eastAsia="宋体" w:hAnsi="宋体" w:cs="宋体"/>
          <w:kern w:val="0"/>
        </w:rPr>
        <w:t>水次数</w:t>
      </w:r>
      <w:r>
        <w:rPr>
          <w:rFonts w:ascii="宋体" w:eastAsia="宋体" w:hAnsi="宋体" w:cs="宋体" w:hint="eastAsia"/>
          <w:kern w:val="0"/>
        </w:rPr>
        <w:t>，如高温天气、风沙天地等。</w:t>
      </w:r>
    </w:p>
    <w:p w14:paraId="50E25760" w14:textId="77777777" w:rsidR="005A1A44" w:rsidRDefault="0008059E">
      <w:pPr>
        <w:ind w:leftChars="200" w:left="480" w:firstLineChars="0" w:firstLine="0"/>
      </w:pPr>
      <w:r>
        <w:rPr>
          <w:rFonts w:hint="eastAsia"/>
        </w:rPr>
        <w:t>（</w:t>
      </w:r>
      <w:r>
        <w:rPr>
          <w:rFonts w:hint="eastAsia"/>
        </w:rPr>
        <w:t>3</w:t>
      </w:r>
      <w:r>
        <w:rPr>
          <w:rFonts w:hint="eastAsia"/>
        </w:rPr>
        <w:t>）</w:t>
      </w:r>
      <w:r>
        <w:t>饮食油烟</w:t>
      </w:r>
    </w:p>
    <w:p w14:paraId="163ECF1A" w14:textId="77777777" w:rsidR="005A1A44" w:rsidRDefault="0008059E">
      <w:pPr>
        <w:widowControl/>
        <w:spacing w:after="240"/>
        <w:ind w:firstLine="480"/>
        <w:jc w:val="left"/>
        <w:rPr>
          <w:rFonts w:ascii="宋体" w:eastAsia="宋体" w:hAnsi="宋体" w:cs="宋体" w:hint="eastAsia"/>
          <w:kern w:val="0"/>
        </w:rPr>
      </w:pPr>
      <w:r>
        <w:rPr>
          <w:rFonts w:ascii="宋体" w:eastAsia="宋体" w:hAnsi="宋体" w:cs="宋体"/>
          <w:kern w:val="0"/>
        </w:rPr>
        <w:t>在煮食及烹饪等产生热力及油烟的地方设置油烟罩及空气过滤器</w:t>
      </w:r>
      <w:r>
        <w:rPr>
          <w:rFonts w:ascii="宋体" w:eastAsia="宋体" w:hAnsi="宋体" w:cs="宋体" w:hint="eastAsia"/>
          <w:kern w:val="0"/>
        </w:rPr>
        <w:t>，</w:t>
      </w:r>
      <w:r>
        <w:rPr>
          <w:rFonts w:ascii="宋体" w:eastAsia="宋体" w:hAnsi="宋体" w:cs="宋体"/>
          <w:kern w:val="0"/>
        </w:rPr>
        <w:t>处理后排入大气。</w:t>
      </w:r>
    </w:p>
    <w:p w14:paraId="029BC807" w14:textId="77777777" w:rsidR="005A1A44" w:rsidRDefault="0008059E">
      <w:pPr>
        <w:ind w:firstLine="480"/>
      </w:pPr>
      <w:r>
        <w:rPr>
          <w:rFonts w:hint="eastAsia"/>
        </w:rPr>
        <w:t>（</w:t>
      </w:r>
      <w:r>
        <w:rPr>
          <w:rFonts w:hint="eastAsia"/>
        </w:rPr>
        <w:t>4</w:t>
      </w:r>
      <w:r>
        <w:rPr>
          <w:rFonts w:hint="eastAsia"/>
        </w:rPr>
        <w:t>）</w:t>
      </w:r>
      <w:r>
        <w:t>燃油废气控制措施</w:t>
      </w:r>
    </w:p>
    <w:p w14:paraId="2D557522"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①</w:t>
      </w:r>
      <w:r>
        <w:rPr>
          <w:rFonts w:ascii="宋体" w:eastAsia="宋体" w:hAnsi="宋体" w:cs="宋体"/>
          <w:kern w:val="0"/>
        </w:rPr>
        <w:t>选用符合国家有关机械</w:t>
      </w:r>
      <w:r>
        <w:rPr>
          <w:rFonts w:ascii="宋体" w:eastAsia="宋体" w:hAnsi="宋体" w:cs="宋体" w:hint="eastAsia"/>
          <w:kern w:val="0"/>
        </w:rPr>
        <w:t>、</w:t>
      </w:r>
      <w:r>
        <w:rPr>
          <w:rFonts w:ascii="宋体" w:eastAsia="宋体" w:hAnsi="宋体" w:cs="宋体"/>
          <w:kern w:val="0"/>
        </w:rPr>
        <w:t>机动车标准的施工机械和运输工具</w:t>
      </w:r>
      <w:r>
        <w:rPr>
          <w:rFonts w:ascii="宋体" w:eastAsia="宋体" w:hAnsi="宋体" w:cs="宋体" w:hint="eastAsia"/>
          <w:kern w:val="0"/>
        </w:rPr>
        <w:t>，</w:t>
      </w:r>
      <w:r>
        <w:rPr>
          <w:rFonts w:ascii="宋体" w:eastAsia="宋体" w:hAnsi="宋体" w:cs="宋体"/>
          <w:kern w:val="0"/>
        </w:rPr>
        <w:t>使用符合标准的柴油或清洁能源</w:t>
      </w:r>
      <w:r>
        <w:rPr>
          <w:rFonts w:ascii="宋体" w:eastAsia="宋体" w:hAnsi="宋体" w:cs="宋体" w:hint="eastAsia"/>
          <w:kern w:val="0"/>
        </w:rPr>
        <w:t>，</w:t>
      </w:r>
      <w:r>
        <w:rPr>
          <w:rFonts w:ascii="宋体" w:eastAsia="宋体" w:hAnsi="宋体" w:cs="宋体"/>
          <w:kern w:val="0"/>
        </w:rPr>
        <w:t>使其排放的废气能够达到国家标准。</w:t>
      </w:r>
    </w:p>
    <w:p w14:paraId="427B62DC"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②</w:t>
      </w:r>
      <w:r>
        <w:rPr>
          <w:rFonts w:ascii="宋体" w:eastAsia="宋体" w:hAnsi="宋体" w:cs="宋体"/>
          <w:kern w:val="0"/>
        </w:rPr>
        <w:t>施工期间</w:t>
      </w:r>
      <w:r>
        <w:rPr>
          <w:rFonts w:ascii="宋体" w:eastAsia="宋体" w:hAnsi="宋体" w:cs="宋体" w:hint="eastAsia"/>
          <w:kern w:val="0"/>
        </w:rPr>
        <w:t>，</w:t>
      </w:r>
      <w:r>
        <w:rPr>
          <w:rFonts w:ascii="宋体" w:eastAsia="宋体" w:hAnsi="宋体" w:cs="宋体"/>
          <w:kern w:val="0"/>
        </w:rPr>
        <w:t>往来车两多为燃柴油的大型运输车辆</w:t>
      </w:r>
      <w:r>
        <w:rPr>
          <w:rFonts w:ascii="宋体" w:eastAsia="宋体" w:hAnsi="宋体" w:cs="宋体" w:hint="eastAsia"/>
          <w:kern w:val="0"/>
        </w:rPr>
        <w:t>，</w:t>
      </w:r>
      <w:r>
        <w:rPr>
          <w:rFonts w:ascii="宋体" w:eastAsia="宋体" w:hAnsi="宋体" w:cs="宋体"/>
          <w:kern w:val="0"/>
        </w:rPr>
        <w:t>尾</w:t>
      </w:r>
      <w:r>
        <w:rPr>
          <w:rFonts w:ascii="宋体" w:eastAsia="宋体" w:hAnsi="宋体" w:cs="宋体" w:hint="eastAsia"/>
          <w:kern w:val="0"/>
        </w:rPr>
        <w:t>气</w:t>
      </w:r>
      <w:r>
        <w:rPr>
          <w:rFonts w:ascii="宋体" w:eastAsia="宋体" w:hAnsi="宋体" w:cs="宋体"/>
          <w:kern w:val="0"/>
        </w:rPr>
        <w:t>排放量与污染物含量均较燃汽油车辆高</w:t>
      </w:r>
      <w:r>
        <w:rPr>
          <w:rFonts w:ascii="宋体" w:eastAsia="宋体" w:hAnsi="宋体" w:cs="宋体" w:hint="eastAsia"/>
          <w:kern w:val="0"/>
        </w:rPr>
        <w:t>，</w:t>
      </w:r>
      <w:r>
        <w:rPr>
          <w:rFonts w:ascii="宋体" w:eastAsia="宋体" w:hAnsi="宋体" w:cs="宋体"/>
          <w:kern w:val="0"/>
        </w:rPr>
        <w:t>需安装尾气净化器</w:t>
      </w:r>
      <w:r>
        <w:rPr>
          <w:rFonts w:ascii="宋体" w:eastAsia="宋体" w:hAnsi="宋体" w:cs="宋体" w:hint="eastAsia"/>
          <w:kern w:val="0"/>
        </w:rPr>
        <w:t>，</w:t>
      </w:r>
      <w:r>
        <w:rPr>
          <w:rFonts w:ascii="宋体" w:eastAsia="宋体" w:hAnsi="宋体" w:cs="宋体"/>
          <w:kern w:val="0"/>
        </w:rPr>
        <w:t>保证尾气达标排放。</w:t>
      </w:r>
    </w:p>
    <w:p w14:paraId="128C63AC"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③</w:t>
      </w:r>
      <w:r>
        <w:rPr>
          <w:rFonts w:ascii="宋体" w:eastAsia="宋体" w:hAnsi="宋体" w:cs="宋体"/>
          <w:kern w:val="0"/>
        </w:rPr>
        <w:t>执行</w:t>
      </w:r>
      <w:r>
        <w:rPr>
          <w:rFonts w:ascii="宋体" w:eastAsia="宋体" w:hAnsi="宋体" w:cs="宋体" w:hint="eastAsia"/>
          <w:kern w:val="0"/>
        </w:rPr>
        <w:t>《</w:t>
      </w:r>
      <w:r>
        <w:rPr>
          <w:rFonts w:ascii="宋体" w:eastAsia="宋体" w:hAnsi="宋体" w:cs="宋体"/>
          <w:kern w:val="0"/>
        </w:rPr>
        <w:t>在用汽车报废标准》</w:t>
      </w:r>
      <w:r>
        <w:rPr>
          <w:rFonts w:ascii="宋体" w:eastAsia="宋体" w:hAnsi="宋体" w:cs="宋体" w:hint="eastAsia"/>
          <w:kern w:val="0"/>
        </w:rPr>
        <w:t>，</w:t>
      </w:r>
      <w:r>
        <w:rPr>
          <w:rFonts w:ascii="宋体" w:eastAsia="宋体" w:hAnsi="宋体" w:cs="宋体"/>
          <w:kern w:val="0"/>
        </w:rPr>
        <w:t>推行强制更新报废制度</w:t>
      </w:r>
      <w:r>
        <w:rPr>
          <w:rFonts w:ascii="宋体" w:eastAsia="宋体" w:hAnsi="宋体" w:cs="宋体" w:hint="eastAsia"/>
          <w:kern w:val="0"/>
        </w:rPr>
        <w:t>，</w:t>
      </w:r>
      <w:r>
        <w:rPr>
          <w:rFonts w:ascii="宋体" w:eastAsia="宋体" w:hAnsi="宋体" w:cs="宋体"/>
          <w:kern w:val="0"/>
        </w:rPr>
        <w:t>对于发动机耗油效率低</w:t>
      </w:r>
      <w:r>
        <w:rPr>
          <w:rFonts w:ascii="宋体" w:eastAsia="宋体" w:hAnsi="宋体" w:cs="宋体" w:hint="eastAsia"/>
          <w:kern w:val="0"/>
        </w:rPr>
        <w:t>，</w:t>
      </w:r>
      <w:r>
        <w:rPr>
          <w:rFonts w:ascii="宋体" w:eastAsia="宋体" w:hAnsi="宋体" w:cs="宋体"/>
          <w:kern w:val="0"/>
        </w:rPr>
        <w:t>排放尾气严重超标的老旧车辆及时更新。加强燃油机械设备的维护和保养</w:t>
      </w:r>
      <w:r>
        <w:rPr>
          <w:rFonts w:ascii="宋体" w:eastAsia="宋体" w:hAnsi="宋体" w:cs="宋体" w:hint="eastAsia"/>
          <w:kern w:val="0"/>
        </w:rPr>
        <w:t>，</w:t>
      </w:r>
      <w:r>
        <w:rPr>
          <w:rFonts w:ascii="宋体" w:eastAsia="宋体" w:hAnsi="宋体" w:cs="宋体"/>
          <w:kern w:val="0"/>
        </w:rPr>
        <w:t>使</w:t>
      </w:r>
      <w:r>
        <w:rPr>
          <w:rFonts w:ascii="宋体" w:eastAsia="宋体" w:hAnsi="宋体" w:cs="宋体"/>
          <w:kern w:val="0"/>
        </w:rPr>
        <w:lastRenderedPageBreak/>
        <w:t>发动机处于正常</w:t>
      </w:r>
      <w:r>
        <w:rPr>
          <w:rFonts w:ascii="宋体" w:eastAsia="宋体" w:hAnsi="宋体" w:cs="宋体" w:hint="eastAsia"/>
          <w:kern w:val="0"/>
        </w:rPr>
        <w:t>、</w:t>
      </w:r>
      <w:r>
        <w:rPr>
          <w:rFonts w:ascii="宋体" w:eastAsia="宋体" w:hAnsi="宋体" w:cs="宋体"/>
          <w:kern w:val="0"/>
        </w:rPr>
        <w:t>良好的工作状态。</w:t>
      </w:r>
    </w:p>
    <w:p w14:paraId="2ED8777B" w14:textId="77777777" w:rsidR="005A1A44" w:rsidRDefault="0008059E">
      <w:pPr>
        <w:numPr>
          <w:ilvl w:val="0"/>
          <w:numId w:val="11"/>
        </w:numPr>
        <w:ind w:firstLine="480"/>
      </w:pPr>
      <w:r>
        <w:t>施工人员劳动保护</w:t>
      </w:r>
    </w:p>
    <w:p w14:paraId="416C73CA" w14:textId="77777777" w:rsidR="005A1A44" w:rsidRDefault="0008059E">
      <w:pPr>
        <w:ind w:firstLine="480"/>
        <w:rPr>
          <w:rFonts w:ascii="宋体" w:eastAsia="宋体" w:hAnsi="宋体" w:cs="宋体" w:hint="eastAsia"/>
          <w:kern w:val="0"/>
        </w:rPr>
      </w:pPr>
      <w:r>
        <w:rPr>
          <w:rFonts w:ascii="宋体" w:eastAsia="宋体" w:hAnsi="宋体" w:cs="宋体"/>
          <w:kern w:val="0"/>
        </w:rPr>
        <w:t>为施工人员发放防尘用具</w:t>
      </w:r>
      <w:r>
        <w:rPr>
          <w:rFonts w:ascii="宋体" w:eastAsia="宋体" w:hAnsi="宋体" w:cs="宋体" w:hint="eastAsia"/>
          <w:kern w:val="0"/>
        </w:rPr>
        <w:t>，</w:t>
      </w:r>
      <w:r>
        <w:rPr>
          <w:rFonts w:ascii="宋体" w:eastAsia="宋体" w:hAnsi="宋体" w:cs="宋体"/>
          <w:kern w:val="0"/>
        </w:rPr>
        <w:t>特别对土石方作业</w:t>
      </w:r>
      <w:r>
        <w:rPr>
          <w:rFonts w:ascii="宋体" w:eastAsia="宋体" w:hAnsi="宋体" w:cs="宋体" w:hint="eastAsia"/>
          <w:kern w:val="0"/>
        </w:rPr>
        <w:t>，</w:t>
      </w:r>
      <w:r>
        <w:rPr>
          <w:rFonts w:ascii="宋体" w:eastAsia="宋体" w:hAnsi="宋体" w:cs="宋体"/>
          <w:kern w:val="0"/>
        </w:rPr>
        <w:t>混凝土拌合作业</w:t>
      </w:r>
      <w:r>
        <w:rPr>
          <w:rFonts w:ascii="宋体" w:eastAsia="宋体" w:hAnsi="宋体" w:cs="宋体" w:hint="eastAsia"/>
          <w:kern w:val="0"/>
        </w:rPr>
        <w:t>，</w:t>
      </w:r>
      <w:r>
        <w:rPr>
          <w:rFonts w:ascii="宋体" w:eastAsia="宋体" w:hAnsi="宋体" w:cs="宋体"/>
          <w:kern w:val="0"/>
        </w:rPr>
        <w:t>水泥装钔作业的施工人员</w:t>
      </w:r>
      <w:r>
        <w:rPr>
          <w:rFonts w:ascii="宋体" w:eastAsia="宋体" w:hAnsi="宋体" w:cs="宋体" w:hint="eastAsia"/>
          <w:kern w:val="0"/>
        </w:rPr>
        <w:t>，</w:t>
      </w:r>
      <w:r>
        <w:rPr>
          <w:rFonts w:ascii="宋体" w:eastAsia="宋体" w:hAnsi="宋体" w:cs="宋体"/>
          <w:kern w:val="0"/>
        </w:rPr>
        <w:t>应配发防护标准高的防尘器具</w:t>
      </w:r>
      <w:r>
        <w:rPr>
          <w:rFonts w:ascii="宋体" w:eastAsia="宋体" w:hAnsi="宋体" w:cs="宋体" w:hint="eastAsia"/>
          <w:kern w:val="0"/>
        </w:rPr>
        <w:t>，</w:t>
      </w:r>
      <w:r>
        <w:rPr>
          <w:rFonts w:ascii="宋体" w:eastAsia="宋体" w:hAnsi="宋体" w:cs="宋体"/>
          <w:kern w:val="0"/>
        </w:rPr>
        <w:t>施工过程中还应及时更换清洗</w:t>
      </w:r>
      <w:r>
        <w:rPr>
          <w:rFonts w:ascii="宋体" w:eastAsia="宋体" w:hAnsi="宋体" w:cs="宋体" w:hint="eastAsia"/>
          <w:kern w:val="0"/>
        </w:rPr>
        <w:t>。</w:t>
      </w:r>
    </w:p>
    <w:p w14:paraId="78A2D882" w14:textId="77777777" w:rsidR="005A1A44" w:rsidRDefault="0008059E">
      <w:pPr>
        <w:numPr>
          <w:ilvl w:val="0"/>
          <w:numId w:val="11"/>
        </w:numPr>
        <w:ind w:firstLine="480"/>
      </w:pPr>
      <w:r>
        <w:t>施工管理</w:t>
      </w:r>
    </w:p>
    <w:p w14:paraId="1A58E20C" w14:textId="77777777" w:rsidR="005A1A44" w:rsidRDefault="0008059E">
      <w:pPr>
        <w:ind w:firstLine="480"/>
        <w:rPr>
          <w:rFonts w:ascii="宋体" w:eastAsia="宋体" w:hAnsi="宋体" w:cs="宋体" w:hint="eastAsia"/>
          <w:kern w:val="0"/>
        </w:rPr>
      </w:pPr>
      <w:r>
        <w:rPr>
          <w:rFonts w:ascii="宋体" w:eastAsia="宋体" w:hAnsi="宋体" w:cs="宋体"/>
          <w:kern w:val="0"/>
        </w:rPr>
        <w:t>工程项目施工范围较大</w:t>
      </w:r>
      <w:r>
        <w:rPr>
          <w:rFonts w:ascii="宋体" w:eastAsia="宋体" w:hAnsi="宋体" w:cs="宋体" w:hint="eastAsia"/>
          <w:kern w:val="0"/>
        </w:rPr>
        <w:t>，</w:t>
      </w:r>
      <w:r>
        <w:rPr>
          <w:rFonts w:ascii="宋体" w:eastAsia="宋体" w:hAnsi="宋体" w:cs="宋体"/>
          <w:kern w:val="0"/>
        </w:rPr>
        <w:t>应采取分段施工的方式</w:t>
      </w:r>
      <w:r>
        <w:rPr>
          <w:rFonts w:ascii="宋体" w:eastAsia="宋体" w:hAnsi="宋体" w:cs="宋体" w:hint="eastAsia"/>
          <w:kern w:val="0"/>
        </w:rPr>
        <w:t>，</w:t>
      </w:r>
      <w:r>
        <w:rPr>
          <w:rFonts w:ascii="宋体" w:eastAsia="宋体" w:hAnsi="宋体" w:cs="宋体"/>
          <w:kern w:val="0"/>
        </w:rPr>
        <w:t>降低施工期环境影响</w:t>
      </w:r>
      <w:r>
        <w:rPr>
          <w:rFonts w:ascii="宋体" w:eastAsia="宋体" w:hAnsi="宋体" w:cs="宋体" w:hint="eastAsia"/>
          <w:kern w:val="0"/>
        </w:rPr>
        <w:t>。</w:t>
      </w:r>
    </w:p>
    <w:p w14:paraId="5EE4B2B6" w14:textId="77777777" w:rsidR="005A1A44" w:rsidRDefault="0008059E">
      <w:pPr>
        <w:pStyle w:val="3"/>
        <w:numPr>
          <w:ilvl w:val="2"/>
          <w:numId w:val="2"/>
        </w:numPr>
      </w:pPr>
      <w:r>
        <w:rPr>
          <w:rFonts w:hint="eastAsia"/>
        </w:rPr>
        <w:t xml:space="preserve"> </w:t>
      </w:r>
      <w:r>
        <w:t>施工期水环境影响防治措施</w:t>
      </w:r>
    </w:p>
    <w:p w14:paraId="06A8CD7B" w14:textId="77777777" w:rsidR="005A1A44" w:rsidRDefault="0008059E">
      <w:pPr>
        <w:pStyle w:val="4"/>
        <w:numPr>
          <w:ilvl w:val="3"/>
          <w:numId w:val="2"/>
        </w:numPr>
      </w:pPr>
      <w:r>
        <w:rPr>
          <w:rFonts w:hint="eastAsia"/>
        </w:rPr>
        <w:t xml:space="preserve"> </w:t>
      </w:r>
      <w:r>
        <w:t>环境保护管理措施</w:t>
      </w:r>
    </w:p>
    <w:p w14:paraId="14DFA79A" w14:textId="77777777" w:rsidR="005A1A44" w:rsidRDefault="0008059E">
      <w:pPr>
        <w:ind w:firstLine="480"/>
        <w:rPr>
          <w:rFonts w:ascii="宋体" w:eastAsia="宋体" w:hAnsi="宋体" w:cs="宋体" w:hint="eastAsia"/>
          <w:kern w:val="0"/>
        </w:rPr>
      </w:pPr>
      <w:r>
        <w:rPr>
          <w:rFonts w:ascii="宋体" w:eastAsia="宋体" w:hAnsi="宋体" w:cs="宋体"/>
          <w:kern w:val="0"/>
        </w:rPr>
        <w:t>施工期间严禁将生产</w:t>
      </w:r>
      <w:r>
        <w:rPr>
          <w:rFonts w:ascii="宋体" w:eastAsia="宋体" w:hAnsi="宋体" w:cs="宋体" w:hint="eastAsia"/>
          <w:kern w:val="0"/>
        </w:rPr>
        <w:t>、</w:t>
      </w:r>
      <w:r>
        <w:rPr>
          <w:rFonts w:ascii="宋体" w:eastAsia="宋体" w:hAnsi="宋体" w:cs="宋体"/>
          <w:kern w:val="0"/>
        </w:rPr>
        <w:t>生活污水排入地表水体。禁止一切有可能对</w:t>
      </w:r>
      <w:r>
        <w:rPr>
          <w:rFonts w:ascii="宋体" w:eastAsia="宋体" w:hAnsi="宋体" w:cs="宋体" w:hint="eastAsia"/>
          <w:kern w:val="0"/>
        </w:rPr>
        <w:t>地表和地下水</w:t>
      </w:r>
      <w:r>
        <w:rPr>
          <w:rFonts w:ascii="宋体" w:eastAsia="宋体" w:hAnsi="宋体" w:cs="宋体"/>
          <w:kern w:val="0"/>
        </w:rPr>
        <w:t>水质产生污染的施工行为和人为行为</w:t>
      </w:r>
      <w:r>
        <w:rPr>
          <w:rFonts w:ascii="宋体" w:eastAsia="宋体" w:hAnsi="宋体" w:cs="宋体" w:hint="eastAsia"/>
          <w:kern w:val="0"/>
        </w:rPr>
        <w:t>，禁止在和田市吐沙拉乡厂水源地(地下水)、和田市玉河东部一乡一镇水厂水源地(地下水)、</w:t>
      </w:r>
      <w:r>
        <w:rPr>
          <w:rFonts w:hint="eastAsia"/>
        </w:rPr>
        <w:t>和田市伊里其水厂水源地、洛浦县西片区三乡联合水厂地下水源地</w:t>
      </w:r>
      <w:r>
        <w:rPr>
          <w:rFonts w:ascii="宋体" w:eastAsia="宋体" w:hAnsi="宋体" w:cs="宋体" w:hint="eastAsia"/>
          <w:kern w:val="0"/>
        </w:rPr>
        <w:t>二级保护区内</w:t>
      </w:r>
      <w:r>
        <w:rPr>
          <w:rStyle w:val="af1"/>
          <w:rFonts w:hint="eastAsia"/>
        </w:rPr>
        <w:t>、</w:t>
      </w:r>
      <w:r>
        <w:rPr>
          <w:rFonts w:ascii="宋体" w:eastAsia="宋体" w:hAnsi="宋体" w:cs="宋体" w:hint="eastAsia"/>
          <w:kern w:val="0"/>
        </w:rPr>
        <w:t>设置施工营地和生产区，禁止实施排放污染物的建设活动，</w:t>
      </w:r>
      <w:r>
        <w:rPr>
          <w:rFonts w:ascii="宋体" w:eastAsia="宋体" w:hAnsi="宋体" w:cs="宋体"/>
          <w:kern w:val="0"/>
        </w:rPr>
        <w:t>并设立环保警示牌。</w:t>
      </w:r>
    </w:p>
    <w:p w14:paraId="632D7019" w14:textId="77777777" w:rsidR="005A1A44" w:rsidRDefault="0008059E">
      <w:pPr>
        <w:pStyle w:val="4"/>
        <w:numPr>
          <w:ilvl w:val="3"/>
          <w:numId w:val="2"/>
        </w:numPr>
      </w:pPr>
      <w:r>
        <w:rPr>
          <w:rFonts w:hint="eastAsia"/>
        </w:rPr>
        <w:t xml:space="preserve"> </w:t>
      </w:r>
      <w:r>
        <w:t>生产废水</w:t>
      </w:r>
    </w:p>
    <w:p w14:paraId="61324EEA" w14:textId="77777777" w:rsidR="005A1A44" w:rsidRDefault="0008059E">
      <w:pPr>
        <w:ind w:firstLine="482"/>
        <w:rPr>
          <w:b/>
          <w:bCs/>
        </w:rPr>
      </w:pPr>
      <w:r>
        <w:rPr>
          <w:rFonts w:hint="eastAsia"/>
          <w:b/>
          <w:bCs/>
        </w:rPr>
        <w:t>（</w:t>
      </w:r>
      <w:r>
        <w:rPr>
          <w:rFonts w:hint="eastAsia"/>
          <w:b/>
          <w:bCs/>
        </w:rPr>
        <w:t>1</w:t>
      </w:r>
      <w:r>
        <w:rPr>
          <w:rFonts w:hint="eastAsia"/>
          <w:b/>
          <w:bCs/>
        </w:rPr>
        <w:t>）机械冲洗废水</w:t>
      </w:r>
    </w:p>
    <w:p w14:paraId="620A4D0F" w14:textId="77777777" w:rsidR="005A1A44" w:rsidRDefault="0008059E">
      <w:pPr>
        <w:ind w:firstLine="480"/>
      </w:pPr>
      <w:r>
        <w:rPr>
          <w:rFonts w:hint="eastAsia"/>
        </w:rPr>
        <w:t>工程建设期，在每个施工营地建设隔油池</w:t>
      </w:r>
      <w:r>
        <w:rPr>
          <w:rFonts w:hint="eastAsia"/>
        </w:rPr>
        <w:t>+</w:t>
      </w:r>
      <w:r>
        <w:rPr>
          <w:rFonts w:hint="eastAsia"/>
        </w:rPr>
        <w:t>沉淀池，对工程车辆冲洗废水进行处理。机械车辆冲洗废水经除油、沉淀处理后，石油类浓度可降至</w:t>
      </w:r>
      <w:r>
        <w:rPr>
          <w:rFonts w:hint="eastAsia"/>
        </w:rPr>
        <w:t>5mg/L</w:t>
      </w:r>
      <w:r>
        <w:rPr>
          <w:rFonts w:hint="eastAsia"/>
        </w:rPr>
        <w:t>以下达到，《污水综合排放标准》的二级标准后，回用于车辆冲洗用水、施工区洒水降尘或混凝土拌合用水。</w:t>
      </w:r>
      <w:r>
        <w:rPr>
          <w:rFonts w:hint="eastAsia"/>
        </w:rPr>
        <w:t xml:space="preserve"> </w:t>
      </w:r>
    </w:p>
    <w:p w14:paraId="403B216D" w14:textId="77777777" w:rsidR="005A1A44" w:rsidRDefault="0008059E">
      <w:pPr>
        <w:ind w:firstLine="482"/>
        <w:rPr>
          <w:b/>
          <w:bCs/>
        </w:rPr>
      </w:pPr>
      <w:r>
        <w:rPr>
          <w:rFonts w:hint="eastAsia"/>
          <w:b/>
          <w:bCs/>
        </w:rPr>
        <w:t>（</w:t>
      </w:r>
      <w:r>
        <w:rPr>
          <w:rFonts w:hint="eastAsia"/>
          <w:b/>
          <w:bCs/>
        </w:rPr>
        <w:t>2</w:t>
      </w:r>
      <w:r>
        <w:rPr>
          <w:rFonts w:hint="eastAsia"/>
          <w:b/>
          <w:bCs/>
        </w:rPr>
        <w:t>）混凝土拌合系统废水</w:t>
      </w:r>
    </w:p>
    <w:p w14:paraId="377E186F" w14:textId="77777777" w:rsidR="005A1A44" w:rsidRDefault="0008059E">
      <w:pPr>
        <w:ind w:firstLine="480"/>
      </w:pPr>
      <w:r>
        <w:rPr>
          <w:rFonts w:hint="eastAsia"/>
        </w:rPr>
        <w:t>项目区混凝土拌合系统与施工停车场等施工场地布置在一起，混凝土拌合系统废水经沉淀池沉淀处理后，达到《污水综合排放标准》的二级标准后，回用于车辆冲洗用水、施工区洒水降尘或混凝土拌合用水。沉淀处理的</w:t>
      </w:r>
      <w:r>
        <w:rPr>
          <w:rFonts w:hint="eastAsia"/>
        </w:rPr>
        <w:t>SS</w:t>
      </w:r>
      <w:r>
        <w:rPr>
          <w:rFonts w:hint="eastAsia"/>
        </w:rPr>
        <w:t>处理率可达到</w:t>
      </w:r>
      <w:r>
        <w:rPr>
          <w:rFonts w:hint="eastAsia"/>
        </w:rPr>
        <w:t>95%</w:t>
      </w:r>
      <w:r>
        <w:rPr>
          <w:rFonts w:hint="eastAsia"/>
        </w:rPr>
        <w:t>，处理后废水排放浓度约</w:t>
      </w:r>
      <w:r>
        <w:rPr>
          <w:rFonts w:hint="eastAsia"/>
        </w:rPr>
        <w:t>250mg/L</w:t>
      </w:r>
      <w:r>
        <w:rPr>
          <w:rFonts w:hint="eastAsia"/>
        </w:rPr>
        <w:t>。</w:t>
      </w:r>
    </w:p>
    <w:p w14:paraId="7B7C18E3" w14:textId="77777777" w:rsidR="005A1A44" w:rsidRDefault="0008059E">
      <w:pPr>
        <w:ind w:firstLine="482"/>
        <w:rPr>
          <w:b/>
          <w:bCs/>
        </w:rPr>
      </w:pPr>
      <w:r>
        <w:rPr>
          <w:rFonts w:hint="eastAsia"/>
          <w:b/>
          <w:bCs/>
        </w:rPr>
        <w:lastRenderedPageBreak/>
        <w:t>（</w:t>
      </w:r>
      <w:r>
        <w:rPr>
          <w:rFonts w:hint="eastAsia"/>
          <w:b/>
          <w:bCs/>
        </w:rPr>
        <w:t>3</w:t>
      </w:r>
      <w:r>
        <w:rPr>
          <w:rFonts w:hint="eastAsia"/>
          <w:b/>
          <w:bCs/>
        </w:rPr>
        <w:t>）基坑排水</w:t>
      </w:r>
    </w:p>
    <w:p w14:paraId="62D3B001" w14:textId="77777777" w:rsidR="005A1A44" w:rsidRDefault="0008059E">
      <w:pPr>
        <w:ind w:firstLine="480"/>
      </w:pPr>
      <w:r>
        <w:rPr>
          <w:rFonts w:hint="eastAsia"/>
        </w:rPr>
        <w:t>在各施工场地临时修建沉淀池，临时沉淀池</w:t>
      </w:r>
      <w:r>
        <w:rPr>
          <w:rFonts w:hint="eastAsia"/>
        </w:rPr>
        <w:t>10</w:t>
      </w:r>
      <w:r>
        <w:rPr>
          <w:rFonts w:hint="eastAsia"/>
        </w:rPr>
        <w:t>～</w:t>
      </w:r>
      <w:r>
        <w:rPr>
          <w:rFonts w:hint="eastAsia"/>
        </w:rPr>
        <w:t>20m</w:t>
      </w:r>
      <w:r>
        <w:rPr>
          <w:rFonts w:hint="eastAsia"/>
          <w:vertAlign w:val="superscript"/>
        </w:rPr>
        <w:t>3</w:t>
      </w:r>
      <w:r>
        <w:rPr>
          <w:rFonts w:hint="eastAsia"/>
        </w:rPr>
        <w:t>不等，对生产废水分别进行沉淀处理。经过</w:t>
      </w:r>
      <w:r>
        <w:rPr>
          <w:rFonts w:hint="eastAsia"/>
        </w:rPr>
        <w:t>12</w:t>
      </w:r>
      <w:r>
        <w:rPr>
          <w:rFonts w:hint="eastAsia"/>
        </w:rPr>
        <w:t>小时以上沉淀处理后，废水中主要污染物</w:t>
      </w:r>
      <w:r>
        <w:rPr>
          <w:rFonts w:hint="eastAsia"/>
        </w:rPr>
        <w:t>SS</w:t>
      </w:r>
      <w:r>
        <w:rPr>
          <w:rFonts w:hint="eastAsia"/>
        </w:rPr>
        <w:t>可降至</w:t>
      </w:r>
      <w:r>
        <w:rPr>
          <w:rFonts w:hint="eastAsia"/>
        </w:rPr>
        <w:t>200mg/l</w:t>
      </w:r>
      <w:r>
        <w:rPr>
          <w:rFonts w:hint="eastAsia"/>
        </w:rPr>
        <w:t>以下，回用于砾料清洗、周围区域施工及道路降尘用水等。</w:t>
      </w:r>
    </w:p>
    <w:p w14:paraId="6E13F3CC" w14:textId="77777777" w:rsidR="005A1A44" w:rsidRDefault="0008059E">
      <w:pPr>
        <w:pStyle w:val="4"/>
        <w:numPr>
          <w:ilvl w:val="3"/>
          <w:numId w:val="2"/>
        </w:numPr>
      </w:pPr>
      <w:r>
        <w:rPr>
          <w:rFonts w:hint="eastAsia"/>
        </w:rPr>
        <w:t xml:space="preserve"> </w:t>
      </w:r>
      <w:r>
        <w:rPr>
          <w:rFonts w:hint="eastAsia"/>
        </w:rPr>
        <w:t>生活</w:t>
      </w:r>
      <w:r>
        <w:t>废水</w:t>
      </w:r>
    </w:p>
    <w:p w14:paraId="0E7CC65C" w14:textId="77777777" w:rsidR="005A1A44" w:rsidRDefault="0008059E">
      <w:pPr>
        <w:ind w:firstLine="480"/>
      </w:pPr>
      <w:r>
        <w:rPr>
          <w:rFonts w:ascii="宋体" w:eastAsia="宋体" w:hAnsi="宋体" w:cs="宋体" w:hint="eastAsia"/>
          <w:kern w:val="0"/>
        </w:rPr>
        <w:t>环评要求施工人员生活区沿河两岸布置，沿岸大部分为居民区，对于生活污水拟</w:t>
      </w:r>
      <w:r>
        <w:rPr>
          <w:rFonts w:hint="eastAsia"/>
        </w:rPr>
        <w:t>采取就近且灵活的处理原则，在每个生活区内设置化粪池各一座，并修建化粪池至最近市政污水管网的排水管线，生活污水经化粪池处理后全部通过排水管线进入到和田市城镇污水处理厂，其中含有污水经隔油池预处理后再进入化粪池处理，均不外排。</w:t>
      </w:r>
    </w:p>
    <w:p w14:paraId="63D2649A" w14:textId="77777777" w:rsidR="005A1A44" w:rsidRDefault="0008059E">
      <w:pPr>
        <w:ind w:firstLine="480"/>
      </w:pPr>
      <w:r>
        <w:rPr>
          <w:rFonts w:hint="eastAsia"/>
        </w:rPr>
        <w:t>在城镇污水管网未覆盖的区域，在施工营地设置临时防渗漏旱厕，并设立化粪池对其进行处理并及时清运。</w:t>
      </w:r>
    </w:p>
    <w:p w14:paraId="196A5618" w14:textId="77777777" w:rsidR="005A1A44" w:rsidRDefault="0008059E">
      <w:pPr>
        <w:ind w:firstLine="480"/>
      </w:pPr>
      <w:r>
        <w:rPr>
          <w:rFonts w:hint="eastAsia"/>
        </w:rPr>
        <w:t>总体上，施工期生活废水可以全部得到收集和处理，无外排，基本不存在对环境的影响。</w:t>
      </w:r>
    </w:p>
    <w:p w14:paraId="1F758AA5" w14:textId="77777777" w:rsidR="005A1A44" w:rsidRDefault="0008059E">
      <w:pPr>
        <w:pStyle w:val="3"/>
        <w:numPr>
          <w:ilvl w:val="2"/>
          <w:numId w:val="2"/>
        </w:numPr>
      </w:pPr>
      <w:r>
        <w:rPr>
          <w:rFonts w:hint="eastAsia"/>
        </w:rPr>
        <w:t xml:space="preserve"> </w:t>
      </w:r>
      <w:r>
        <w:t>施工期噪声控制措施</w:t>
      </w:r>
    </w:p>
    <w:p w14:paraId="7B54B10F" w14:textId="77777777" w:rsidR="005A1A44" w:rsidRDefault="0008059E">
      <w:pPr>
        <w:ind w:firstLine="480"/>
        <w:rPr>
          <w:rFonts w:ascii="宋体" w:eastAsia="宋体" w:hAnsi="宋体" w:cs="宋体" w:hint="eastAsia"/>
          <w:kern w:val="0"/>
        </w:rPr>
      </w:pPr>
      <w:r>
        <w:rPr>
          <w:rFonts w:ascii="宋体" w:eastAsia="宋体" w:hAnsi="宋体" w:cs="宋体"/>
          <w:kern w:val="0"/>
        </w:rPr>
        <w:t>为减轻施工期噪声对环境的影响</w:t>
      </w:r>
      <w:r>
        <w:rPr>
          <w:rFonts w:ascii="宋体" w:eastAsia="宋体" w:hAnsi="宋体" w:cs="宋体" w:hint="eastAsia"/>
          <w:kern w:val="0"/>
        </w:rPr>
        <w:t>，</w:t>
      </w:r>
      <w:r>
        <w:rPr>
          <w:rFonts w:ascii="宋体" w:eastAsia="宋体" w:hAnsi="宋体" w:cs="宋体"/>
          <w:kern w:val="0"/>
        </w:rPr>
        <w:t>建设单位应严格采取以下措施</w:t>
      </w:r>
      <w:r>
        <w:rPr>
          <w:rFonts w:ascii="宋体" w:eastAsia="宋体" w:hAnsi="宋体" w:cs="宋体" w:hint="eastAsia"/>
          <w:kern w:val="0"/>
        </w:rPr>
        <w:t>：</w:t>
      </w:r>
    </w:p>
    <w:p w14:paraId="7B197379" w14:textId="77777777" w:rsidR="005A1A44" w:rsidRDefault="0008059E">
      <w:pPr>
        <w:numPr>
          <w:ilvl w:val="0"/>
          <w:numId w:val="14"/>
        </w:numPr>
        <w:ind w:firstLine="480"/>
      </w:pPr>
      <w:r>
        <w:rPr>
          <w:rFonts w:ascii="宋体" w:eastAsia="宋体" w:hAnsi="宋体" w:cs="宋体"/>
          <w:kern w:val="0"/>
        </w:rPr>
        <w:t>选用低噪声设备</w:t>
      </w:r>
      <w:r>
        <w:rPr>
          <w:rFonts w:ascii="宋体" w:eastAsia="宋体" w:hAnsi="宋体" w:cs="宋体" w:hint="eastAsia"/>
          <w:kern w:val="0"/>
        </w:rPr>
        <w:t>，</w:t>
      </w:r>
      <w:r>
        <w:rPr>
          <w:rFonts w:ascii="宋体" w:eastAsia="宋体" w:hAnsi="宋体" w:cs="宋体"/>
          <w:kern w:val="0"/>
        </w:rPr>
        <w:t>加强设备的维护与管理</w:t>
      </w:r>
      <w:r>
        <w:rPr>
          <w:rFonts w:ascii="宋体" w:eastAsia="宋体" w:hAnsi="宋体" w:cs="宋体" w:hint="eastAsia"/>
          <w:kern w:val="0"/>
        </w:rPr>
        <w:t>，</w:t>
      </w:r>
      <w:r>
        <w:rPr>
          <w:rFonts w:ascii="宋体" w:eastAsia="宋体" w:hAnsi="宋体" w:cs="宋体"/>
          <w:kern w:val="0"/>
        </w:rPr>
        <w:t>把噪声污染减少到最低程度。确因技术条件所限</w:t>
      </w:r>
      <w:r>
        <w:rPr>
          <w:rFonts w:ascii="宋体" w:eastAsia="宋体" w:hAnsi="宋体" w:cs="宋体" w:hint="eastAsia"/>
          <w:kern w:val="0"/>
        </w:rPr>
        <w:t>，</w:t>
      </w:r>
      <w:r>
        <w:rPr>
          <w:rFonts w:ascii="宋体" w:eastAsia="宋体" w:hAnsi="宋体" w:cs="宋体"/>
          <w:kern w:val="0"/>
        </w:rPr>
        <w:t>不能通过治理消除环境噪声污染的</w:t>
      </w:r>
      <w:r>
        <w:rPr>
          <w:rFonts w:ascii="宋体" w:eastAsia="宋体" w:hAnsi="宋体" w:cs="宋体" w:hint="eastAsia"/>
          <w:kern w:val="0"/>
        </w:rPr>
        <w:t>，</w:t>
      </w:r>
      <w:r>
        <w:rPr>
          <w:rFonts w:ascii="宋体" w:eastAsia="宋体" w:hAnsi="宋体" w:cs="宋体"/>
          <w:kern w:val="0"/>
        </w:rPr>
        <w:t>必须采取有效措施</w:t>
      </w:r>
      <w:r>
        <w:rPr>
          <w:rFonts w:ascii="宋体" w:eastAsia="宋体" w:hAnsi="宋体" w:cs="宋体" w:hint="eastAsia"/>
          <w:kern w:val="0"/>
        </w:rPr>
        <w:t>，</w:t>
      </w:r>
      <w:r>
        <w:rPr>
          <w:rFonts w:ascii="宋体" w:eastAsia="宋体" w:hAnsi="宋体" w:cs="宋体"/>
          <w:kern w:val="0"/>
        </w:rPr>
        <w:t>把噪声污染减少到最低程度。</w:t>
      </w:r>
    </w:p>
    <w:p w14:paraId="1A6FDFDF" w14:textId="77777777" w:rsidR="005A1A44" w:rsidRDefault="0008059E">
      <w:pPr>
        <w:numPr>
          <w:ilvl w:val="0"/>
          <w:numId w:val="14"/>
        </w:numPr>
        <w:ind w:firstLine="480"/>
      </w:pPr>
      <w:r>
        <w:rPr>
          <w:rFonts w:ascii="宋体" w:eastAsia="宋体" w:hAnsi="宋体" w:cs="宋体"/>
          <w:kern w:val="0"/>
        </w:rPr>
        <w:t>加强对施工人员的环保教育</w:t>
      </w:r>
      <w:r>
        <w:rPr>
          <w:rFonts w:ascii="宋体" w:eastAsia="宋体" w:hAnsi="宋体" w:cs="宋体" w:hint="eastAsia"/>
          <w:kern w:val="0"/>
        </w:rPr>
        <w:t>，</w:t>
      </w:r>
      <w:r>
        <w:rPr>
          <w:rFonts w:ascii="宋体" w:eastAsia="宋体" w:hAnsi="宋体" w:cs="宋体"/>
          <w:kern w:val="0"/>
        </w:rPr>
        <w:t>倡导文明施工</w:t>
      </w:r>
      <w:r>
        <w:rPr>
          <w:rFonts w:ascii="宋体" w:eastAsia="宋体" w:hAnsi="宋体" w:cs="宋体" w:hint="eastAsia"/>
          <w:kern w:val="0"/>
        </w:rPr>
        <w:t>，</w:t>
      </w:r>
      <w:r>
        <w:rPr>
          <w:rFonts w:ascii="宋体" w:eastAsia="宋体" w:hAnsi="宋体" w:cs="宋体"/>
          <w:kern w:val="0"/>
        </w:rPr>
        <w:t>对于易产生高噪声的</w:t>
      </w:r>
      <w:r>
        <w:rPr>
          <w:rFonts w:ascii="宋体" w:eastAsia="宋体" w:hAnsi="宋体" w:cs="宋体" w:hint="eastAsia"/>
          <w:kern w:val="0"/>
        </w:rPr>
        <w:t>金属</w:t>
      </w:r>
      <w:r>
        <w:rPr>
          <w:rFonts w:ascii="宋体" w:eastAsia="宋体" w:hAnsi="宋体" w:cs="宋体"/>
          <w:kern w:val="0"/>
        </w:rPr>
        <w:t>类工具、器材、框架模板等要轻拿轻放</w:t>
      </w:r>
      <w:r>
        <w:rPr>
          <w:rFonts w:ascii="宋体" w:eastAsia="宋体" w:hAnsi="宋体" w:cs="宋体" w:hint="eastAsia"/>
          <w:kern w:val="0"/>
        </w:rPr>
        <w:t>，</w:t>
      </w:r>
      <w:r>
        <w:rPr>
          <w:rFonts w:ascii="宋体" w:eastAsia="宋体" w:hAnsi="宋体" w:cs="宋体"/>
          <w:kern w:val="0"/>
        </w:rPr>
        <w:t>严禁随意抛扔</w:t>
      </w:r>
      <w:r>
        <w:rPr>
          <w:rFonts w:ascii="宋体" w:eastAsia="宋体" w:hAnsi="宋体" w:cs="宋体" w:hint="eastAsia"/>
          <w:kern w:val="0"/>
        </w:rPr>
        <w:t>，</w:t>
      </w:r>
      <w:r>
        <w:rPr>
          <w:rFonts w:ascii="宋体" w:eastAsia="宋体" w:hAnsi="宋体" w:cs="宋体"/>
          <w:kern w:val="0"/>
        </w:rPr>
        <w:t>产生不必要的人为噪声</w:t>
      </w:r>
      <w:r>
        <w:rPr>
          <w:rFonts w:ascii="宋体" w:eastAsia="宋体" w:hAnsi="宋体" w:cs="宋体" w:hint="eastAsia"/>
          <w:kern w:val="0"/>
        </w:rPr>
        <w:t>。</w:t>
      </w:r>
    </w:p>
    <w:p w14:paraId="50EC2BAD" w14:textId="77777777" w:rsidR="005A1A44" w:rsidRDefault="0008059E">
      <w:pPr>
        <w:numPr>
          <w:ilvl w:val="0"/>
          <w:numId w:val="14"/>
        </w:numPr>
        <w:ind w:firstLine="480"/>
      </w:pPr>
      <w:r>
        <w:rPr>
          <w:rFonts w:ascii="宋体" w:eastAsia="宋体" w:hAnsi="宋体" w:cs="宋体"/>
          <w:kern w:val="0"/>
        </w:rPr>
        <w:t>置环保监察员</w:t>
      </w:r>
      <w:r>
        <w:rPr>
          <w:rFonts w:ascii="宋体" w:eastAsia="宋体" w:hAnsi="宋体" w:cs="宋体" w:hint="eastAsia"/>
          <w:kern w:val="0"/>
        </w:rPr>
        <w:t>，</w:t>
      </w:r>
      <w:r>
        <w:rPr>
          <w:rFonts w:ascii="宋体" w:eastAsia="宋体" w:hAnsi="宋体" w:cs="宋体"/>
          <w:kern w:val="0"/>
        </w:rPr>
        <w:t>并要及时了解各施工作业的噪声影响情况</w:t>
      </w:r>
      <w:r>
        <w:rPr>
          <w:rFonts w:ascii="宋体" w:eastAsia="宋体" w:hAnsi="宋体" w:cs="宋体" w:hint="eastAsia"/>
          <w:kern w:val="0"/>
        </w:rPr>
        <w:t>，</w:t>
      </w:r>
      <w:r>
        <w:rPr>
          <w:rFonts w:ascii="宋体" w:eastAsia="宋体" w:hAnsi="宋体" w:cs="宋体"/>
          <w:kern w:val="0"/>
        </w:rPr>
        <w:t>并因地制宜的采取相应的减振防噪措施。</w:t>
      </w:r>
    </w:p>
    <w:p w14:paraId="0F54787F" w14:textId="77777777" w:rsidR="005A1A44" w:rsidRDefault="0008059E">
      <w:pPr>
        <w:numPr>
          <w:ilvl w:val="0"/>
          <w:numId w:val="14"/>
        </w:numPr>
        <w:ind w:firstLine="480"/>
      </w:pPr>
      <w:r>
        <w:rPr>
          <w:rFonts w:ascii="宋体" w:eastAsia="宋体" w:hAnsi="宋体" w:cs="宋体"/>
          <w:kern w:val="0"/>
        </w:rPr>
        <w:t>合理安排工程运输车辆的运输路线和运输时间</w:t>
      </w:r>
      <w:r>
        <w:rPr>
          <w:rFonts w:ascii="宋体" w:eastAsia="宋体" w:hAnsi="宋体" w:cs="宋体" w:hint="eastAsia"/>
          <w:kern w:val="0"/>
        </w:rPr>
        <w:t>，</w:t>
      </w:r>
      <w:r>
        <w:rPr>
          <w:rFonts w:hint="eastAsia"/>
        </w:rPr>
        <w:t>禁车辆进出工地时鸣笛，严禁抛扔钢管等，</w:t>
      </w:r>
      <w:r>
        <w:rPr>
          <w:rFonts w:ascii="宋体" w:eastAsia="宋体" w:hAnsi="宋体" w:cs="宋体"/>
          <w:kern w:val="0"/>
        </w:rPr>
        <w:t>从而做到对周围居民的噪声影响降到最低。</w:t>
      </w:r>
    </w:p>
    <w:p w14:paraId="369F6226" w14:textId="77777777" w:rsidR="005A1A44" w:rsidRDefault="0008059E">
      <w:pPr>
        <w:numPr>
          <w:ilvl w:val="0"/>
          <w:numId w:val="14"/>
        </w:numPr>
        <w:ind w:firstLine="480"/>
      </w:pPr>
      <w:r>
        <w:rPr>
          <w:rFonts w:hint="eastAsia"/>
        </w:rPr>
        <w:lastRenderedPageBreak/>
        <w:t>由于该项目工程数量较大，施工场地较多，应对施工场地进行合理规划，统一布局，</w:t>
      </w:r>
      <w:r>
        <w:rPr>
          <w:rFonts w:ascii="宋体" w:eastAsia="宋体" w:hAnsi="宋体" w:cs="宋体"/>
          <w:kern w:val="0"/>
        </w:rPr>
        <w:t>尽量</w:t>
      </w:r>
      <w:r>
        <w:rPr>
          <w:rFonts w:ascii="宋体" w:eastAsia="宋体" w:hAnsi="宋体" w:cs="宋体" w:hint="eastAsia"/>
          <w:kern w:val="0"/>
        </w:rPr>
        <w:t>不在</w:t>
      </w:r>
      <w:r>
        <w:rPr>
          <w:rFonts w:ascii="宋体" w:eastAsia="宋体" w:hAnsi="宋体" w:cs="宋体"/>
          <w:kern w:val="0"/>
        </w:rPr>
        <w:t>场界安置噪声较大的施工设备</w:t>
      </w:r>
      <w:r>
        <w:rPr>
          <w:rFonts w:ascii="宋体" w:eastAsia="宋体" w:hAnsi="宋体" w:cs="宋体" w:hint="eastAsia"/>
          <w:kern w:val="0"/>
        </w:rPr>
        <w:t>，</w:t>
      </w:r>
      <w:r>
        <w:rPr>
          <w:rFonts w:ascii="宋体" w:eastAsia="宋体" w:hAnsi="宋体" w:cs="宋体"/>
          <w:kern w:val="0"/>
        </w:rPr>
        <w:t>不要将施工场地的堆场、施工原料加工作业区等易产生噪声的区域设置于场地的边界处</w:t>
      </w:r>
      <w:r>
        <w:rPr>
          <w:rFonts w:ascii="宋体" w:eastAsia="宋体" w:hAnsi="宋体" w:cs="宋体" w:hint="eastAsia"/>
          <w:kern w:val="0"/>
        </w:rPr>
        <w:t>，</w:t>
      </w:r>
      <w:r>
        <w:rPr>
          <w:rFonts w:ascii="宋体" w:eastAsia="宋体" w:hAnsi="宋体" w:cs="宋体"/>
          <w:kern w:val="0"/>
        </w:rPr>
        <w:t>以防止对临近人员产生影响</w:t>
      </w:r>
      <w:r>
        <w:rPr>
          <w:rFonts w:ascii="宋体" w:eastAsia="宋体" w:hAnsi="宋体" w:cs="宋体" w:hint="eastAsia"/>
          <w:kern w:val="0"/>
        </w:rPr>
        <w:t>，</w:t>
      </w:r>
      <w:r>
        <w:rPr>
          <w:rFonts w:ascii="宋体" w:eastAsia="宋体" w:hAnsi="宋体" w:cs="宋体"/>
          <w:kern w:val="0"/>
        </w:rPr>
        <w:t>以降低施工噪声对其产生的影响。</w:t>
      </w:r>
    </w:p>
    <w:p w14:paraId="1B85269F" w14:textId="77777777" w:rsidR="005A1A44" w:rsidRDefault="0008059E">
      <w:pPr>
        <w:numPr>
          <w:ilvl w:val="0"/>
          <w:numId w:val="14"/>
        </w:numPr>
        <w:ind w:firstLine="480"/>
      </w:pPr>
      <w:r>
        <w:rPr>
          <w:rFonts w:hint="eastAsia"/>
        </w:rPr>
        <w:t>合理安排工期，控制夜间噪声，不得在夜间进行路面夯实或其它高噪声的作业。如因连续作业确需在夜间施工的，应在开工前报当地环保部门批准，并告知居民，以便取得谅解，并尽可能集中时间缩短施工期。</w:t>
      </w:r>
    </w:p>
    <w:p w14:paraId="5E275AEE" w14:textId="77777777" w:rsidR="005A1A44" w:rsidRDefault="0008059E">
      <w:pPr>
        <w:pStyle w:val="3"/>
        <w:numPr>
          <w:ilvl w:val="2"/>
          <w:numId w:val="2"/>
        </w:numPr>
      </w:pPr>
      <w:r>
        <w:rPr>
          <w:rFonts w:hint="eastAsia"/>
        </w:rPr>
        <w:t xml:space="preserve"> </w:t>
      </w:r>
      <w:r>
        <w:t>施工期固体废物环境影响处置措施</w:t>
      </w:r>
    </w:p>
    <w:p w14:paraId="26D84D01" w14:textId="77777777" w:rsidR="005A1A44" w:rsidRDefault="0008059E">
      <w:pPr>
        <w:ind w:firstLine="480"/>
      </w:pPr>
      <w:r>
        <w:rPr>
          <w:rFonts w:hint="eastAsia"/>
        </w:rPr>
        <w:t>为防止施工期产生的固体废物对环境产生不利影响，建设单位应要求施工方采取如下控制措施：</w:t>
      </w:r>
    </w:p>
    <w:p w14:paraId="530EF275" w14:textId="77777777" w:rsidR="005A1A44" w:rsidRDefault="0008059E">
      <w:pPr>
        <w:ind w:firstLine="480"/>
      </w:pPr>
      <w:r>
        <w:rPr>
          <w:rFonts w:hint="eastAsia"/>
        </w:rPr>
        <w:t>（</w:t>
      </w:r>
      <w:r>
        <w:rPr>
          <w:rFonts w:hint="eastAsia"/>
        </w:rPr>
        <w:t>1</w:t>
      </w:r>
      <w:r>
        <w:rPr>
          <w:rFonts w:hint="eastAsia"/>
        </w:rPr>
        <w:t>）</w:t>
      </w:r>
      <w:r>
        <w:t>生活垃圾</w:t>
      </w:r>
    </w:p>
    <w:p w14:paraId="7F785D33" w14:textId="77777777" w:rsidR="005A1A44" w:rsidRDefault="0008059E">
      <w:pPr>
        <w:ind w:firstLine="480"/>
      </w:pPr>
      <w:r>
        <w:t>施工人员生活垃圾要分类收集、定点堆放、及时清运，由市容部门专用垃圾车送至垃圾转运站，集中后送</w:t>
      </w:r>
      <w:r>
        <w:rPr>
          <w:rFonts w:hint="eastAsia"/>
        </w:rPr>
        <w:t>和田市</w:t>
      </w:r>
      <w:r>
        <w:t>垃圾填埋场卫生填埋。</w:t>
      </w:r>
    </w:p>
    <w:p w14:paraId="479C608B" w14:textId="77777777" w:rsidR="005A1A44" w:rsidRDefault="0008059E">
      <w:pPr>
        <w:ind w:firstLine="480"/>
      </w:pPr>
      <w:r>
        <w:rPr>
          <w:rFonts w:hint="eastAsia"/>
        </w:rPr>
        <w:t>（</w:t>
      </w:r>
      <w:r>
        <w:rPr>
          <w:rFonts w:hint="eastAsia"/>
        </w:rPr>
        <w:t>2</w:t>
      </w:r>
      <w:r>
        <w:rPr>
          <w:rFonts w:hint="eastAsia"/>
        </w:rPr>
        <w:t>）施工过程中的建筑垃圾要及时清运，并尽量加以回收利用，防止因长期堆存而产生扬尘等污染。</w:t>
      </w:r>
    </w:p>
    <w:p w14:paraId="55308771" w14:textId="77777777" w:rsidR="005A1A44" w:rsidRDefault="0008059E">
      <w:pPr>
        <w:ind w:firstLine="480"/>
      </w:pPr>
      <w:r>
        <w:rPr>
          <w:rFonts w:hint="eastAsia"/>
        </w:rPr>
        <w:t>（</w:t>
      </w:r>
      <w:r>
        <w:rPr>
          <w:rFonts w:hint="eastAsia"/>
        </w:rPr>
        <w:t>3</w:t>
      </w:r>
      <w:r>
        <w:rPr>
          <w:rFonts w:hint="eastAsia"/>
        </w:rPr>
        <w:t>）河道疏浚开挖的土石方优先用于防洪堤主体工程建设，剩余土石方可用于景观建筑或河道内的平填，做到项目挖填方平衡，无外运土石万，无弃土、弃渣；建筑垃圾送城市建筑垃圾填埋场。</w:t>
      </w:r>
    </w:p>
    <w:p w14:paraId="41C8D6D0" w14:textId="77777777" w:rsidR="005A1A44" w:rsidRDefault="0008059E">
      <w:pPr>
        <w:ind w:firstLine="480"/>
      </w:pPr>
      <w:r>
        <w:rPr>
          <w:rFonts w:hint="eastAsia"/>
        </w:rPr>
        <w:t>（</w:t>
      </w:r>
      <w:r>
        <w:rPr>
          <w:rFonts w:hint="eastAsia"/>
        </w:rPr>
        <w:t>4</w:t>
      </w:r>
      <w:r>
        <w:rPr>
          <w:rFonts w:hint="eastAsia"/>
        </w:rPr>
        <w:t>）施工场地内须设临时生活垃圾收集点，收集的生活垃圾送指定垃圾填埋场处理。</w:t>
      </w:r>
    </w:p>
    <w:p w14:paraId="50E5BE75" w14:textId="77777777" w:rsidR="005A1A44" w:rsidRDefault="0008059E">
      <w:pPr>
        <w:ind w:firstLine="480"/>
      </w:pPr>
      <w:r>
        <w:rPr>
          <w:rFonts w:hint="eastAsia"/>
        </w:rPr>
        <w:t>（</w:t>
      </w:r>
      <w:r>
        <w:rPr>
          <w:rFonts w:hint="eastAsia"/>
        </w:rPr>
        <w:t>5</w:t>
      </w:r>
      <w:r>
        <w:rPr>
          <w:rFonts w:hint="eastAsia"/>
        </w:rPr>
        <w:t>）施工过程中设置危险废物暂存间，</w:t>
      </w:r>
      <w:r>
        <w:rPr>
          <w:rFonts w:hint="eastAsia"/>
        </w:rPr>
        <w:t>,</w:t>
      </w:r>
      <w:r>
        <w:rPr>
          <w:rFonts w:hint="eastAsia"/>
        </w:rPr>
        <w:t>将废机油采用桶装容器装好后放置在危险废物暂存间内，后期由有资质单位回收处理。危险废物暂存间的建设应符合《危险废物贮存污染控制标准》、国家相关标准和规范</w:t>
      </w:r>
      <w:r>
        <w:rPr>
          <w:rFonts w:hint="eastAsia"/>
        </w:rPr>
        <w:t>: </w:t>
      </w:r>
      <w:r>
        <w:rPr>
          <w:rFonts w:hint="eastAsia"/>
        </w:rPr>
        <w:t>“危险废物贮存设施都必须按</w:t>
      </w:r>
      <w:r>
        <w:rPr>
          <w:rFonts w:hint="eastAsia"/>
        </w:rPr>
        <w:t>GB15562.2</w:t>
      </w:r>
      <w:r>
        <w:rPr>
          <w:rFonts w:hint="eastAsia"/>
        </w:rPr>
        <w:t>的规定设置警示标志。危险废物贮存设施周围应设置围墙或其它防护栅栏。危险废物贮存设施应配备通讯设备、照明设施、安全防护服装及工具</w:t>
      </w:r>
      <w:r>
        <w:rPr>
          <w:rFonts w:hint="eastAsia"/>
        </w:rPr>
        <w:t>,</w:t>
      </w:r>
      <w:r>
        <w:rPr>
          <w:rFonts w:hint="eastAsia"/>
        </w:rPr>
        <w:t>并设有应急防护设</w:t>
      </w:r>
      <w:r>
        <w:rPr>
          <w:rFonts w:ascii="宋体" w:eastAsia="宋体" w:hAnsi="宋体" w:cs="宋体"/>
          <w:kern w:val="0"/>
        </w:rPr>
        <w:t>施”。废油转运按照《危险废物转移联单管理办法》(国家环境保护总局</w:t>
      </w:r>
      <w:r>
        <w:rPr>
          <w:rFonts w:ascii="宋体" w:eastAsia="宋体" w:hAnsi="宋体" w:cs="宋体"/>
          <w:kern w:val="0"/>
        </w:rPr>
        <w:lastRenderedPageBreak/>
        <w:t>令第5号)的要求进行管理。</w:t>
      </w:r>
    </w:p>
    <w:p w14:paraId="18C860A1" w14:textId="77777777" w:rsidR="005A1A44" w:rsidRDefault="0008059E">
      <w:pPr>
        <w:ind w:firstLine="480"/>
      </w:pPr>
      <w:r>
        <w:rPr>
          <w:rFonts w:hint="eastAsia"/>
        </w:rPr>
        <w:t>（</w:t>
      </w:r>
      <w:r>
        <w:rPr>
          <w:rFonts w:hint="eastAsia"/>
        </w:rPr>
        <w:t>6</w:t>
      </w:r>
      <w:r>
        <w:rPr>
          <w:rFonts w:hint="eastAsia"/>
        </w:rPr>
        <w:t>）底泥</w:t>
      </w:r>
    </w:p>
    <w:p w14:paraId="5A2FB6F6" w14:textId="77777777" w:rsidR="005A1A44" w:rsidRDefault="0008059E">
      <w:pPr>
        <w:ind w:firstLine="480"/>
      </w:pPr>
      <w:r>
        <w:t>用于</w:t>
      </w:r>
      <w:r>
        <w:rPr>
          <w:rFonts w:hint="eastAsia"/>
        </w:rPr>
        <w:t>临时</w:t>
      </w:r>
      <w:r>
        <w:t>堆放</w:t>
      </w:r>
      <w:r>
        <w:rPr>
          <w:rFonts w:hint="eastAsia"/>
        </w:rPr>
        <w:t>和堤身填筑用</w:t>
      </w:r>
      <w:r>
        <w:t>。</w:t>
      </w:r>
    </w:p>
    <w:p w14:paraId="738AD73A" w14:textId="77777777" w:rsidR="005A1A44" w:rsidRDefault="0008059E">
      <w:pPr>
        <w:ind w:firstLine="480"/>
      </w:pPr>
      <w:r>
        <w:rPr>
          <w:rFonts w:hint="eastAsia"/>
        </w:rPr>
        <w:t>（</w:t>
      </w:r>
      <w:r>
        <w:rPr>
          <w:rFonts w:hint="eastAsia"/>
        </w:rPr>
        <w:t>5</w:t>
      </w:r>
      <w:r>
        <w:rPr>
          <w:rFonts w:hint="eastAsia"/>
        </w:rPr>
        <w:t>）污水处理污泥</w:t>
      </w:r>
    </w:p>
    <w:p w14:paraId="306FC06F" w14:textId="77777777" w:rsidR="005A1A44" w:rsidRDefault="0008059E">
      <w:pPr>
        <w:ind w:firstLine="480"/>
      </w:pPr>
      <w:r>
        <w:t>混凝土拌合系统污泥产生量约</w:t>
      </w:r>
      <w:r>
        <w:rPr>
          <w:rFonts w:hint="eastAsia"/>
        </w:rPr>
        <w:t>40.0</w:t>
      </w:r>
      <w:r>
        <w:t>t</w:t>
      </w:r>
      <w:r>
        <w:rPr>
          <w:rFonts w:hint="eastAsia"/>
        </w:rPr>
        <w:t>/a</w:t>
      </w:r>
      <w:r>
        <w:rPr>
          <w:rFonts w:hint="eastAsia"/>
        </w:rPr>
        <w:t>，</w:t>
      </w:r>
      <w:r>
        <w:t>机械冲洗系统污泥产生量约</w:t>
      </w:r>
      <w:r>
        <w:rPr>
          <w:rFonts w:hint="eastAsia"/>
        </w:rPr>
        <w:t>5.37</w:t>
      </w:r>
      <w:r>
        <w:t>t</w:t>
      </w:r>
      <w:r>
        <w:rPr>
          <w:rFonts w:hint="eastAsia"/>
        </w:rPr>
        <w:t>，</w:t>
      </w:r>
      <w:r>
        <w:t>生活污水污泥产生量约</w:t>
      </w:r>
      <w:r>
        <w:rPr>
          <w:rFonts w:hint="eastAsia"/>
        </w:rPr>
        <w:t>1.54</w:t>
      </w:r>
      <w:r>
        <w:t>t</w:t>
      </w:r>
      <w:r>
        <w:rPr>
          <w:rFonts w:hint="eastAsia"/>
        </w:rPr>
        <w:t>/a</w:t>
      </w:r>
      <w:r>
        <w:rPr>
          <w:rFonts w:hint="eastAsia"/>
        </w:rPr>
        <w:t>。这部分污泥定期清理并运送至城市垃圾填埋场进行处理。</w:t>
      </w:r>
    </w:p>
    <w:p w14:paraId="4A363F9C" w14:textId="77777777" w:rsidR="005A1A44" w:rsidRDefault="0008059E">
      <w:pPr>
        <w:pStyle w:val="3"/>
        <w:numPr>
          <w:ilvl w:val="2"/>
          <w:numId w:val="2"/>
        </w:numPr>
      </w:pPr>
      <w:r>
        <w:rPr>
          <w:rFonts w:hint="eastAsia"/>
        </w:rPr>
        <w:t xml:space="preserve"> </w:t>
      </w:r>
      <w:r>
        <w:t>施工期生态环境保护措施</w:t>
      </w:r>
    </w:p>
    <w:p w14:paraId="1E3322FC" w14:textId="77777777" w:rsidR="005A1A44" w:rsidRDefault="0008059E">
      <w:pPr>
        <w:pStyle w:val="4"/>
        <w:numPr>
          <w:ilvl w:val="3"/>
          <w:numId w:val="2"/>
        </w:numPr>
      </w:pPr>
      <w:r>
        <w:rPr>
          <w:rFonts w:hint="eastAsia"/>
        </w:rPr>
        <w:t xml:space="preserve"> </w:t>
      </w:r>
      <w:r>
        <w:t>水土流失防治措施</w:t>
      </w:r>
    </w:p>
    <w:p w14:paraId="2AD1D2D3" w14:textId="77777777" w:rsidR="005A1A44" w:rsidRDefault="0008059E">
      <w:pPr>
        <w:numPr>
          <w:ilvl w:val="0"/>
          <w:numId w:val="15"/>
        </w:numPr>
        <w:ind w:firstLine="480"/>
        <w:rPr>
          <w:rFonts w:ascii="宋体" w:eastAsia="宋体" w:hAnsi="宋体" w:cs="宋体" w:hint="eastAsia"/>
          <w:kern w:val="0"/>
        </w:rPr>
      </w:pPr>
      <w:r>
        <w:rPr>
          <w:rFonts w:ascii="宋体" w:eastAsia="宋体" w:hAnsi="宋体" w:cs="宋体"/>
          <w:kern w:val="0"/>
        </w:rPr>
        <w:t>对施工区域进行生态修复措施</w:t>
      </w:r>
      <w:r>
        <w:rPr>
          <w:rFonts w:ascii="宋体" w:eastAsia="宋体" w:hAnsi="宋体" w:cs="宋体" w:hint="eastAsia"/>
          <w:kern w:val="0"/>
        </w:rPr>
        <w:t>，</w:t>
      </w:r>
      <w:r>
        <w:rPr>
          <w:rFonts w:ascii="宋体" w:eastAsia="宋体" w:hAnsi="宋体" w:cs="宋体"/>
          <w:kern w:val="0"/>
        </w:rPr>
        <w:t>杜绝土地荒置导致的水土流失和土壤养</w:t>
      </w:r>
      <w:r>
        <w:rPr>
          <w:rFonts w:ascii="宋体" w:eastAsia="宋体" w:hAnsi="宋体" w:cs="宋体" w:hint="eastAsia"/>
          <w:kern w:val="0"/>
        </w:rPr>
        <w:t>分</w:t>
      </w:r>
      <w:r>
        <w:rPr>
          <w:rFonts w:ascii="宋体" w:eastAsia="宋体" w:hAnsi="宋体" w:cs="宋体"/>
          <w:kern w:val="0"/>
        </w:rPr>
        <w:t>流失。</w:t>
      </w:r>
    </w:p>
    <w:p w14:paraId="4E91A1BF" w14:textId="77777777" w:rsidR="005A1A44" w:rsidRDefault="0008059E">
      <w:pPr>
        <w:numPr>
          <w:ilvl w:val="0"/>
          <w:numId w:val="15"/>
        </w:numPr>
        <w:ind w:firstLine="480"/>
      </w:pPr>
      <w:r>
        <w:rPr>
          <w:rFonts w:ascii="宋体" w:eastAsia="宋体" w:hAnsi="宋体" w:cs="宋体"/>
          <w:kern w:val="0"/>
        </w:rPr>
        <w:t>合理安排施工季节和作业时间</w:t>
      </w:r>
      <w:r>
        <w:rPr>
          <w:rFonts w:ascii="宋体" w:eastAsia="宋体" w:hAnsi="宋体" w:cs="宋体" w:hint="eastAsia"/>
          <w:kern w:val="0"/>
        </w:rPr>
        <w:t>，</w:t>
      </w:r>
      <w:r>
        <w:rPr>
          <w:rFonts w:ascii="宋体" w:eastAsia="宋体" w:hAnsi="宋体" w:cs="宋体"/>
          <w:kern w:val="0"/>
        </w:rPr>
        <w:t>避免在大雨天气取</w:t>
      </w:r>
      <w:r>
        <w:rPr>
          <w:rFonts w:ascii="宋体" w:eastAsia="宋体" w:hAnsi="宋体" w:cs="宋体" w:hint="eastAsia"/>
          <w:kern w:val="0"/>
        </w:rPr>
        <w:t>土挖</w:t>
      </w:r>
      <w:r>
        <w:rPr>
          <w:rFonts w:ascii="宋体" w:eastAsia="宋体" w:hAnsi="宋体" w:cs="宋体"/>
          <w:kern w:val="0"/>
        </w:rPr>
        <w:t>方</w:t>
      </w:r>
      <w:r>
        <w:rPr>
          <w:rFonts w:ascii="宋体" w:eastAsia="宋体" w:hAnsi="宋体" w:cs="宋体" w:hint="eastAsia"/>
          <w:kern w:val="0"/>
        </w:rPr>
        <w:t>，</w:t>
      </w:r>
      <w:r>
        <w:rPr>
          <w:rFonts w:ascii="宋体" w:eastAsia="宋体" w:hAnsi="宋体" w:cs="宋体"/>
          <w:kern w:val="0"/>
        </w:rPr>
        <w:t>减少水土流入</w:t>
      </w:r>
      <w:r>
        <w:rPr>
          <w:rFonts w:ascii="宋体" w:eastAsia="宋体" w:hAnsi="宋体" w:cs="宋体" w:hint="eastAsia"/>
          <w:kern w:val="0"/>
        </w:rPr>
        <w:t>。</w:t>
      </w:r>
    </w:p>
    <w:p w14:paraId="43F705F6" w14:textId="77777777" w:rsidR="005A1A44" w:rsidRDefault="0008059E">
      <w:pPr>
        <w:numPr>
          <w:ilvl w:val="0"/>
          <w:numId w:val="15"/>
        </w:numPr>
        <w:ind w:firstLine="480"/>
      </w:pPr>
      <w:r>
        <w:rPr>
          <w:rFonts w:ascii="宋体" w:eastAsia="宋体" w:hAnsi="宋体" w:cs="宋体"/>
          <w:kern w:val="0"/>
        </w:rPr>
        <w:t>施工场地及挖方断面应备有一定数量的成品防护物</w:t>
      </w:r>
      <w:r>
        <w:rPr>
          <w:rFonts w:ascii="宋体" w:eastAsia="宋体" w:hAnsi="宋体" w:cs="宋体" w:hint="eastAsia"/>
          <w:kern w:val="0"/>
        </w:rPr>
        <w:t>，</w:t>
      </w:r>
      <w:r>
        <w:rPr>
          <w:rFonts w:ascii="宋体" w:eastAsia="宋体" w:hAnsi="宋体" w:cs="宋体"/>
          <w:kern w:val="0"/>
        </w:rPr>
        <w:t>如塑料薄膜、</w:t>
      </w:r>
      <w:r>
        <w:rPr>
          <w:rFonts w:ascii="宋体" w:eastAsia="宋体" w:hAnsi="宋体" w:cs="宋体" w:hint="eastAsia"/>
          <w:kern w:val="0"/>
        </w:rPr>
        <w:t>草</w:t>
      </w:r>
      <w:r>
        <w:rPr>
          <w:rFonts w:ascii="宋体" w:eastAsia="宋体" w:hAnsi="宋体" w:cs="宋体"/>
          <w:kern w:val="0"/>
        </w:rPr>
        <w:t>席覆盖地表</w:t>
      </w:r>
      <w:r>
        <w:rPr>
          <w:rFonts w:ascii="宋体" w:eastAsia="宋体" w:hAnsi="宋体" w:cs="宋体" w:hint="eastAsia"/>
          <w:kern w:val="0"/>
        </w:rPr>
        <w:t>，</w:t>
      </w:r>
      <w:r>
        <w:rPr>
          <w:rFonts w:ascii="宋体" w:eastAsia="宋体" w:hAnsi="宋体" w:cs="宋体"/>
          <w:kern w:val="0"/>
        </w:rPr>
        <w:t>防止水土流失。</w:t>
      </w:r>
    </w:p>
    <w:p w14:paraId="76AC8595" w14:textId="77777777" w:rsidR="005A1A44" w:rsidRDefault="0008059E">
      <w:pPr>
        <w:numPr>
          <w:ilvl w:val="0"/>
          <w:numId w:val="15"/>
        </w:numPr>
        <w:ind w:firstLine="480"/>
      </w:pPr>
      <w:r>
        <w:rPr>
          <w:rFonts w:ascii="宋体" w:eastAsia="宋体" w:hAnsi="宋体" w:cs="宋体"/>
          <w:kern w:val="0"/>
        </w:rPr>
        <w:t>根据建设部门的规定</w:t>
      </w:r>
      <w:r>
        <w:rPr>
          <w:rFonts w:ascii="宋体" w:eastAsia="宋体" w:hAnsi="宋体" w:cs="宋体" w:hint="eastAsia"/>
          <w:kern w:val="0"/>
        </w:rPr>
        <w:t>，</w:t>
      </w:r>
      <w:r>
        <w:rPr>
          <w:rFonts w:ascii="宋体" w:eastAsia="宋体" w:hAnsi="宋体" w:cs="宋体"/>
          <w:kern w:val="0"/>
        </w:rPr>
        <w:t>要求进出施工场地的运输道路必须进行硬化</w:t>
      </w:r>
      <w:r>
        <w:rPr>
          <w:rFonts w:ascii="宋体" w:eastAsia="宋体" w:hAnsi="宋体" w:cs="宋体" w:hint="eastAsia"/>
          <w:kern w:val="0"/>
        </w:rPr>
        <w:t>，</w:t>
      </w:r>
      <w:r>
        <w:rPr>
          <w:rFonts w:ascii="宋体" w:eastAsia="宋体" w:hAnsi="宋体" w:cs="宋体"/>
          <w:kern w:val="0"/>
        </w:rPr>
        <w:t>且在出入口处挖设浅沟</w:t>
      </w:r>
      <w:r>
        <w:rPr>
          <w:rFonts w:ascii="宋体" w:eastAsia="宋体" w:hAnsi="宋体" w:cs="宋体" w:hint="eastAsia"/>
          <w:kern w:val="0"/>
        </w:rPr>
        <w:t>，</w:t>
      </w:r>
      <w:r>
        <w:rPr>
          <w:rFonts w:ascii="宋体" w:eastAsia="宋体" w:hAnsi="宋体" w:cs="宋体"/>
          <w:kern w:val="0"/>
        </w:rPr>
        <w:t>对来往的车辆车轮进行冲洗</w:t>
      </w:r>
      <w:r>
        <w:rPr>
          <w:rFonts w:ascii="宋体" w:eastAsia="宋体" w:hAnsi="宋体" w:cs="宋体" w:hint="eastAsia"/>
          <w:kern w:val="0"/>
        </w:rPr>
        <w:t>，</w:t>
      </w:r>
      <w:r>
        <w:rPr>
          <w:rFonts w:ascii="宋体" w:eastAsia="宋体" w:hAnsi="宋体" w:cs="宋体"/>
          <w:kern w:val="0"/>
        </w:rPr>
        <w:t>避免将施工场地内的泥沙带出</w:t>
      </w:r>
      <w:r>
        <w:rPr>
          <w:rFonts w:ascii="宋体" w:eastAsia="宋体" w:hAnsi="宋体" w:cs="宋体"/>
          <w:kern w:val="0"/>
        </w:rPr>
        <w:br/>
        <w:t>场外。</w:t>
      </w:r>
    </w:p>
    <w:p w14:paraId="538D8F74" w14:textId="77777777" w:rsidR="005A1A44" w:rsidRDefault="0008059E">
      <w:pPr>
        <w:numPr>
          <w:ilvl w:val="0"/>
          <w:numId w:val="15"/>
        </w:numPr>
        <w:ind w:firstLine="480"/>
      </w:pPr>
      <w:r>
        <w:rPr>
          <w:rFonts w:ascii="宋体" w:eastAsia="宋体" w:hAnsi="宋体" w:cs="宋体"/>
          <w:kern w:val="0"/>
        </w:rPr>
        <w:t>施工完毕后片</w:t>
      </w:r>
      <w:r>
        <w:rPr>
          <w:rFonts w:ascii="宋体" w:eastAsia="宋体" w:hAnsi="宋体" w:cs="宋体" w:hint="eastAsia"/>
          <w:kern w:val="0"/>
        </w:rPr>
        <w:t>，对</w:t>
      </w:r>
      <w:r>
        <w:rPr>
          <w:rFonts w:ascii="宋体" w:eastAsia="宋体" w:hAnsi="宋体" w:cs="宋体"/>
          <w:kern w:val="0"/>
        </w:rPr>
        <w:t>区内</w:t>
      </w:r>
      <w:r>
        <w:rPr>
          <w:rFonts w:ascii="宋体" w:eastAsia="宋体" w:hAnsi="宋体" w:cs="宋体" w:hint="eastAsia"/>
          <w:kern w:val="0"/>
        </w:rPr>
        <w:t>原草地区域</w:t>
      </w:r>
      <w:r>
        <w:rPr>
          <w:rFonts w:ascii="宋体" w:eastAsia="宋体" w:hAnsi="宋体" w:cs="宋体"/>
          <w:kern w:val="0"/>
        </w:rPr>
        <w:t>及时进行全面绿化</w:t>
      </w:r>
      <w:r>
        <w:rPr>
          <w:rFonts w:ascii="宋体" w:eastAsia="宋体" w:hAnsi="宋体" w:cs="宋体" w:hint="eastAsia"/>
          <w:kern w:val="0"/>
        </w:rPr>
        <w:t>，</w:t>
      </w:r>
      <w:r>
        <w:rPr>
          <w:rFonts w:ascii="宋体" w:eastAsia="宋体" w:hAnsi="宋体" w:cs="宋体"/>
          <w:kern w:val="0"/>
        </w:rPr>
        <w:t>保持水土。</w:t>
      </w:r>
    </w:p>
    <w:p w14:paraId="78C52563" w14:textId="257D95A4" w:rsidR="005A1A44" w:rsidRDefault="0008059E">
      <w:pPr>
        <w:ind w:firstLine="480"/>
        <w:rPr>
          <w:rFonts w:ascii="宋体" w:eastAsia="宋体" w:hAnsi="宋体" w:cs="宋体" w:hint="eastAsia"/>
          <w:kern w:val="0"/>
        </w:rPr>
      </w:pPr>
      <w:r>
        <w:rPr>
          <w:rFonts w:ascii="宋体" w:eastAsia="宋体" w:hAnsi="宋体" w:cs="宋体"/>
          <w:kern w:val="0"/>
        </w:rPr>
        <w:t>通过采取以上措施,施工期的</w:t>
      </w:r>
      <w:r w:rsidR="00DE1D35">
        <w:rPr>
          <w:rFonts w:ascii="宋体" w:eastAsia="宋体" w:hAnsi="宋体" w:cs="宋体"/>
          <w:kern w:val="0"/>
        </w:rPr>
        <w:t>水土流失</w:t>
      </w:r>
      <w:r>
        <w:rPr>
          <w:rFonts w:ascii="宋体" w:eastAsia="宋体" w:hAnsi="宋体" w:cs="宋体"/>
          <w:kern w:val="0"/>
        </w:rPr>
        <w:t>影响将大大减小</w:t>
      </w:r>
      <w:r>
        <w:rPr>
          <w:rFonts w:ascii="宋体" w:eastAsia="宋体" w:hAnsi="宋体" w:cs="宋体" w:hint="eastAsia"/>
          <w:kern w:val="0"/>
        </w:rPr>
        <w:t>，</w:t>
      </w:r>
      <w:r>
        <w:rPr>
          <w:rFonts w:ascii="宋体" w:eastAsia="宋体" w:hAnsi="宋体" w:cs="宋体"/>
          <w:kern w:val="0"/>
        </w:rPr>
        <w:t>而目</w:t>
      </w:r>
      <w:r>
        <w:rPr>
          <w:rFonts w:ascii="宋体" w:eastAsia="宋体" w:hAnsi="宋体" w:cs="宋体" w:hint="eastAsia"/>
          <w:kern w:val="0"/>
        </w:rPr>
        <w:t>，</w:t>
      </w:r>
      <w:r>
        <w:rPr>
          <w:rFonts w:ascii="宋体" w:eastAsia="宋体" w:hAnsi="宋体" w:cs="宋体"/>
          <w:kern w:val="0"/>
        </w:rPr>
        <w:t>施工场的</w:t>
      </w:r>
      <w:r>
        <w:rPr>
          <w:rFonts w:ascii="宋体" w:eastAsia="宋体" w:hAnsi="宋体" w:cs="宋体" w:hint="eastAsia"/>
          <w:kern w:val="0"/>
        </w:rPr>
        <w:t>水</w:t>
      </w:r>
      <w:r>
        <w:rPr>
          <w:rFonts w:ascii="宋体" w:eastAsia="宋体" w:hAnsi="宋体" w:cs="宋体"/>
          <w:kern w:val="0"/>
        </w:rPr>
        <w:br/>
        <w:t>土流失大多发生在施工前期</w:t>
      </w:r>
      <w:r>
        <w:rPr>
          <w:rFonts w:ascii="宋体" w:eastAsia="宋体" w:hAnsi="宋体" w:cs="宋体" w:hint="eastAsia"/>
          <w:kern w:val="0"/>
        </w:rPr>
        <w:t>，</w:t>
      </w:r>
      <w:r>
        <w:rPr>
          <w:rFonts w:ascii="宋体" w:eastAsia="宋体" w:hAnsi="宋体" w:cs="宋体"/>
          <w:kern w:val="0"/>
        </w:rPr>
        <w:t>随着施工期的进展</w:t>
      </w:r>
      <w:r>
        <w:rPr>
          <w:rFonts w:ascii="宋体" w:eastAsia="宋体" w:hAnsi="宋体" w:cs="宋体" w:hint="eastAsia"/>
          <w:kern w:val="0"/>
        </w:rPr>
        <w:t>，</w:t>
      </w:r>
      <w:r w:rsidR="00DE1D35">
        <w:rPr>
          <w:rFonts w:ascii="宋体" w:eastAsia="宋体" w:hAnsi="宋体" w:cs="宋体"/>
          <w:kern w:val="0"/>
        </w:rPr>
        <w:t>水土流失</w:t>
      </w:r>
      <w:r>
        <w:rPr>
          <w:rFonts w:ascii="宋体" w:eastAsia="宋体" w:hAnsi="宋体" w:cs="宋体"/>
          <w:kern w:val="0"/>
        </w:rPr>
        <w:t>观象将大大减小</w:t>
      </w:r>
      <w:r>
        <w:rPr>
          <w:rFonts w:ascii="宋体" w:eastAsia="宋体" w:hAnsi="宋体" w:cs="宋体" w:hint="eastAsia"/>
          <w:kern w:val="0"/>
        </w:rPr>
        <w:t>，</w:t>
      </w:r>
      <w:r>
        <w:rPr>
          <w:rFonts w:ascii="宋体" w:eastAsia="宋体" w:hAnsi="宋体" w:cs="宋体"/>
          <w:kern w:val="0"/>
        </w:rPr>
        <w:t>其</w:t>
      </w:r>
      <w:r>
        <w:rPr>
          <w:rFonts w:ascii="宋体" w:eastAsia="宋体" w:hAnsi="宋体" w:cs="宋体"/>
          <w:kern w:val="0"/>
        </w:rPr>
        <w:br/>
        <w:t>影响也将逐渐减弱。</w:t>
      </w:r>
    </w:p>
    <w:p w14:paraId="3E383569" w14:textId="77777777" w:rsidR="005A1A44" w:rsidRDefault="0008059E">
      <w:pPr>
        <w:pStyle w:val="4"/>
        <w:numPr>
          <w:ilvl w:val="3"/>
          <w:numId w:val="2"/>
        </w:numPr>
      </w:pPr>
      <w:r>
        <w:rPr>
          <w:rFonts w:hint="eastAsia"/>
        </w:rPr>
        <w:t xml:space="preserve"> </w:t>
      </w:r>
      <w:r>
        <w:t>生态保护对策措施</w:t>
      </w:r>
    </w:p>
    <w:p w14:paraId="0D65CD19" w14:textId="77777777" w:rsidR="005A1A44" w:rsidRDefault="0008059E">
      <w:pPr>
        <w:ind w:firstLine="480"/>
      </w:pPr>
      <w:r>
        <w:rPr>
          <w:rFonts w:hint="eastAsia"/>
        </w:rPr>
        <w:t>（</w:t>
      </w:r>
      <w:r>
        <w:rPr>
          <w:rFonts w:hint="eastAsia"/>
        </w:rPr>
        <w:t>1</w:t>
      </w:r>
      <w:r>
        <w:rPr>
          <w:rFonts w:hint="eastAsia"/>
        </w:rPr>
        <w:t>）</w:t>
      </w:r>
      <w:r>
        <w:t>生态影响的避免</w:t>
      </w:r>
    </w:p>
    <w:p w14:paraId="1579E44B"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lastRenderedPageBreak/>
        <w:t>①</w:t>
      </w:r>
      <w:r>
        <w:rPr>
          <w:rFonts w:ascii="宋体" w:eastAsia="宋体" w:hAnsi="宋体" w:cs="宋体"/>
          <w:kern w:val="0"/>
        </w:rPr>
        <w:t>在施工</w:t>
      </w:r>
      <w:r>
        <w:rPr>
          <w:rFonts w:ascii="宋体" w:eastAsia="宋体" w:hAnsi="宋体" w:cs="宋体" w:hint="eastAsia"/>
          <w:kern w:val="0"/>
        </w:rPr>
        <w:t>生产</w:t>
      </w:r>
      <w:r>
        <w:rPr>
          <w:rFonts w:ascii="宋体" w:eastAsia="宋体" w:hAnsi="宋体" w:cs="宋体"/>
          <w:kern w:val="0"/>
        </w:rPr>
        <w:t>营地选址过程中</w:t>
      </w:r>
      <w:r>
        <w:rPr>
          <w:rFonts w:ascii="宋体" w:eastAsia="宋体" w:hAnsi="宋体" w:cs="宋体" w:hint="eastAsia"/>
          <w:kern w:val="0"/>
        </w:rPr>
        <w:t>，选择河滩地内的未利用盐碱地、戈壁石砾地的呢过，</w:t>
      </w:r>
      <w:r>
        <w:rPr>
          <w:rFonts w:ascii="宋体" w:eastAsia="宋体" w:hAnsi="宋体" w:cs="宋体"/>
          <w:kern w:val="0"/>
        </w:rPr>
        <w:t>避免</w:t>
      </w:r>
      <w:r>
        <w:rPr>
          <w:rFonts w:ascii="宋体" w:eastAsia="宋体" w:hAnsi="宋体" w:cs="宋体" w:hint="eastAsia"/>
          <w:kern w:val="0"/>
        </w:rPr>
        <w:t>占用</w:t>
      </w:r>
      <w:r>
        <w:rPr>
          <w:rFonts w:ascii="宋体" w:eastAsia="宋体" w:hAnsi="宋体" w:cs="宋体"/>
          <w:kern w:val="0"/>
        </w:rPr>
        <w:t>面积草地</w:t>
      </w:r>
      <w:r>
        <w:rPr>
          <w:rFonts w:ascii="宋体" w:eastAsia="宋体" w:hAnsi="宋体" w:cs="宋体" w:hint="eastAsia"/>
          <w:kern w:val="0"/>
        </w:rPr>
        <w:t>，且施工场地布置尽量位于河道中心，避免布设在施工边界，控制数量和占地面积，</w:t>
      </w:r>
      <w:r>
        <w:rPr>
          <w:rFonts w:ascii="宋体" w:eastAsia="宋体" w:hAnsi="宋体" w:cs="宋体"/>
          <w:kern w:val="0"/>
        </w:rPr>
        <w:t>施工过程中要缩小作业面面积</w:t>
      </w:r>
      <w:r>
        <w:rPr>
          <w:rFonts w:ascii="宋体" w:eastAsia="宋体" w:hAnsi="宋体" w:cs="宋体" w:hint="eastAsia"/>
          <w:kern w:val="0"/>
        </w:rPr>
        <w:t>，</w:t>
      </w:r>
      <w:r>
        <w:rPr>
          <w:rFonts w:ascii="宋体" w:eastAsia="宋体" w:hAnsi="宋体" w:cs="宋体"/>
          <w:kern w:val="0"/>
        </w:rPr>
        <w:t>减少对草地的碾压</w:t>
      </w:r>
      <w:r>
        <w:rPr>
          <w:rFonts w:ascii="宋体" w:eastAsia="宋体" w:hAnsi="宋体" w:cs="宋体" w:hint="eastAsia"/>
          <w:kern w:val="0"/>
        </w:rPr>
        <w:t>。</w:t>
      </w:r>
    </w:p>
    <w:p w14:paraId="0037CB2B"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②</w:t>
      </w:r>
      <w:r>
        <w:rPr>
          <w:rFonts w:ascii="宋体" w:eastAsia="宋体" w:hAnsi="宋体" w:cs="宋体"/>
          <w:kern w:val="0"/>
        </w:rPr>
        <w:t>应尽可能避免对工程区域内</w:t>
      </w:r>
      <w:r>
        <w:rPr>
          <w:rFonts w:ascii="宋体" w:eastAsia="宋体" w:hAnsi="宋体" w:cs="宋体" w:hint="eastAsia"/>
          <w:kern w:val="0"/>
        </w:rPr>
        <w:t>植被</w:t>
      </w:r>
      <w:r>
        <w:rPr>
          <w:rFonts w:ascii="宋体" w:eastAsia="宋体" w:hAnsi="宋体" w:cs="宋体"/>
          <w:kern w:val="0"/>
        </w:rPr>
        <w:t>的破坏</w:t>
      </w:r>
      <w:r>
        <w:rPr>
          <w:rFonts w:ascii="宋体" w:eastAsia="宋体" w:hAnsi="宋体" w:cs="宋体" w:hint="eastAsia"/>
          <w:kern w:val="0"/>
        </w:rPr>
        <w:t>，</w:t>
      </w:r>
      <w:r>
        <w:rPr>
          <w:rFonts w:ascii="宋体" w:eastAsia="宋体" w:hAnsi="宋体" w:cs="宋体"/>
          <w:kern w:val="0"/>
        </w:rPr>
        <w:t>若占地必须破坏</w:t>
      </w:r>
      <w:r>
        <w:rPr>
          <w:rFonts w:ascii="宋体" w:eastAsia="宋体" w:hAnsi="宋体" w:cs="宋体" w:hint="eastAsia"/>
          <w:kern w:val="0"/>
        </w:rPr>
        <w:t>，</w:t>
      </w:r>
      <w:r>
        <w:rPr>
          <w:rFonts w:ascii="宋体" w:eastAsia="宋体" w:hAnsi="宋体" w:cs="宋体"/>
          <w:kern w:val="0"/>
        </w:rPr>
        <w:t>则需移栽</w:t>
      </w:r>
      <w:r>
        <w:rPr>
          <w:rFonts w:ascii="宋体" w:eastAsia="宋体" w:hAnsi="宋体" w:cs="宋体" w:hint="eastAsia"/>
          <w:kern w:val="0"/>
        </w:rPr>
        <w:t>，</w:t>
      </w:r>
      <w:r>
        <w:rPr>
          <w:rFonts w:ascii="宋体" w:eastAsia="宋体" w:hAnsi="宋体" w:cs="宋体"/>
          <w:kern w:val="0"/>
        </w:rPr>
        <w:t>以减缓对保护植物的影响。</w:t>
      </w:r>
    </w:p>
    <w:p w14:paraId="7779F3C1" w14:textId="77777777" w:rsidR="005A1A44" w:rsidRDefault="0008059E">
      <w:pPr>
        <w:numPr>
          <w:ilvl w:val="0"/>
          <w:numId w:val="16"/>
        </w:numPr>
        <w:ind w:firstLine="480"/>
        <w:rPr>
          <w:rFonts w:ascii="宋体" w:eastAsia="宋体" w:hAnsi="宋体" w:cs="宋体" w:hint="eastAsia"/>
          <w:kern w:val="0"/>
        </w:rPr>
      </w:pPr>
      <w:r>
        <w:rPr>
          <w:rFonts w:ascii="宋体" w:eastAsia="宋体" w:hAnsi="宋体" w:cs="宋体"/>
          <w:kern w:val="0"/>
        </w:rPr>
        <w:t>生态影响的恢复</w:t>
      </w:r>
    </w:p>
    <w:p w14:paraId="1C8929BB"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①在堤防建设、景观建设过程中</w:t>
      </w:r>
      <w:r>
        <w:rPr>
          <w:rFonts w:ascii="宋体" w:eastAsia="宋体" w:hAnsi="宋体" w:cs="宋体"/>
          <w:kern w:val="0"/>
        </w:rPr>
        <w:t>保留表层土壤</w:t>
      </w:r>
      <w:r>
        <w:rPr>
          <w:rFonts w:ascii="宋体" w:eastAsia="宋体" w:hAnsi="宋体" w:cs="宋体" w:hint="eastAsia"/>
          <w:kern w:val="0"/>
        </w:rPr>
        <w:t>，</w:t>
      </w:r>
      <w:r>
        <w:rPr>
          <w:rFonts w:ascii="宋体" w:eastAsia="宋体" w:hAnsi="宋体" w:cs="宋体"/>
          <w:kern w:val="0"/>
        </w:rPr>
        <w:t>并用于施工后的表层复土</w:t>
      </w:r>
      <w:r>
        <w:rPr>
          <w:rFonts w:ascii="宋体" w:eastAsia="宋体" w:hAnsi="宋体" w:cs="宋体" w:hint="eastAsia"/>
          <w:kern w:val="0"/>
        </w:rPr>
        <w:t>，</w:t>
      </w:r>
      <w:r>
        <w:rPr>
          <w:rFonts w:ascii="宋体" w:eastAsia="宋体" w:hAnsi="宋体" w:cs="宋体"/>
          <w:kern w:val="0"/>
        </w:rPr>
        <w:t>尽可能做到当年开挖当年回填</w:t>
      </w:r>
      <w:r>
        <w:rPr>
          <w:rFonts w:ascii="宋体" w:eastAsia="宋体" w:hAnsi="宋体" w:cs="宋体" w:hint="eastAsia"/>
          <w:kern w:val="0"/>
        </w:rPr>
        <w:t>，</w:t>
      </w:r>
      <w:r>
        <w:rPr>
          <w:rFonts w:ascii="宋体" w:eastAsia="宋体" w:hAnsi="宋体" w:cs="宋体"/>
          <w:kern w:val="0"/>
        </w:rPr>
        <w:t>尽早恢复植被和沿线的景观</w:t>
      </w:r>
      <w:r>
        <w:rPr>
          <w:rFonts w:ascii="宋体" w:eastAsia="宋体" w:hAnsi="宋体" w:cs="宋体" w:hint="eastAsia"/>
          <w:kern w:val="0"/>
        </w:rPr>
        <w:t>，</w:t>
      </w:r>
      <w:r>
        <w:rPr>
          <w:rFonts w:ascii="宋体" w:eastAsia="宋体" w:hAnsi="宋体" w:cs="宋体"/>
          <w:kern w:val="0"/>
        </w:rPr>
        <w:t>从而控制水土流失。</w:t>
      </w:r>
    </w:p>
    <w:p w14:paraId="55129B1D"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②</w:t>
      </w:r>
      <w:r>
        <w:rPr>
          <w:rFonts w:ascii="宋体" w:eastAsia="宋体" w:hAnsi="宋体" w:cs="宋体"/>
          <w:kern w:val="0"/>
        </w:rPr>
        <w:t>临时占地区域实施表土剥离</w:t>
      </w:r>
      <w:r>
        <w:rPr>
          <w:rFonts w:ascii="宋体" w:eastAsia="宋体" w:hAnsi="宋体" w:cs="宋体" w:hint="eastAsia"/>
          <w:kern w:val="0"/>
        </w:rPr>
        <w:t>，</w:t>
      </w:r>
      <w:r>
        <w:rPr>
          <w:rFonts w:ascii="宋体" w:eastAsia="宋体" w:hAnsi="宋体" w:cs="宋体"/>
          <w:kern w:val="0"/>
        </w:rPr>
        <w:t>施工结束后全部回填于开挖区域表层。</w:t>
      </w:r>
    </w:p>
    <w:p w14:paraId="45D57982"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③</w:t>
      </w:r>
      <w:r>
        <w:rPr>
          <w:rFonts w:ascii="宋体" w:eastAsia="宋体" w:hAnsi="宋体" w:cs="宋体"/>
          <w:kern w:val="0"/>
        </w:rPr>
        <w:t>为减少施工队伍对植被和土壤的影响</w:t>
      </w:r>
      <w:r>
        <w:rPr>
          <w:rFonts w:ascii="宋体" w:eastAsia="宋体" w:hAnsi="宋体" w:cs="宋体" w:hint="eastAsia"/>
          <w:kern w:val="0"/>
        </w:rPr>
        <w:t>，</w:t>
      </w:r>
      <w:r>
        <w:rPr>
          <w:rFonts w:ascii="宋体" w:eastAsia="宋体" w:hAnsi="宋体" w:cs="宋体"/>
          <w:kern w:val="0"/>
        </w:rPr>
        <w:t>要标明施工活动区</w:t>
      </w:r>
      <w:r>
        <w:rPr>
          <w:rFonts w:ascii="宋体" w:eastAsia="宋体" w:hAnsi="宋体" w:cs="宋体" w:hint="eastAsia"/>
          <w:kern w:val="0"/>
        </w:rPr>
        <w:t>，</w:t>
      </w:r>
      <w:r>
        <w:rPr>
          <w:rFonts w:ascii="宋体" w:eastAsia="宋体" w:hAnsi="宋体" w:cs="宋体"/>
          <w:kern w:val="0"/>
        </w:rPr>
        <w:t>严令禁止到非施工区域活动</w:t>
      </w:r>
      <w:r>
        <w:rPr>
          <w:rFonts w:ascii="宋体" w:eastAsia="宋体" w:hAnsi="宋体" w:cs="宋体" w:hint="eastAsia"/>
          <w:kern w:val="0"/>
        </w:rPr>
        <w:t>，</w:t>
      </w:r>
      <w:r>
        <w:rPr>
          <w:rFonts w:ascii="宋体" w:eastAsia="宋体" w:hAnsi="宋体" w:cs="宋体"/>
          <w:kern w:val="0"/>
        </w:rPr>
        <w:t>非施工区严禁烟火</w:t>
      </w:r>
      <w:r>
        <w:rPr>
          <w:rFonts w:ascii="宋体" w:eastAsia="宋体" w:hAnsi="宋体" w:cs="宋体" w:hint="eastAsia"/>
          <w:kern w:val="0"/>
        </w:rPr>
        <w:t>，</w:t>
      </w:r>
      <w:r>
        <w:rPr>
          <w:rFonts w:ascii="宋体" w:eastAsia="宋体" w:hAnsi="宋体" w:cs="宋体"/>
          <w:kern w:val="0"/>
        </w:rPr>
        <w:t>狩猎</w:t>
      </w:r>
      <w:r>
        <w:rPr>
          <w:rFonts w:ascii="宋体" w:eastAsia="宋体" w:hAnsi="宋体" w:cs="宋体" w:hint="eastAsia"/>
          <w:kern w:val="0"/>
        </w:rPr>
        <w:t>。</w:t>
      </w:r>
    </w:p>
    <w:p w14:paraId="29A33F21" w14:textId="77777777" w:rsidR="005A1A44" w:rsidRDefault="0008059E">
      <w:pPr>
        <w:ind w:firstLine="480"/>
      </w:pPr>
      <w:r>
        <w:rPr>
          <w:rFonts w:hint="eastAsia"/>
        </w:rPr>
        <w:t>④</w:t>
      </w:r>
      <w:r>
        <w:t>为消减施工造成的水土流失进入水体</w:t>
      </w:r>
      <w:r>
        <w:rPr>
          <w:rFonts w:hint="eastAsia"/>
        </w:rPr>
        <w:t>，</w:t>
      </w:r>
      <w:r>
        <w:t>要对施工机械</w:t>
      </w:r>
      <w:r>
        <w:rPr>
          <w:rFonts w:hint="eastAsia"/>
        </w:rPr>
        <w:t>、</w:t>
      </w:r>
      <w:r>
        <w:t>运行方式和施工</w:t>
      </w:r>
      <w:r>
        <w:rPr>
          <w:rFonts w:hint="eastAsia"/>
        </w:rPr>
        <w:t>季节</w:t>
      </w:r>
      <w:r>
        <w:t>等进行严格设计</w:t>
      </w:r>
      <w:r>
        <w:rPr>
          <w:rFonts w:hint="eastAsia"/>
        </w:rPr>
        <w:t>，</w:t>
      </w:r>
      <w:r>
        <w:t>如在水土流失可能发生地区要注意非暴雨季节施工和保证施工场地排水的畅通。</w:t>
      </w:r>
    </w:p>
    <w:p w14:paraId="76B992BA" w14:textId="77777777" w:rsidR="005A1A44" w:rsidRDefault="0008059E">
      <w:pPr>
        <w:ind w:firstLine="480"/>
        <w:rPr>
          <w:rFonts w:ascii="宋体" w:eastAsia="宋体" w:hAnsi="宋体" w:cs="宋体" w:hint="eastAsia"/>
          <w:kern w:val="0"/>
        </w:rPr>
      </w:pPr>
      <w:r>
        <w:rPr>
          <w:rFonts w:ascii="宋体" w:eastAsia="宋体" w:hAnsi="宋体" w:cs="宋体" w:hint="eastAsia"/>
          <w:kern w:val="0"/>
        </w:rPr>
        <w:t>⑤</w:t>
      </w:r>
      <w:r>
        <w:rPr>
          <w:rFonts w:ascii="宋体" w:eastAsia="宋体" w:hAnsi="宋体" w:cs="宋体"/>
          <w:kern w:val="0"/>
        </w:rPr>
        <w:t>施工临时占地应及时进行植被恢复</w:t>
      </w:r>
      <w:r>
        <w:rPr>
          <w:rFonts w:ascii="宋体" w:eastAsia="宋体" w:hAnsi="宋体" w:cs="宋体" w:hint="eastAsia"/>
          <w:kern w:val="0"/>
        </w:rPr>
        <w:t>。</w:t>
      </w:r>
    </w:p>
    <w:p w14:paraId="483EDD2F" w14:textId="77777777" w:rsidR="005A1A44" w:rsidRDefault="0008059E">
      <w:pPr>
        <w:numPr>
          <w:ilvl w:val="0"/>
          <w:numId w:val="16"/>
        </w:numPr>
        <w:ind w:firstLine="480"/>
      </w:pPr>
      <w:r>
        <w:rPr>
          <w:rFonts w:ascii="宋体" w:eastAsia="宋体" w:hAnsi="宋体" w:cs="宋体"/>
          <w:kern w:val="0"/>
        </w:rPr>
        <w:t>陆生植物保护</w:t>
      </w:r>
    </w:p>
    <w:p w14:paraId="2EB83868" w14:textId="77777777" w:rsidR="005A1A44" w:rsidRDefault="0008059E">
      <w:pPr>
        <w:ind w:firstLine="480"/>
        <w:rPr>
          <w:rFonts w:ascii="宋体" w:eastAsia="宋体" w:hAnsi="宋体" w:cs="宋体" w:hint="eastAsia"/>
          <w:kern w:val="0"/>
        </w:rPr>
      </w:pPr>
      <w:r>
        <w:rPr>
          <w:rFonts w:ascii="宋体" w:eastAsia="宋体" w:hAnsi="宋体" w:cs="宋体"/>
          <w:kern w:val="0"/>
        </w:rPr>
        <w:t>工程建设过程中不可避免对陆生植物产生一定的影响</w:t>
      </w:r>
      <w:r>
        <w:rPr>
          <w:rFonts w:ascii="宋体" w:eastAsia="宋体" w:hAnsi="宋体" w:cs="宋体" w:hint="eastAsia"/>
          <w:kern w:val="0"/>
        </w:rPr>
        <w:t>，</w:t>
      </w:r>
      <w:r>
        <w:rPr>
          <w:rFonts w:ascii="宋体" w:eastAsia="宋体" w:hAnsi="宋体" w:cs="宋体"/>
          <w:kern w:val="0"/>
        </w:rPr>
        <w:t>为减缓影响</w:t>
      </w:r>
      <w:r>
        <w:rPr>
          <w:rFonts w:ascii="宋体" w:eastAsia="宋体" w:hAnsi="宋体" w:cs="宋体" w:hint="eastAsia"/>
          <w:kern w:val="0"/>
        </w:rPr>
        <w:t>，</w:t>
      </w:r>
      <w:r>
        <w:rPr>
          <w:rFonts w:ascii="宋体" w:eastAsia="宋体" w:hAnsi="宋体" w:cs="宋体"/>
          <w:kern w:val="0"/>
        </w:rPr>
        <w:t>应</w:t>
      </w:r>
      <w:r>
        <w:rPr>
          <w:rFonts w:ascii="宋体" w:eastAsia="宋体" w:hAnsi="宋体" w:cs="宋体" w:hint="eastAsia"/>
          <w:kern w:val="0"/>
        </w:rPr>
        <w:t>明确</w:t>
      </w:r>
      <w:r>
        <w:rPr>
          <w:rFonts w:ascii="宋体" w:eastAsia="宋体" w:hAnsi="宋体" w:cs="宋体"/>
          <w:kern w:val="0"/>
        </w:rPr>
        <w:t>施工用地范围</w:t>
      </w:r>
      <w:r>
        <w:rPr>
          <w:rFonts w:ascii="宋体" w:eastAsia="宋体" w:hAnsi="宋体" w:cs="宋体" w:hint="eastAsia"/>
          <w:kern w:val="0"/>
        </w:rPr>
        <w:t>，</w:t>
      </w:r>
      <w:r>
        <w:rPr>
          <w:rFonts w:ascii="宋体" w:eastAsia="宋体" w:hAnsi="宋体" w:cs="宋体"/>
          <w:kern w:val="0"/>
        </w:rPr>
        <w:t>禁止施工人员</w:t>
      </w:r>
      <w:r>
        <w:rPr>
          <w:rFonts w:ascii="宋体" w:eastAsia="宋体" w:hAnsi="宋体" w:cs="宋体" w:hint="eastAsia"/>
          <w:kern w:val="0"/>
        </w:rPr>
        <w:t>、</w:t>
      </w:r>
      <w:r>
        <w:rPr>
          <w:rFonts w:ascii="宋体" w:eastAsia="宋体" w:hAnsi="宋体" w:cs="宋体"/>
          <w:kern w:val="0"/>
        </w:rPr>
        <w:t>车辆进入非施工占地区域</w:t>
      </w:r>
      <w:r>
        <w:rPr>
          <w:rFonts w:ascii="宋体" w:eastAsia="宋体" w:hAnsi="宋体" w:cs="宋体" w:hint="eastAsia"/>
          <w:kern w:val="0"/>
        </w:rPr>
        <w:t>。</w:t>
      </w:r>
      <w:r>
        <w:rPr>
          <w:rFonts w:ascii="宋体" w:eastAsia="宋体" w:hAnsi="宋体" w:cs="宋体"/>
          <w:kern w:val="0"/>
        </w:rPr>
        <w:t>施工结束后</w:t>
      </w:r>
      <w:r>
        <w:rPr>
          <w:rFonts w:ascii="宋体" w:eastAsia="宋体" w:hAnsi="宋体" w:cs="宋体" w:hint="eastAsia"/>
          <w:kern w:val="0"/>
        </w:rPr>
        <w:t>，</w:t>
      </w:r>
      <w:r>
        <w:rPr>
          <w:rFonts w:ascii="宋体" w:eastAsia="宋体" w:hAnsi="宋体" w:cs="宋体"/>
          <w:kern w:val="0"/>
        </w:rPr>
        <w:t>施</w:t>
      </w:r>
      <w:r>
        <w:rPr>
          <w:rFonts w:ascii="宋体" w:eastAsia="宋体" w:hAnsi="宋体" w:cs="宋体" w:hint="eastAsia"/>
          <w:kern w:val="0"/>
        </w:rPr>
        <w:t>工</w:t>
      </w:r>
      <w:r>
        <w:rPr>
          <w:rFonts w:ascii="宋体" w:eastAsia="宋体" w:hAnsi="宋体" w:cs="宋体"/>
          <w:kern w:val="0"/>
        </w:rPr>
        <w:t>临时生产、生活设施将予以拆除</w:t>
      </w:r>
      <w:r>
        <w:rPr>
          <w:rFonts w:ascii="宋体" w:eastAsia="宋体" w:hAnsi="宋体" w:cs="宋体" w:hint="eastAsia"/>
          <w:kern w:val="0"/>
        </w:rPr>
        <w:t>，</w:t>
      </w:r>
      <w:r>
        <w:rPr>
          <w:rFonts w:ascii="宋体" w:eastAsia="宋体" w:hAnsi="宋体" w:cs="宋体"/>
          <w:kern w:val="0"/>
        </w:rPr>
        <w:t>对施工迹地进行场地平整</w:t>
      </w:r>
      <w:r>
        <w:rPr>
          <w:rFonts w:ascii="宋体" w:eastAsia="宋体" w:hAnsi="宋体" w:cs="宋体" w:hint="eastAsia"/>
          <w:kern w:val="0"/>
        </w:rPr>
        <w:t>，</w:t>
      </w:r>
      <w:r>
        <w:rPr>
          <w:rFonts w:ascii="宋体" w:eastAsia="宋体" w:hAnsi="宋体" w:cs="宋体"/>
          <w:kern w:val="0"/>
        </w:rPr>
        <w:t>以利于天然状杰下植被的恢复</w:t>
      </w:r>
      <w:r>
        <w:rPr>
          <w:rFonts w:ascii="宋体" w:eastAsia="宋体" w:hAnsi="宋体" w:cs="宋体" w:hint="eastAsia"/>
          <w:kern w:val="0"/>
        </w:rPr>
        <w:t>。</w:t>
      </w:r>
      <w:r>
        <w:rPr>
          <w:rFonts w:ascii="宋体" w:eastAsia="宋体" w:hAnsi="宋体" w:cs="宋体"/>
          <w:kern w:val="0"/>
        </w:rPr>
        <w:t>施工结束后</w:t>
      </w:r>
      <w:r>
        <w:rPr>
          <w:rFonts w:ascii="宋体" w:eastAsia="宋体" w:hAnsi="宋体" w:cs="宋体" w:hint="eastAsia"/>
          <w:kern w:val="0"/>
        </w:rPr>
        <w:t>，</w:t>
      </w:r>
      <w:r>
        <w:rPr>
          <w:rFonts w:ascii="宋体" w:eastAsia="宋体" w:hAnsi="宋体" w:cs="宋体"/>
          <w:kern w:val="0"/>
        </w:rPr>
        <w:t>对永久</w:t>
      </w:r>
      <w:r>
        <w:rPr>
          <w:rFonts w:ascii="宋体" w:eastAsia="宋体" w:hAnsi="宋体" w:cs="宋体" w:hint="eastAsia"/>
          <w:kern w:val="0"/>
        </w:rPr>
        <w:t>占地</w:t>
      </w:r>
      <w:r>
        <w:rPr>
          <w:rFonts w:ascii="宋体" w:eastAsia="宋体" w:hAnsi="宋体" w:cs="宋体"/>
          <w:kern w:val="0"/>
        </w:rPr>
        <w:t>区、工程管理区进行绿化。尽可能避免础坏原工程区域内</w:t>
      </w:r>
      <w:r>
        <w:rPr>
          <w:rFonts w:ascii="宋体" w:eastAsia="宋体" w:hAnsi="宋体" w:cs="宋体" w:hint="eastAsia"/>
          <w:kern w:val="0"/>
        </w:rPr>
        <w:t>的树木植被，</w:t>
      </w:r>
      <w:r>
        <w:rPr>
          <w:rFonts w:ascii="宋体" w:eastAsia="宋体" w:hAnsi="宋体" w:cs="宋体"/>
          <w:kern w:val="0"/>
        </w:rPr>
        <w:t>若无法避开</w:t>
      </w:r>
      <w:r>
        <w:rPr>
          <w:rFonts w:ascii="宋体" w:eastAsia="宋体" w:hAnsi="宋体" w:cs="宋体" w:hint="eastAsia"/>
          <w:kern w:val="0"/>
        </w:rPr>
        <w:t>，</w:t>
      </w:r>
      <w:r>
        <w:rPr>
          <w:rFonts w:ascii="宋体" w:eastAsia="宋体" w:hAnsi="宋体" w:cs="宋体"/>
          <w:kern w:val="0"/>
        </w:rPr>
        <w:t>则需在工程区域附近进行移栽。</w:t>
      </w:r>
    </w:p>
    <w:p w14:paraId="6C58A992" w14:textId="77777777" w:rsidR="005A1A44" w:rsidRDefault="0008059E">
      <w:pPr>
        <w:numPr>
          <w:ilvl w:val="0"/>
          <w:numId w:val="16"/>
        </w:numPr>
        <w:ind w:firstLine="480"/>
        <w:rPr>
          <w:rFonts w:ascii="宋体" w:eastAsia="宋体" w:hAnsi="宋体" w:cs="宋体" w:hint="eastAsia"/>
          <w:kern w:val="0"/>
        </w:rPr>
      </w:pPr>
      <w:r>
        <w:rPr>
          <w:rFonts w:ascii="宋体" w:eastAsia="宋体" w:hAnsi="宋体" w:cs="宋体"/>
          <w:kern w:val="0"/>
        </w:rPr>
        <w:t>环境保护宣传</w:t>
      </w:r>
    </w:p>
    <w:p w14:paraId="206E444C" w14:textId="77777777" w:rsidR="005A1A44" w:rsidRDefault="0008059E">
      <w:pPr>
        <w:ind w:firstLine="480"/>
        <w:rPr>
          <w:rFonts w:ascii="宋体" w:eastAsia="宋体" w:hAnsi="宋体" w:cs="宋体" w:hint="eastAsia"/>
          <w:kern w:val="0"/>
        </w:rPr>
      </w:pPr>
      <w:r>
        <w:rPr>
          <w:rFonts w:ascii="宋体" w:eastAsia="宋体" w:hAnsi="宋体" w:cs="宋体"/>
          <w:kern w:val="0"/>
        </w:rPr>
        <w:t>对施工人员进行环境保护法律、法规的宣传和教育</w:t>
      </w:r>
      <w:r>
        <w:rPr>
          <w:rFonts w:ascii="宋体" w:eastAsia="宋体" w:hAnsi="宋体" w:cs="宋体" w:hint="eastAsia"/>
          <w:kern w:val="0"/>
        </w:rPr>
        <w:t>，</w:t>
      </w:r>
      <w:r>
        <w:rPr>
          <w:rFonts w:ascii="宋体" w:eastAsia="宋体" w:hAnsi="宋体" w:cs="宋体"/>
          <w:kern w:val="0"/>
        </w:rPr>
        <w:t>提高其环境保护意识</w:t>
      </w:r>
      <w:r>
        <w:rPr>
          <w:rFonts w:ascii="宋体" w:eastAsia="宋体" w:hAnsi="宋体" w:cs="宋体" w:hint="eastAsia"/>
          <w:kern w:val="0"/>
        </w:rPr>
        <w:t>。</w:t>
      </w:r>
      <w:r>
        <w:rPr>
          <w:rFonts w:ascii="宋体" w:eastAsia="宋体" w:hAnsi="宋体" w:cs="宋体"/>
          <w:kern w:val="0"/>
        </w:rPr>
        <w:t>在主要施工区显眼处设置宣传牌说明工区环保要求</w:t>
      </w:r>
      <w:r>
        <w:rPr>
          <w:rFonts w:ascii="宋体" w:eastAsia="宋体" w:hAnsi="宋体" w:cs="宋体" w:hint="eastAsia"/>
          <w:kern w:val="0"/>
        </w:rPr>
        <w:t>。</w:t>
      </w:r>
    </w:p>
    <w:p w14:paraId="413ECDA2" w14:textId="77777777" w:rsidR="005A1A44" w:rsidRDefault="0008059E">
      <w:pPr>
        <w:pStyle w:val="2"/>
        <w:numPr>
          <w:ilvl w:val="1"/>
          <w:numId w:val="2"/>
        </w:numPr>
      </w:pPr>
      <w:r>
        <w:rPr>
          <w:rFonts w:hint="eastAsia"/>
        </w:rPr>
        <w:lastRenderedPageBreak/>
        <w:t xml:space="preserve"> </w:t>
      </w:r>
      <w:bookmarkStart w:id="252" w:name="_Toc25177_WPSOffice_Level2"/>
      <w:bookmarkStart w:id="253" w:name="_Toc29438_WPSOffice_Level2"/>
      <w:r>
        <w:t>运营期环境保护措施</w:t>
      </w:r>
      <w:bookmarkEnd w:id="252"/>
      <w:bookmarkEnd w:id="253"/>
    </w:p>
    <w:p w14:paraId="21639845" w14:textId="77777777" w:rsidR="005A1A44" w:rsidRDefault="0008059E">
      <w:pPr>
        <w:pStyle w:val="3"/>
        <w:numPr>
          <w:ilvl w:val="2"/>
          <w:numId w:val="2"/>
        </w:numPr>
      </w:pPr>
      <w:r>
        <w:rPr>
          <w:rFonts w:hint="eastAsia"/>
        </w:rPr>
        <w:t xml:space="preserve"> </w:t>
      </w:r>
      <w:r>
        <w:t>水环境保护措施</w:t>
      </w:r>
    </w:p>
    <w:p w14:paraId="04D54F6F" w14:textId="77777777" w:rsidR="005A1A44" w:rsidRDefault="0008059E">
      <w:pPr>
        <w:ind w:firstLine="480"/>
      </w:pPr>
      <w:r>
        <w:rPr>
          <w:rFonts w:hint="eastAsia"/>
        </w:rPr>
        <w:t>运营期河道内无废水产生，只在河道两岸的景观休闲区内不设有水冲式厕所，其排水全部接入市政排水管网，不会对周边地表水、地下水环境产生影响。</w:t>
      </w:r>
    </w:p>
    <w:p w14:paraId="065509ED" w14:textId="77777777" w:rsidR="005A1A44" w:rsidRDefault="0008059E">
      <w:pPr>
        <w:ind w:firstLine="480"/>
      </w:pPr>
      <w:r>
        <w:rPr>
          <w:rFonts w:hint="eastAsia"/>
        </w:rPr>
        <w:t>由于气候干燥少雨，景观区域绿化用水基本用于大气蒸发和植被蒸腾，少数情况下产生的地表径流经绿地系统也得到净化，不会对水体产生大的影响。环评要求，对于景观用水要尽量按需控制，避免发生大量地表径流进入河道或地下水的情况。</w:t>
      </w:r>
    </w:p>
    <w:p w14:paraId="076A9035" w14:textId="77777777" w:rsidR="005A1A44" w:rsidRDefault="0008059E">
      <w:pPr>
        <w:pStyle w:val="3"/>
        <w:numPr>
          <w:ilvl w:val="2"/>
          <w:numId w:val="2"/>
        </w:numPr>
      </w:pPr>
      <w:r>
        <w:rPr>
          <w:rFonts w:hint="eastAsia"/>
        </w:rPr>
        <w:t xml:space="preserve"> </w:t>
      </w:r>
      <w:r>
        <w:rPr>
          <w:rFonts w:hint="eastAsia"/>
        </w:rPr>
        <w:t>地下水水源保护措施</w:t>
      </w:r>
    </w:p>
    <w:p w14:paraId="1E2B0331" w14:textId="77777777" w:rsidR="005A1A44" w:rsidRDefault="0008059E">
      <w:pPr>
        <w:ind w:firstLine="480"/>
      </w:pPr>
      <w:r>
        <w:rPr>
          <w:rFonts w:ascii="宋体" w:eastAsia="宋体" w:hAnsi="宋体" w:cs="宋体" w:hint="eastAsia"/>
          <w:kern w:val="0"/>
        </w:rPr>
        <w:t>定期对项目区附近的地下水水源井水质及附近土壤进行监测，</w:t>
      </w:r>
      <w:r>
        <w:rPr>
          <w:rFonts w:ascii="宋体" w:eastAsia="宋体" w:hAnsi="宋体" w:cs="宋体"/>
          <w:kern w:val="0"/>
        </w:rPr>
        <w:t>若发现水质异常</w:t>
      </w:r>
      <w:r>
        <w:rPr>
          <w:rFonts w:ascii="宋体" w:eastAsia="宋体" w:hAnsi="宋体" w:cs="宋体" w:hint="eastAsia"/>
          <w:kern w:val="0"/>
        </w:rPr>
        <w:t>，</w:t>
      </w:r>
      <w:r>
        <w:rPr>
          <w:rFonts w:ascii="宋体" w:eastAsia="宋体" w:hAnsi="宋体" w:cs="宋体"/>
          <w:kern w:val="0"/>
        </w:rPr>
        <w:t>需及时查明原因</w:t>
      </w:r>
      <w:r>
        <w:rPr>
          <w:rFonts w:ascii="宋体" w:eastAsia="宋体" w:hAnsi="宋体" w:cs="宋体" w:hint="eastAsia"/>
          <w:kern w:val="0"/>
        </w:rPr>
        <w:t>，合理处置相关事故</w:t>
      </w:r>
    </w:p>
    <w:p w14:paraId="732642A5" w14:textId="77777777" w:rsidR="005A1A44" w:rsidRDefault="0008059E">
      <w:pPr>
        <w:pStyle w:val="3"/>
        <w:numPr>
          <w:ilvl w:val="2"/>
          <w:numId w:val="2"/>
        </w:numPr>
      </w:pPr>
      <w:r>
        <w:rPr>
          <w:rFonts w:hint="eastAsia"/>
        </w:rPr>
        <w:t xml:space="preserve"> </w:t>
      </w:r>
      <w:r>
        <w:rPr>
          <w:rFonts w:hint="eastAsia"/>
        </w:rPr>
        <w:t>大气</w:t>
      </w:r>
      <w:r>
        <w:t>环境保护措施</w:t>
      </w:r>
    </w:p>
    <w:p w14:paraId="1DD79799" w14:textId="77777777" w:rsidR="005A1A44" w:rsidRDefault="0008059E">
      <w:pPr>
        <w:ind w:firstLine="480"/>
      </w:pPr>
      <w:r>
        <w:rPr>
          <w:rFonts w:hint="eastAsia"/>
        </w:rPr>
        <w:t>本项目作为河道综合治理工程，建成后基本没有废气产排。景观绿化区割草机割草产生的扬尘和喷洒化学农药产生的异味，环评要求禁止对河岸景观带绿地喷洒农药，且工作人员应在行人较少的时候对草坪进行养护，最好选在清晨或傍晚，这样人群受到的影响较小。</w:t>
      </w:r>
    </w:p>
    <w:p w14:paraId="72DF9289" w14:textId="77777777" w:rsidR="005A1A44" w:rsidRDefault="0008059E">
      <w:pPr>
        <w:pStyle w:val="3"/>
        <w:numPr>
          <w:ilvl w:val="2"/>
          <w:numId w:val="2"/>
        </w:numPr>
      </w:pPr>
      <w:r>
        <w:rPr>
          <w:rFonts w:hint="eastAsia"/>
        </w:rPr>
        <w:t xml:space="preserve"> </w:t>
      </w:r>
      <w:r>
        <w:rPr>
          <w:rFonts w:hint="eastAsia"/>
        </w:rPr>
        <w:t>运营期噪声防治措施</w:t>
      </w:r>
    </w:p>
    <w:p w14:paraId="06057654" w14:textId="77777777" w:rsidR="005A1A44" w:rsidRDefault="0008059E">
      <w:pPr>
        <w:ind w:firstLine="480"/>
      </w:pPr>
      <w:r>
        <w:rPr>
          <w:rFonts w:hint="eastAsia"/>
        </w:rPr>
        <w:t>本项目作为河道综合治理工程，没有较大的噪声源。割草机割草时产生的噪声，这类噪声是短暂、偶发性噪声，选用高效率低噪声的设备，应在行人较少的时候对沿路绿化进行修剪。</w:t>
      </w:r>
    </w:p>
    <w:p w14:paraId="1A991F01" w14:textId="77777777" w:rsidR="005A1A44" w:rsidRDefault="0008059E">
      <w:pPr>
        <w:pStyle w:val="3"/>
        <w:numPr>
          <w:ilvl w:val="2"/>
          <w:numId w:val="2"/>
        </w:numPr>
      </w:pPr>
      <w:r>
        <w:rPr>
          <w:rFonts w:hint="eastAsia"/>
        </w:rPr>
        <w:lastRenderedPageBreak/>
        <w:t xml:space="preserve"> </w:t>
      </w:r>
      <w:r>
        <w:rPr>
          <w:rFonts w:hint="eastAsia"/>
        </w:rPr>
        <w:t>运营期固体废防治措施</w:t>
      </w:r>
    </w:p>
    <w:p w14:paraId="7F471C76" w14:textId="77777777" w:rsidR="005A1A44" w:rsidRDefault="0008059E">
      <w:pPr>
        <w:ind w:firstLine="480"/>
      </w:pPr>
      <w:r>
        <w:rPr>
          <w:rFonts w:hint="eastAsia"/>
        </w:rPr>
        <w:t>本项目作为河道综合治理工程，根据其功能定位，产生的固体废物主要为过往行人丢弃的垃圾。河道管护方通过在河段沿岸设置数量合适的垃圾桶，由专人管理，每日由环卫部门清运。</w:t>
      </w:r>
    </w:p>
    <w:p w14:paraId="661BD66C" w14:textId="77777777" w:rsidR="005A1A44" w:rsidRDefault="0008059E">
      <w:pPr>
        <w:pStyle w:val="3"/>
        <w:numPr>
          <w:ilvl w:val="2"/>
          <w:numId w:val="2"/>
        </w:numPr>
      </w:pPr>
      <w:r>
        <w:rPr>
          <w:rFonts w:hint="eastAsia"/>
        </w:rPr>
        <w:t xml:space="preserve"> </w:t>
      </w:r>
      <w:r>
        <w:rPr>
          <w:rFonts w:hint="eastAsia"/>
        </w:rPr>
        <w:t>运营期生态保护措施</w:t>
      </w:r>
    </w:p>
    <w:p w14:paraId="54FDDB4E" w14:textId="77777777" w:rsidR="005A1A44" w:rsidRDefault="0008059E">
      <w:pPr>
        <w:ind w:firstLine="480"/>
      </w:pPr>
      <w:r>
        <w:rPr>
          <w:rFonts w:hint="eastAsia"/>
        </w:rPr>
        <w:t>加强玉龙喀什河河道生态的管理，在河道两岸设置栏杆，禁止无关人员进入河道从事彩砂、挖玉等活动。</w:t>
      </w:r>
    </w:p>
    <w:p w14:paraId="29D312A8" w14:textId="77777777" w:rsidR="005A1A44" w:rsidRDefault="0008059E">
      <w:pPr>
        <w:ind w:firstLine="480"/>
      </w:pPr>
      <w:r>
        <w:rPr>
          <w:rFonts w:hint="eastAsia"/>
        </w:rPr>
        <w:t>及时根据河道内泥沙淤积情况，开展河道疏浚工作。</w:t>
      </w:r>
    </w:p>
    <w:p w14:paraId="217F9046" w14:textId="77777777" w:rsidR="005A1A44" w:rsidRDefault="0008059E">
      <w:pPr>
        <w:ind w:firstLine="480"/>
      </w:pPr>
      <w:r>
        <w:rPr>
          <w:rFonts w:hint="eastAsia"/>
        </w:rPr>
        <w:t>加强河道两岸景观绿地的管理及人员行为的规范，保持景观系统的完整性和稳定性。</w:t>
      </w:r>
    </w:p>
    <w:p w14:paraId="35CE8DB8" w14:textId="77777777" w:rsidR="005A1A44" w:rsidRDefault="0008059E">
      <w:pPr>
        <w:pStyle w:val="2"/>
        <w:numPr>
          <w:ilvl w:val="1"/>
          <w:numId w:val="2"/>
        </w:numPr>
      </w:pPr>
      <w:bookmarkStart w:id="254" w:name="_Toc465790271"/>
      <w:r>
        <w:rPr>
          <w:rFonts w:hint="eastAsia"/>
        </w:rPr>
        <w:t xml:space="preserve"> </w:t>
      </w:r>
      <w:bookmarkStart w:id="255" w:name="_Toc26481_WPSOffice_Level2"/>
      <w:bookmarkStart w:id="256" w:name="_Toc15915_WPSOffice_Level2"/>
      <w:bookmarkStart w:id="257" w:name="_Toc7119_WPSOffice_Level2"/>
      <w:r>
        <w:rPr>
          <w:rFonts w:hint="eastAsia"/>
        </w:rPr>
        <w:t>运营期环保工程措施</w:t>
      </w:r>
      <w:bookmarkEnd w:id="254"/>
      <w:bookmarkEnd w:id="255"/>
      <w:bookmarkEnd w:id="256"/>
      <w:bookmarkEnd w:id="257"/>
    </w:p>
    <w:p w14:paraId="501F9FD6" w14:textId="77777777" w:rsidR="005A1A44" w:rsidRDefault="0008059E">
      <w:pPr>
        <w:ind w:firstLine="480"/>
      </w:pPr>
      <w:r>
        <w:t>（</w:t>
      </w:r>
      <w:r>
        <w:t>1</w:t>
      </w:r>
      <w:r>
        <w:t>）强化完善</w:t>
      </w:r>
      <w:r>
        <w:rPr>
          <w:rFonts w:hint="eastAsia"/>
        </w:rPr>
        <w:t>玉龙喀什河</w:t>
      </w:r>
      <w:r>
        <w:t>的</w:t>
      </w:r>
      <w:r>
        <w:rPr>
          <w:rFonts w:hint="eastAsia"/>
        </w:rPr>
        <w:t>堤防工程</w:t>
      </w:r>
      <w:r>
        <w:t>绿化设计，种类上注重多样性和协调性结合，改善陆域生境，提高区域的景观环境。</w:t>
      </w:r>
    </w:p>
    <w:p w14:paraId="6843C655" w14:textId="77777777" w:rsidR="005A1A44" w:rsidRDefault="0008059E">
      <w:pPr>
        <w:ind w:firstLine="480"/>
      </w:pPr>
      <w:r>
        <w:t>（</w:t>
      </w:r>
      <w:r>
        <w:t>2</w:t>
      </w:r>
      <w:r>
        <w:t>）</w:t>
      </w:r>
      <w:r>
        <w:rPr>
          <w:rFonts w:hint="eastAsia"/>
        </w:rPr>
        <w:t>施工结束时，建议结合地方生态规划的要求，对所有具有植被恢复条件的临时占用造成的裸地及时进行植被恢复，尽量降低环境的人为破坏及新增的水土流失危害影响。</w:t>
      </w:r>
    </w:p>
    <w:p w14:paraId="0B1C92CF" w14:textId="77777777" w:rsidR="005A1A44" w:rsidRDefault="0008059E">
      <w:pPr>
        <w:pStyle w:val="2"/>
        <w:numPr>
          <w:ilvl w:val="1"/>
          <w:numId w:val="2"/>
        </w:numPr>
      </w:pPr>
      <w:bookmarkStart w:id="258" w:name="_Toc465790272"/>
      <w:r>
        <w:rPr>
          <w:rFonts w:hint="eastAsia"/>
        </w:rPr>
        <w:t xml:space="preserve"> </w:t>
      </w:r>
      <w:bookmarkStart w:id="259" w:name="_Toc30649_WPSOffice_Level2"/>
      <w:bookmarkStart w:id="260" w:name="_Toc26180_WPSOffice_Level2"/>
      <w:bookmarkStart w:id="261" w:name="_Toc1298_WPSOffice_Level2"/>
      <w:r>
        <w:rPr>
          <w:rFonts w:hint="eastAsia"/>
        </w:rPr>
        <w:t>工程环保投资</w:t>
      </w:r>
      <w:bookmarkEnd w:id="258"/>
      <w:bookmarkEnd w:id="259"/>
      <w:bookmarkEnd w:id="260"/>
      <w:bookmarkEnd w:id="261"/>
    </w:p>
    <w:p w14:paraId="6238C033" w14:textId="77777777" w:rsidR="005A1A44" w:rsidRDefault="0008059E">
      <w:pPr>
        <w:ind w:firstLine="480"/>
      </w:pPr>
      <w:r>
        <w:rPr>
          <w:rFonts w:hint="eastAsia"/>
        </w:rPr>
        <w:t>玉龙喀什河河道治理及两岸生态修复</w:t>
      </w:r>
      <w:r>
        <w:t>项目的污染防治措施及环保工程投资汇总见表</w:t>
      </w:r>
      <w:r>
        <w:rPr>
          <w:rFonts w:hint="eastAsia"/>
        </w:rPr>
        <w:t>8</w:t>
      </w:r>
      <w:r>
        <w:t>.</w:t>
      </w:r>
      <w:r>
        <w:rPr>
          <w:rFonts w:hint="eastAsia"/>
        </w:rPr>
        <w:t>4</w:t>
      </w:r>
      <w:r>
        <w:t>-1</w:t>
      </w:r>
      <w:r>
        <w:t>。</w:t>
      </w:r>
    </w:p>
    <w:p w14:paraId="36325CCA" w14:textId="77777777" w:rsidR="005A1A44" w:rsidRDefault="005A1A44">
      <w:pPr>
        <w:ind w:firstLineChars="0" w:firstLine="0"/>
        <w:jc w:val="center"/>
        <w:rPr>
          <w:rFonts w:ascii="黑体" w:eastAsia="黑体" w:hAnsi="黑体" w:cs="黑体" w:hint="eastAsia"/>
          <w:bCs/>
          <w:color w:val="000000"/>
          <w:kern w:val="0"/>
        </w:rPr>
      </w:pPr>
    </w:p>
    <w:p w14:paraId="451E7950" w14:textId="77777777" w:rsidR="005A1A44" w:rsidRDefault="005A1A44">
      <w:pPr>
        <w:ind w:firstLineChars="0" w:firstLine="0"/>
        <w:jc w:val="center"/>
        <w:rPr>
          <w:rFonts w:ascii="黑体" w:eastAsia="黑体" w:hAnsi="黑体" w:cs="黑体" w:hint="eastAsia"/>
          <w:bCs/>
          <w:color w:val="000000"/>
          <w:kern w:val="0"/>
        </w:rPr>
      </w:pPr>
    </w:p>
    <w:p w14:paraId="3D20DA4A" w14:textId="77777777" w:rsidR="005A1A44" w:rsidRDefault="005A1A44">
      <w:pPr>
        <w:ind w:firstLineChars="0" w:firstLine="0"/>
        <w:jc w:val="center"/>
        <w:rPr>
          <w:rFonts w:ascii="黑体" w:eastAsia="黑体" w:hAnsi="黑体" w:cs="黑体" w:hint="eastAsia"/>
          <w:bCs/>
          <w:color w:val="000000"/>
          <w:kern w:val="0"/>
        </w:rPr>
      </w:pPr>
    </w:p>
    <w:p w14:paraId="306315C3" w14:textId="77777777" w:rsidR="005A1A44" w:rsidRDefault="0008059E">
      <w:pPr>
        <w:ind w:firstLineChars="0" w:firstLine="0"/>
        <w:jc w:val="center"/>
        <w:rPr>
          <w:rFonts w:ascii="黑体" w:eastAsia="黑体" w:hAnsi="黑体" w:cs="黑体" w:hint="eastAsia"/>
          <w:bCs/>
          <w:color w:val="000000"/>
          <w:kern w:val="0"/>
        </w:rPr>
      </w:pPr>
      <w:bookmarkStart w:id="262" w:name="_Toc26904_WPSOffice_Level2"/>
      <w:r>
        <w:rPr>
          <w:rFonts w:ascii="黑体" w:eastAsia="黑体" w:hAnsi="黑体" w:cs="黑体" w:hint="eastAsia"/>
          <w:bCs/>
          <w:color w:val="000000"/>
          <w:kern w:val="0"/>
        </w:rPr>
        <w:lastRenderedPageBreak/>
        <w:t>表8.4-1  污染防治防治措施汇总表</w:t>
      </w:r>
      <w:bookmarkEnd w:id="262"/>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904"/>
        <w:gridCol w:w="1714"/>
        <w:gridCol w:w="1705"/>
        <w:gridCol w:w="3218"/>
        <w:gridCol w:w="1118"/>
      </w:tblGrid>
      <w:tr w:rsidR="005A1A44" w14:paraId="3ACEE197" w14:textId="77777777">
        <w:trPr>
          <w:trHeight w:val="284"/>
          <w:jc w:val="center"/>
        </w:trPr>
        <w:tc>
          <w:tcPr>
            <w:tcW w:w="669" w:type="dxa"/>
            <w:vAlign w:val="center"/>
          </w:tcPr>
          <w:p w14:paraId="64469B40" w14:textId="77777777" w:rsidR="005A1A44" w:rsidRDefault="0008059E">
            <w:pPr>
              <w:pStyle w:val="a6"/>
              <w:adjustRightInd w:val="0"/>
              <w:snapToGrid w:val="0"/>
              <w:spacing w:after="240" w:line="240" w:lineRule="auto"/>
              <w:ind w:firstLineChars="0" w:firstLine="0"/>
              <w:jc w:val="center"/>
              <w:rPr>
                <w:rFonts w:ascii="宋体" w:eastAsia="宋体" w:hAnsi="宋体" w:cs="宋体" w:hint="eastAsia"/>
                <w:b/>
                <w:bCs/>
                <w:snapToGrid w:val="0"/>
                <w:color w:val="000000"/>
                <w:sz w:val="21"/>
                <w:szCs w:val="21"/>
              </w:rPr>
            </w:pPr>
            <w:r>
              <w:rPr>
                <w:rFonts w:ascii="宋体" w:eastAsia="宋体" w:hAnsi="宋体" w:cs="宋体" w:hint="eastAsia"/>
                <w:b/>
                <w:bCs/>
                <w:snapToGrid w:val="0"/>
                <w:color w:val="000000"/>
                <w:sz w:val="21"/>
                <w:szCs w:val="21"/>
              </w:rPr>
              <w:t>序号</w:t>
            </w:r>
          </w:p>
        </w:tc>
        <w:tc>
          <w:tcPr>
            <w:tcW w:w="2618" w:type="dxa"/>
            <w:gridSpan w:val="2"/>
            <w:vAlign w:val="center"/>
          </w:tcPr>
          <w:p w14:paraId="03BED60C" w14:textId="77777777" w:rsidR="005A1A44" w:rsidRDefault="0008059E">
            <w:pPr>
              <w:pStyle w:val="a6"/>
              <w:adjustRightInd w:val="0"/>
              <w:snapToGrid w:val="0"/>
              <w:spacing w:after="240" w:line="240" w:lineRule="auto"/>
              <w:ind w:firstLineChars="0" w:firstLine="0"/>
              <w:jc w:val="center"/>
              <w:rPr>
                <w:rFonts w:ascii="宋体" w:eastAsia="宋体" w:hAnsi="宋体" w:cs="宋体" w:hint="eastAsia"/>
                <w:b/>
                <w:bCs/>
                <w:snapToGrid w:val="0"/>
                <w:color w:val="000000"/>
                <w:sz w:val="21"/>
                <w:szCs w:val="21"/>
              </w:rPr>
            </w:pPr>
            <w:r>
              <w:rPr>
                <w:rFonts w:ascii="宋体" w:eastAsia="宋体" w:hAnsi="宋体" w:cs="宋体" w:hint="eastAsia"/>
                <w:b/>
                <w:bCs/>
                <w:snapToGrid w:val="0"/>
                <w:color w:val="000000"/>
                <w:sz w:val="21"/>
                <w:szCs w:val="21"/>
              </w:rPr>
              <w:t>环保设施名称</w:t>
            </w:r>
          </w:p>
        </w:tc>
        <w:tc>
          <w:tcPr>
            <w:tcW w:w="1705" w:type="dxa"/>
            <w:vAlign w:val="center"/>
          </w:tcPr>
          <w:p w14:paraId="4B263E22" w14:textId="77777777" w:rsidR="005A1A44" w:rsidRDefault="0008059E">
            <w:pPr>
              <w:pStyle w:val="a6"/>
              <w:adjustRightInd w:val="0"/>
              <w:snapToGrid w:val="0"/>
              <w:spacing w:after="240" w:line="240" w:lineRule="auto"/>
              <w:ind w:firstLineChars="0" w:firstLine="0"/>
              <w:jc w:val="center"/>
              <w:rPr>
                <w:rFonts w:ascii="宋体" w:eastAsia="宋体" w:hAnsi="宋体" w:cs="宋体" w:hint="eastAsia"/>
                <w:b/>
                <w:bCs/>
                <w:snapToGrid w:val="0"/>
                <w:color w:val="000000"/>
                <w:sz w:val="21"/>
                <w:szCs w:val="21"/>
              </w:rPr>
            </w:pPr>
            <w:r>
              <w:rPr>
                <w:rFonts w:ascii="宋体" w:eastAsia="宋体" w:hAnsi="宋体" w:cs="宋体" w:hint="eastAsia"/>
                <w:b/>
                <w:bCs/>
                <w:snapToGrid w:val="0"/>
                <w:color w:val="000000"/>
                <w:sz w:val="21"/>
                <w:szCs w:val="21"/>
              </w:rPr>
              <w:t>环保投资（万元）</w:t>
            </w:r>
          </w:p>
        </w:tc>
        <w:tc>
          <w:tcPr>
            <w:tcW w:w="3218" w:type="dxa"/>
            <w:vAlign w:val="center"/>
          </w:tcPr>
          <w:p w14:paraId="152A8BE6" w14:textId="77777777" w:rsidR="005A1A44" w:rsidRDefault="0008059E">
            <w:pPr>
              <w:pStyle w:val="a6"/>
              <w:adjustRightInd w:val="0"/>
              <w:snapToGrid w:val="0"/>
              <w:spacing w:after="240" w:line="240" w:lineRule="auto"/>
              <w:ind w:firstLineChars="0" w:firstLine="0"/>
              <w:jc w:val="center"/>
              <w:rPr>
                <w:rFonts w:ascii="宋体" w:eastAsia="宋体" w:hAnsi="宋体" w:cs="宋体" w:hint="eastAsia"/>
                <w:b/>
                <w:bCs/>
                <w:snapToGrid w:val="0"/>
                <w:color w:val="000000"/>
                <w:sz w:val="21"/>
                <w:szCs w:val="21"/>
              </w:rPr>
            </w:pPr>
            <w:r>
              <w:rPr>
                <w:rFonts w:ascii="宋体" w:eastAsia="宋体" w:hAnsi="宋体" w:cs="宋体" w:hint="eastAsia"/>
                <w:b/>
                <w:bCs/>
                <w:snapToGrid w:val="0"/>
                <w:color w:val="000000"/>
                <w:sz w:val="21"/>
                <w:szCs w:val="21"/>
              </w:rPr>
              <w:t>主要内容</w:t>
            </w:r>
          </w:p>
        </w:tc>
        <w:tc>
          <w:tcPr>
            <w:tcW w:w="1118" w:type="dxa"/>
            <w:vAlign w:val="center"/>
          </w:tcPr>
          <w:p w14:paraId="1C45BF76" w14:textId="77777777" w:rsidR="005A1A44" w:rsidRDefault="0008059E">
            <w:pPr>
              <w:pStyle w:val="a6"/>
              <w:adjustRightInd w:val="0"/>
              <w:snapToGrid w:val="0"/>
              <w:spacing w:after="240" w:line="240" w:lineRule="auto"/>
              <w:ind w:firstLineChars="0" w:firstLine="0"/>
              <w:jc w:val="center"/>
              <w:rPr>
                <w:rFonts w:ascii="宋体" w:eastAsia="宋体" w:hAnsi="宋体" w:cs="宋体" w:hint="eastAsia"/>
                <w:b/>
                <w:bCs/>
                <w:snapToGrid w:val="0"/>
                <w:color w:val="000000"/>
                <w:sz w:val="21"/>
                <w:szCs w:val="21"/>
              </w:rPr>
            </w:pPr>
            <w:r>
              <w:rPr>
                <w:rFonts w:ascii="宋体" w:eastAsia="宋体" w:hAnsi="宋体" w:cs="宋体" w:hint="eastAsia"/>
                <w:b/>
                <w:bCs/>
                <w:snapToGrid w:val="0"/>
                <w:color w:val="000000"/>
                <w:sz w:val="21"/>
                <w:szCs w:val="21"/>
              </w:rPr>
              <w:t>建设计划</w:t>
            </w:r>
          </w:p>
        </w:tc>
      </w:tr>
      <w:tr w:rsidR="005A1A44" w14:paraId="52A2C812" w14:textId="77777777">
        <w:trPr>
          <w:trHeight w:val="461"/>
          <w:jc w:val="center"/>
        </w:trPr>
        <w:tc>
          <w:tcPr>
            <w:tcW w:w="669" w:type="dxa"/>
            <w:vAlign w:val="center"/>
          </w:tcPr>
          <w:p w14:paraId="2DB141E3" w14:textId="77777777" w:rsidR="005A1A44" w:rsidRDefault="0008059E">
            <w:pPr>
              <w:pStyle w:val="a6"/>
              <w:adjustRightInd w:val="0"/>
              <w:snapToGrid w:val="0"/>
              <w:spacing w:after="240"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1</w:t>
            </w:r>
          </w:p>
        </w:tc>
        <w:tc>
          <w:tcPr>
            <w:tcW w:w="2618" w:type="dxa"/>
            <w:gridSpan w:val="2"/>
            <w:vAlign w:val="center"/>
          </w:tcPr>
          <w:p w14:paraId="043967C0" w14:textId="77777777" w:rsidR="005A1A44" w:rsidRDefault="0008059E">
            <w:pPr>
              <w:pStyle w:val="a6"/>
              <w:adjustRightInd w:val="0"/>
              <w:snapToGrid w:val="0"/>
              <w:spacing w:after="240"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水土保持</w:t>
            </w:r>
          </w:p>
        </w:tc>
        <w:tc>
          <w:tcPr>
            <w:tcW w:w="1705" w:type="dxa"/>
            <w:vAlign w:val="center"/>
          </w:tcPr>
          <w:p w14:paraId="294DF2C3" w14:textId="77777777" w:rsidR="005A1A44" w:rsidRDefault="0008059E">
            <w:pPr>
              <w:pStyle w:val="a6"/>
              <w:adjustRightInd w:val="0"/>
              <w:snapToGrid w:val="0"/>
              <w:spacing w:after="240"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174.76</w:t>
            </w:r>
          </w:p>
        </w:tc>
        <w:tc>
          <w:tcPr>
            <w:tcW w:w="3218" w:type="dxa"/>
            <w:vAlign w:val="center"/>
          </w:tcPr>
          <w:p w14:paraId="2E66FDA8" w14:textId="77777777" w:rsidR="005A1A44" w:rsidRDefault="0008059E">
            <w:pPr>
              <w:pStyle w:val="a6"/>
              <w:adjustRightInd w:val="0"/>
              <w:snapToGrid w:val="0"/>
              <w:spacing w:after="240"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种树种草、恢复植被、临时排水沟开挖等</w:t>
            </w:r>
          </w:p>
        </w:tc>
        <w:tc>
          <w:tcPr>
            <w:tcW w:w="1118" w:type="dxa"/>
            <w:vMerge w:val="restart"/>
            <w:vAlign w:val="center"/>
          </w:tcPr>
          <w:p w14:paraId="401DCF34" w14:textId="77777777" w:rsidR="005A1A44" w:rsidRDefault="0008059E">
            <w:pPr>
              <w:pStyle w:val="a6"/>
              <w:adjustRightInd w:val="0"/>
              <w:snapToGrid w:val="0"/>
              <w:spacing w:after="240"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color w:val="000000"/>
                <w:sz w:val="21"/>
                <w:szCs w:val="21"/>
              </w:rPr>
              <w:t>与建设项目同时设计、同时施工，同时投入运行</w:t>
            </w:r>
          </w:p>
        </w:tc>
      </w:tr>
      <w:tr w:rsidR="005A1A44" w14:paraId="6A9267D1" w14:textId="77777777">
        <w:trPr>
          <w:trHeight w:val="284"/>
          <w:jc w:val="center"/>
        </w:trPr>
        <w:tc>
          <w:tcPr>
            <w:tcW w:w="669" w:type="dxa"/>
            <w:vMerge w:val="restart"/>
            <w:vAlign w:val="center"/>
          </w:tcPr>
          <w:p w14:paraId="49E22DA2"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2</w:t>
            </w:r>
          </w:p>
        </w:tc>
        <w:tc>
          <w:tcPr>
            <w:tcW w:w="904" w:type="dxa"/>
            <w:vMerge w:val="restart"/>
            <w:vAlign w:val="center"/>
          </w:tcPr>
          <w:p w14:paraId="04FD8A8E"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施工期污染治理</w:t>
            </w:r>
          </w:p>
        </w:tc>
        <w:tc>
          <w:tcPr>
            <w:tcW w:w="1714" w:type="dxa"/>
            <w:vAlign w:val="center"/>
          </w:tcPr>
          <w:p w14:paraId="0DB90FE1"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生活污水</w:t>
            </w:r>
          </w:p>
        </w:tc>
        <w:tc>
          <w:tcPr>
            <w:tcW w:w="1705" w:type="dxa"/>
            <w:vAlign w:val="center"/>
          </w:tcPr>
          <w:p w14:paraId="0FA2D740" w14:textId="77777777" w:rsidR="005A1A44" w:rsidRDefault="0008059E">
            <w:pPr>
              <w:adjustRightInd w:val="0"/>
              <w:snapToGrid w:val="0"/>
              <w:spacing w:line="240" w:lineRule="auto"/>
              <w:ind w:firstLineChars="0" w:firstLine="0"/>
              <w:jc w:val="center"/>
              <w:rPr>
                <w:rFonts w:ascii="宋体" w:eastAsia="宋体" w:hAnsi="宋体" w:cs="宋体" w:hint="eastAsia"/>
                <w:bCs/>
                <w:color w:val="000000"/>
                <w:kern w:val="0"/>
                <w:sz w:val="21"/>
                <w:szCs w:val="21"/>
              </w:rPr>
            </w:pPr>
            <w:r>
              <w:rPr>
                <w:rFonts w:ascii="宋体" w:eastAsia="宋体" w:hAnsi="宋体" w:cs="宋体" w:hint="eastAsia"/>
                <w:bCs/>
                <w:color w:val="000000"/>
                <w:kern w:val="0"/>
                <w:sz w:val="21"/>
                <w:szCs w:val="21"/>
              </w:rPr>
              <w:t>25</w:t>
            </w:r>
          </w:p>
        </w:tc>
        <w:tc>
          <w:tcPr>
            <w:tcW w:w="3218" w:type="dxa"/>
            <w:vAlign w:val="center"/>
          </w:tcPr>
          <w:p w14:paraId="752861AD" w14:textId="77777777" w:rsidR="005A1A44" w:rsidRDefault="0008059E">
            <w:pPr>
              <w:adjustRightInd w:val="0"/>
              <w:snapToGrid w:val="0"/>
              <w:spacing w:line="240" w:lineRule="auto"/>
              <w:ind w:firstLineChars="0" w:firstLine="0"/>
              <w:jc w:val="center"/>
              <w:rPr>
                <w:rFonts w:ascii="宋体" w:eastAsia="宋体" w:hAnsi="宋体" w:cs="宋体" w:hint="eastAsia"/>
                <w:b/>
                <w:color w:val="000000"/>
                <w:kern w:val="0"/>
                <w:sz w:val="21"/>
                <w:szCs w:val="21"/>
              </w:rPr>
            </w:pPr>
            <w:r>
              <w:rPr>
                <w:rFonts w:ascii="宋体" w:eastAsia="宋体" w:hAnsi="宋体" w:cs="宋体" w:hint="eastAsia"/>
                <w:bCs/>
                <w:snapToGrid w:val="0"/>
                <w:color w:val="000000"/>
                <w:sz w:val="21"/>
                <w:szCs w:val="21"/>
              </w:rPr>
              <w:t>隔油池、化粪池、管道等处理设施</w:t>
            </w:r>
          </w:p>
        </w:tc>
        <w:tc>
          <w:tcPr>
            <w:tcW w:w="1118" w:type="dxa"/>
            <w:vMerge/>
            <w:vAlign w:val="center"/>
          </w:tcPr>
          <w:p w14:paraId="2938293A" w14:textId="77777777" w:rsidR="005A1A44" w:rsidRDefault="005A1A44">
            <w:pPr>
              <w:adjustRightInd w:val="0"/>
              <w:snapToGrid w:val="0"/>
              <w:spacing w:line="240" w:lineRule="auto"/>
              <w:ind w:firstLineChars="0" w:firstLine="0"/>
              <w:jc w:val="center"/>
              <w:rPr>
                <w:rFonts w:ascii="宋体" w:eastAsia="宋体" w:hAnsi="宋体" w:cs="宋体" w:hint="eastAsia"/>
                <w:b/>
                <w:color w:val="000000"/>
                <w:kern w:val="0"/>
                <w:sz w:val="21"/>
                <w:szCs w:val="21"/>
              </w:rPr>
            </w:pPr>
          </w:p>
        </w:tc>
      </w:tr>
      <w:tr w:rsidR="005A1A44" w14:paraId="635F4ED2" w14:textId="77777777">
        <w:trPr>
          <w:trHeight w:val="284"/>
          <w:jc w:val="center"/>
        </w:trPr>
        <w:tc>
          <w:tcPr>
            <w:tcW w:w="669" w:type="dxa"/>
            <w:vMerge/>
            <w:vAlign w:val="center"/>
          </w:tcPr>
          <w:p w14:paraId="0DA59D49" w14:textId="77777777" w:rsidR="005A1A44" w:rsidRDefault="005A1A44">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p>
        </w:tc>
        <w:tc>
          <w:tcPr>
            <w:tcW w:w="904" w:type="dxa"/>
            <w:vMerge/>
            <w:vAlign w:val="center"/>
          </w:tcPr>
          <w:p w14:paraId="258FC3A0" w14:textId="77777777" w:rsidR="005A1A44" w:rsidRDefault="005A1A44">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p>
        </w:tc>
        <w:tc>
          <w:tcPr>
            <w:tcW w:w="1714" w:type="dxa"/>
            <w:vAlign w:val="center"/>
          </w:tcPr>
          <w:p w14:paraId="17509D41"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施工废水</w:t>
            </w:r>
          </w:p>
        </w:tc>
        <w:tc>
          <w:tcPr>
            <w:tcW w:w="1705" w:type="dxa"/>
            <w:vAlign w:val="center"/>
          </w:tcPr>
          <w:p w14:paraId="0AAD8F13"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28</w:t>
            </w:r>
          </w:p>
        </w:tc>
        <w:tc>
          <w:tcPr>
            <w:tcW w:w="3218" w:type="dxa"/>
            <w:vAlign w:val="center"/>
          </w:tcPr>
          <w:p w14:paraId="3F5671D1"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隔油沉淀池、</w:t>
            </w:r>
            <w:r>
              <w:rPr>
                <w:rFonts w:ascii="宋体" w:eastAsia="宋体" w:hAnsi="宋体" w:cs="宋体" w:hint="eastAsia"/>
                <w:sz w:val="21"/>
                <w:szCs w:val="21"/>
              </w:rPr>
              <w:t>废水导流渠、防溢座、废水收集池、事故应急池等</w:t>
            </w:r>
          </w:p>
        </w:tc>
        <w:tc>
          <w:tcPr>
            <w:tcW w:w="1118" w:type="dxa"/>
            <w:vMerge/>
            <w:vAlign w:val="center"/>
          </w:tcPr>
          <w:p w14:paraId="72593551" w14:textId="77777777" w:rsidR="005A1A44" w:rsidRDefault="005A1A44">
            <w:pPr>
              <w:adjustRightInd w:val="0"/>
              <w:snapToGrid w:val="0"/>
              <w:spacing w:line="240" w:lineRule="auto"/>
              <w:ind w:firstLineChars="0" w:firstLine="0"/>
              <w:jc w:val="center"/>
              <w:rPr>
                <w:rFonts w:ascii="宋体" w:eastAsia="宋体" w:hAnsi="宋体" w:cs="宋体" w:hint="eastAsia"/>
                <w:b/>
                <w:color w:val="000000"/>
                <w:kern w:val="0"/>
                <w:sz w:val="21"/>
                <w:szCs w:val="21"/>
              </w:rPr>
            </w:pPr>
          </w:p>
        </w:tc>
      </w:tr>
      <w:tr w:rsidR="005A1A44" w14:paraId="377F8CFE" w14:textId="77777777">
        <w:trPr>
          <w:trHeight w:val="284"/>
          <w:jc w:val="center"/>
        </w:trPr>
        <w:tc>
          <w:tcPr>
            <w:tcW w:w="669" w:type="dxa"/>
            <w:vMerge/>
            <w:vAlign w:val="center"/>
          </w:tcPr>
          <w:p w14:paraId="5A5FCBCB" w14:textId="77777777" w:rsidR="005A1A44" w:rsidRDefault="005A1A44">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p>
        </w:tc>
        <w:tc>
          <w:tcPr>
            <w:tcW w:w="904" w:type="dxa"/>
            <w:vMerge/>
            <w:vAlign w:val="center"/>
          </w:tcPr>
          <w:p w14:paraId="281A0E1A" w14:textId="77777777" w:rsidR="005A1A44" w:rsidRDefault="005A1A44">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p>
        </w:tc>
        <w:tc>
          <w:tcPr>
            <w:tcW w:w="1714" w:type="dxa"/>
            <w:vAlign w:val="center"/>
          </w:tcPr>
          <w:p w14:paraId="0A9BCFBE"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扬尘防治</w:t>
            </w:r>
          </w:p>
        </w:tc>
        <w:tc>
          <w:tcPr>
            <w:tcW w:w="1705" w:type="dxa"/>
            <w:vAlign w:val="center"/>
          </w:tcPr>
          <w:p w14:paraId="167D6CC4"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22</w:t>
            </w:r>
          </w:p>
        </w:tc>
        <w:tc>
          <w:tcPr>
            <w:tcW w:w="3218" w:type="dxa"/>
            <w:vAlign w:val="center"/>
          </w:tcPr>
          <w:p w14:paraId="64C24C47"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洒水抑尘、施工围挡</w:t>
            </w:r>
          </w:p>
        </w:tc>
        <w:tc>
          <w:tcPr>
            <w:tcW w:w="1118" w:type="dxa"/>
            <w:vMerge/>
            <w:vAlign w:val="center"/>
          </w:tcPr>
          <w:p w14:paraId="0CF53F06" w14:textId="77777777" w:rsidR="005A1A44" w:rsidRDefault="005A1A44">
            <w:pPr>
              <w:adjustRightInd w:val="0"/>
              <w:snapToGrid w:val="0"/>
              <w:spacing w:line="240" w:lineRule="auto"/>
              <w:ind w:firstLineChars="0" w:firstLine="0"/>
              <w:jc w:val="center"/>
              <w:rPr>
                <w:rFonts w:ascii="宋体" w:eastAsia="宋体" w:hAnsi="宋体" w:cs="宋体" w:hint="eastAsia"/>
                <w:b/>
                <w:color w:val="000000"/>
                <w:kern w:val="0"/>
                <w:sz w:val="21"/>
                <w:szCs w:val="21"/>
              </w:rPr>
            </w:pPr>
          </w:p>
        </w:tc>
      </w:tr>
      <w:tr w:rsidR="005A1A44" w14:paraId="547CEA50" w14:textId="77777777">
        <w:trPr>
          <w:trHeight w:val="284"/>
          <w:jc w:val="center"/>
        </w:trPr>
        <w:tc>
          <w:tcPr>
            <w:tcW w:w="669" w:type="dxa"/>
            <w:vMerge/>
            <w:vAlign w:val="center"/>
          </w:tcPr>
          <w:p w14:paraId="3350AE83" w14:textId="77777777" w:rsidR="005A1A44" w:rsidRDefault="005A1A44">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p>
        </w:tc>
        <w:tc>
          <w:tcPr>
            <w:tcW w:w="904" w:type="dxa"/>
            <w:vMerge/>
            <w:vAlign w:val="center"/>
          </w:tcPr>
          <w:p w14:paraId="3943A0F2" w14:textId="77777777" w:rsidR="005A1A44" w:rsidRDefault="005A1A44">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p>
        </w:tc>
        <w:tc>
          <w:tcPr>
            <w:tcW w:w="1714" w:type="dxa"/>
            <w:vAlign w:val="center"/>
          </w:tcPr>
          <w:p w14:paraId="72823715"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固废处理</w:t>
            </w:r>
          </w:p>
        </w:tc>
        <w:tc>
          <w:tcPr>
            <w:tcW w:w="1705" w:type="dxa"/>
            <w:vAlign w:val="center"/>
          </w:tcPr>
          <w:p w14:paraId="0888124D"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8</w:t>
            </w:r>
          </w:p>
        </w:tc>
        <w:tc>
          <w:tcPr>
            <w:tcW w:w="3218" w:type="dxa"/>
            <w:vAlign w:val="center"/>
          </w:tcPr>
          <w:p w14:paraId="6732B636"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生活垃圾填埋</w:t>
            </w:r>
          </w:p>
        </w:tc>
        <w:tc>
          <w:tcPr>
            <w:tcW w:w="1118" w:type="dxa"/>
            <w:vMerge/>
            <w:vAlign w:val="center"/>
          </w:tcPr>
          <w:p w14:paraId="1F853632" w14:textId="77777777" w:rsidR="005A1A44" w:rsidRDefault="005A1A44">
            <w:pPr>
              <w:adjustRightInd w:val="0"/>
              <w:snapToGrid w:val="0"/>
              <w:spacing w:line="240" w:lineRule="auto"/>
              <w:ind w:firstLineChars="0" w:firstLine="0"/>
              <w:jc w:val="center"/>
              <w:rPr>
                <w:rFonts w:ascii="宋体" w:eastAsia="宋体" w:hAnsi="宋体" w:cs="宋体" w:hint="eastAsia"/>
                <w:b/>
                <w:color w:val="000000"/>
                <w:kern w:val="0"/>
                <w:sz w:val="21"/>
                <w:szCs w:val="21"/>
              </w:rPr>
            </w:pPr>
          </w:p>
        </w:tc>
      </w:tr>
      <w:tr w:rsidR="005A1A44" w14:paraId="440D4A7C" w14:textId="77777777">
        <w:trPr>
          <w:trHeight w:val="284"/>
          <w:jc w:val="center"/>
        </w:trPr>
        <w:tc>
          <w:tcPr>
            <w:tcW w:w="669" w:type="dxa"/>
            <w:vMerge/>
            <w:vAlign w:val="center"/>
          </w:tcPr>
          <w:p w14:paraId="5735EA35" w14:textId="77777777" w:rsidR="005A1A44" w:rsidRDefault="005A1A44">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p>
        </w:tc>
        <w:tc>
          <w:tcPr>
            <w:tcW w:w="904" w:type="dxa"/>
            <w:vMerge/>
            <w:vAlign w:val="center"/>
          </w:tcPr>
          <w:p w14:paraId="4A66E9B7" w14:textId="77777777" w:rsidR="005A1A44" w:rsidRDefault="005A1A44">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p>
        </w:tc>
        <w:tc>
          <w:tcPr>
            <w:tcW w:w="1714" w:type="dxa"/>
            <w:vAlign w:val="center"/>
          </w:tcPr>
          <w:p w14:paraId="6920F1FC"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噪声防治</w:t>
            </w:r>
          </w:p>
        </w:tc>
        <w:tc>
          <w:tcPr>
            <w:tcW w:w="1705" w:type="dxa"/>
            <w:vAlign w:val="center"/>
          </w:tcPr>
          <w:p w14:paraId="2FF04EF4"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5</w:t>
            </w:r>
          </w:p>
        </w:tc>
        <w:tc>
          <w:tcPr>
            <w:tcW w:w="3218" w:type="dxa"/>
            <w:vAlign w:val="center"/>
          </w:tcPr>
          <w:p w14:paraId="3111AA87"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减震、隔声</w:t>
            </w:r>
          </w:p>
        </w:tc>
        <w:tc>
          <w:tcPr>
            <w:tcW w:w="1118" w:type="dxa"/>
            <w:vMerge/>
            <w:vAlign w:val="center"/>
          </w:tcPr>
          <w:p w14:paraId="0DC7C640" w14:textId="77777777" w:rsidR="005A1A44" w:rsidRDefault="005A1A44">
            <w:pPr>
              <w:adjustRightInd w:val="0"/>
              <w:snapToGrid w:val="0"/>
              <w:spacing w:line="240" w:lineRule="auto"/>
              <w:ind w:firstLineChars="0" w:firstLine="0"/>
              <w:jc w:val="center"/>
              <w:rPr>
                <w:rFonts w:ascii="宋体" w:eastAsia="宋体" w:hAnsi="宋体" w:cs="宋体" w:hint="eastAsia"/>
                <w:b/>
                <w:color w:val="000000"/>
                <w:kern w:val="0"/>
                <w:sz w:val="21"/>
                <w:szCs w:val="21"/>
              </w:rPr>
            </w:pPr>
          </w:p>
        </w:tc>
      </w:tr>
      <w:tr w:rsidR="005A1A44" w14:paraId="320C9704" w14:textId="77777777">
        <w:trPr>
          <w:trHeight w:val="284"/>
          <w:jc w:val="center"/>
        </w:trPr>
        <w:tc>
          <w:tcPr>
            <w:tcW w:w="669" w:type="dxa"/>
            <w:vAlign w:val="center"/>
          </w:tcPr>
          <w:p w14:paraId="4CEF4A97" w14:textId="77777777" w:rsidR="005A1A44" w:rsidRDefault="0008059E">
            <w:pPr>
              <w:adjustRightInd w:val="0"/>
              <w:snapToGrid w:val="0"/>
              <w:spacing w:line="240" w:lineRule="auto"/>
              <w:ind w:firstLineChars="0" w:firstLine="0"/>
              <w:jc w:val="center"/>
              <w:rPr>
                <w:rFonts w:ascii="宋体" w:eastAsia="宋体" w:hAnsi="宋体" w:cs="宋体" w:hint="eastAsia"/>
                <w:b/>
                <w:color w:val="000000"/>
                <w:kern w:val="0"/>
                <w:sz w:val="21"/>
                <w:szCs w:val="21"/>
              </w:rPr>
            </w:pPr>
            <w:r>
              <w:rPr>
                <w:rFonts w:ascii="宋体" w:eastAsia="宋体" w:hAnsi="宋体" w:cs="宋体" w:hint="eastAsia"/>
                <w:bCs/>
                <w:snapToGrid w:val="0"/>
                <w:color w:val="000000"/>
                <w:sz w:val="21"/>
                <w:szCs w:val="21"/>
              </w:rPr>
              <w:t>3</w:t>
            </w:r>
          </w:p>
        </w:tc>
        <w:tc>
          <w:tcPr>
            <w:tcW w:w="2618" w:type="dxa"/>
            <w:gridSpan w:val="2"/>
            <w:vAlign w:val="center"/>
          </w:tcPr>
          <w:p w14:paraId="130D7101" w14:textId="77777777" w:rsidR="005A1A44" w:rsidRDefault="0008059E">
            <w:pPr>
              <w:adjustRightInd w:val="0"/>
              <w:snapToGrid w:val="0"/>
              <w:spacing w:line="240" w:lineRule="auto"/>
              <w:ind w:firstLineChars="0" w:firstLine="0"/>
              <w:jc w:val="center"/>
              <w:rPr>
                <w:rFonts w:ascii="宋体" w:eastAsia="宋体" w:hAnsi="宋体" w:cs="宋体" w:hint="eastAsia"/>
                <w:b/>
                <w:color w:val="000000"/>
                <w:kern w:val="0"/>
                <w:sz w:val="21"/>
                <w:szCs w:val="21"/>
              </w:rPr>
            </w:pPr>
            <w:r>
              <w:rPr>
                <w:rFonts w:ascii="宋体" w:eastAsia="宋体" w:hAnsi="宋体" w:cs="宋体" w:hint="eastAsia"/>
                <w:bCs/>
                <w:snapToGrid w:val="0"/>
                <w:color w:val="000000"/>
                <w:sz w:val="21"/>
                <w:szCs w:val="21"/>
              </w:rPr>
              <w:t>生态保护</w:t>
            </w:r>
          </w:p>
        </w:tc>
        <w:tc>
          <w:tcPr>
            <w:tcW w:w="1705" w:type="dxa"/>
            <w:vAlign w:val="center"/>
          </w:tcPr>
          <w:p w14:paraId="05B4E74B" w14:textId="77777777" w:rsidR="005A1A44" w:rsidRDefault="0008059E">
            <w:pPr>
              <w:adjustRightInd w:val="0"/>
              <w:snapToGrid w:val="0"/>
              <w:spacing w:line="240" w:lineRule="auto"/>
              <w:ind w:firstLineChars="0" w:firstLine="0"/>
              <w:jc w:val="center"/>
              <w:rPr>
                <w:rFonts w:ascii="宋体" w:eastAsia="宋体" w:hAnsi="宋体" w:cs="宋体" w:hint="eastAsia"/>
                <w:bCs/>
                <w:color w:val="000000"/>
                <w:kern w:val="0"/>
                <w:sz w:val="21"/>
                <w:szCs w:val="21"/>
              </w:rPr>
            </w:pPr>
            <w:r>
              <w:rPr>
                <w:rFonts w:ascii="宋体" w:eastAsia="宋体" w:hAnsi="宋体" w:cs="宋体" w:hint="eastAsia"/>
                <w:bCs/>
                <w:snapToGrid w:val="0"/>
                <w:color w:val="000000"/>
                <w:sz w:val="21"/>
                <w:szCs w:val="21"/>
              </w:rPr>
              <w:t>21</w:t>
            </w:r>
          </w:p>
        </w:tc>
        <w:tc>
          <w:tcPr>
            <w:tcW w:w="3218" w:type="dxa"/>
            <w:vAlign w:val="center"/>
          </w:tcPr>
          <w:p w14:paraId="0819D701" w14:textId="77777777" w:rsidR="005A1A44" w:rsidRDefault="0008059E">
            <w:pPr>
              <w:adjustRightInd w:val="0"/>
              <w:snapToGrid w:val="0"/>
              <w:spacing w:line="240" w:lineRule="auto"/>
              <w:ind w:firstLineChars="0" w:firstLine="0"/>
              <w:jc w:val="center"/>
              <w:rPr>
                <w:rFonts w:ascii="宋体" w:eastAsia="宋体" w:hAnsi="宋体" w:cs="宋体" w:hint="eastAsia"/>
                <w:b/>
                <w:color w:val="000000"/>
                <w:kern w:val="0"/>
                <w:sz w:val="21"/>
                <w:szCs w:val="21"/>
              </w:rPr>
            </w:pPr>
            <w:r>
              <w:rPr>
                <w:rFonts w:ascii="宋体" w:eastAsia="宋体" w:hAnsi="宋体" w:cs="宋体" w:hint="eastAsia"/>
                <w:bCs/>
                <w:snapToGrid w:val="0"/>
                <w:color w:val="000000"/>
                <w:sz w:val="21"/>
                <w:szCs w:val="21"/>
              </w:rPr>
              <w:t>绿化养护</w:t>
            </w:r>
          </w:p>
        </w:tc>
        <w:tc>
          <w:tcPr>
            <w:tcW w:w="1118" w:type="dxa"/>
            <w:vMerge/>
            <w:vAlign w:val="center"/>
          </w:tcPr>
          <w:p w14:paraId="625A0206" w14:textId="77777777" w:rsidR="005A1A44" w:rsidRDefault="005A1A44">
            <w:pPr>
              <w:adjustRightInd w:val="0"/>
              <w:snapToGrid w:val="0"/>
              <w:spacing w:line="240" w:lineRule="auto"/>
              <w:ind w:firstLineChars="0" w:firstLine="0"/>
              <w:jc w:val="center"/>
              <w:rPr>
                <w:rFonts w:ascii="宋体" w:eastAsia="宋体" w:hAnsi="宋体" w:cs="宋体" w:hint="eastAsia"/>
                <w:b/>
                <w:color w:val="000000"/>
                <w:kern w:val="0"/>
                <w:sz w:val="21"/>
                <w:szCs w:val="21"/>
              </w:rPr>
            </w:pPr>
          </w:p>
        </w:tc>
      </w:tr>
      <w:tr w:rsidR="005A1A44" w14:paraId="23267E83" w14:textId="77777777">
        <w:trPr>
          <w:trHeight w:val="90"/>
          <w:jc w:val="center"/>
        </w:trPr>
        <w:tc>
          <w:tcPr>
            <w:tcW w:w="669" w:type="dxa"/>
            <w:vAlign w:val="center"/>
          </w:tcPr>
          <w:p w14:paraId="280A5171"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4</w:t>
            </w:r>
          </w:p>
        </w:tc>
        <w:tc>
          <w:tcPr>
            <w:tcW w:w="2618" w:type="dxa"/>
            <w:gridSpan w:val="2"/>
            <w:vAlign w:val="center"/>
          </w:tcPr>
          <w:p w14:paraId="2EE31F7D"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环境管理</w:t>
            </w:r>
          </w:p>
        </w:tc>
        <w:tc>
          <w:tcPr>
            <w:tcW w:w="1705" w:type="dxa"/>
            <w:vAlign w:val="center"/>
          </w:tcPr>
          <w:p w14:paraId="5A3BC42B"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10</w:t>
            </w:r>
          </w:p>
        </w:tc>
        <w:tc>
          <w:tcPr>
            <w:tcW w:w="3218" w:type="dxa"/>
            <w:vAlign w:val="center"/>
          </w:tcPr>
          <w:p w14:paraId="41E18395"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设计、施工、运营</w:t>
            </w:r>
          </w:p>
        </w:tc>
        <w:tc>
          <w:tcPr>
            <w:tcW w:w="1118" w:type="dxa"/>
            <w:vMerge/>
            <w:vAlign w:val="center"/>
          </w:tcPr>
          <w:p w14:paraId="0381BC6E" w14:textId="77777777" w:rsidR="005A1A44" w:rsidRDefault="005A1A44">
            <w:pPr>
              <w:adjustRightInd w:val="0"/>
              <w:snapToGrid w:val="0"/>
              <w:spacing w:line="240" w:lineRule="auto"/>
              <w:ind w:firstLineChars="0" w:firstLine="0"/>
              <w:jc w:val="center"/>
              <w:rPr>
                <w:rFonts w:ascii="宋体" w:eastAsia="宋体" w:hAnsi="宋体" w:cs="宋体" w:hint="eastAsia"/>
                <w:b/>
                <w:color w:val="000000"/>
                <w:kern w:val="0"/>
                <w:sz w:val="21"/>
                <w:szCs w:val="21"/>
              </w:rPr>
            </w:pPr>
          </w:p>
        </w:tc>
      </w:tr>
      <w:tr w:rsidR="005A1A44" w14:paraId="7662DC83" w14:textId="77777777">
        <w:trPr>
          <w:trHeight w:val="284"/>
          <w:jc w:val="center"/>
        </w:trPr>
        <w:tc>
          <w:tcPr>
            <w:tcW w:w="669" w:type="dxa"/>
            <w:vAlign w:val="center"/>
          </w:tcPr>
          <w:p w14:paraId="16D0240F" w14:textId="77777777" w:rsidR="005A1A44" w:rsidRDefault="0008059E">
            <w:pPr>
              <w:adjustRightInd w:val="0"/>
              <w:snapToGrid w:val="0"/>
              <w:spacing w:line="240" w:lineRule="auto"/>
              <w:ind w:firstLineChars="0" w:firstLine="0"/>
              <w:jc w:val="center"/>
              <w:rPr>
                <w:rFonts w:ascii="宋体" w:eastAsia="宋体" w:hAnsi="宋体" w:cs="宋体" w:hint="eastAsia"/>
                <w:b/>
                <w:color w:val="000000"/>
                <w:kern w:val="0"/>
                <w:sz w:val="21"/>
                <w:szCs w:val="21"/>
              </w:rPr>
            </w:pPr>
            <w:r>
              <w:rPr>
                <w:rFonts w:ascii="宋体" w:eastAsia="宋体" w:hAnsi="宋体" w:cs="宋体" w:hint="eastAsia"/>
                <w:bCs/>
                <w:snapToGrid w:val="0"/>
                <w:color w:val="000000"/>
                <w:sz w:val="21"/>
                <w:szCs w:val="21"/>
              </w:rPr>
              <w:t>5</w:t>
            </w:r>
          </w:p>
        </w:tc>
        <w:tc>
          <w:tcPr>
            <w:tcW w:w="2618" w:type="dxa"/>
            <w:gridSpan w:val="2"/>
            <w:vAlign w:val="center"/>
          </w:tcPr>
          <w:p w14:paraId="4A041D54" w14:textId="77777777" w:rsidR="005A1A44" w:rsidRDefault="0008059E">
            <w:pPr>
              <w:adjustRightInd w:val="0"/>
              <w:snapToGrid w:val="0"/>
              <w:spacing w:line="240" w:lineRule="auto"/>
              <w:ind w:firstLineChars="0" w:firstLine="0"/>
              <w:jc w:val="center"/>
              <w:rPr>
                <w:rFonts w:ascii="宋体" w:eastAsia="宋体" w:hAnsi="宋体" w:cs="宋体" w:hint="eastAsia"/>
                <w:b/>
                <w:color w:val="000000"/>
                <w:kern w:val="0"/>
                <w:sz w:val="21"/>
                <w:szCs w:val="21"/>
              </w:rPr>
            </w:pPr>
            <w:r>
              <w:rPr>
                <w:rFonts w:ascii="宋体" w:eastAsia="宋体" w:hAnsi="宋体" w:cs="宋体" w:hint="eastAsia"/>
                <w:bCs/>
                <w:snapToGrid w:val="0"/>
                <w:color w:val="000000"/>
                <w:sz w:val="21"/>
                <w:szCs w:val="21"/>
              </w:rPr>
              <w:t>环境监测</w:t>
            </w:r>
          </w:p>
        </w:tc>
        <w:tc>
          <w:tcPr>
            <w:tcW w:w="1705" w:type="dxa"/>
            <w:vAlign w:val="center"/>
          </w:tcPr>
          <w:p w14:paraId="1AE5FD1B" w14:textId="77777777" w:rsidR="005A1A44" w:rsidRDefault="0008059E">
            <w:pPr>
              <w:adjustRightInd w:val="0"/>
              <w:snapToGrid w:val="0"/>
              <w:spacing w:line="240" w:lineRule="auto"/>
              <w:ind w:firstLineChars="0" w:firstLine="0"/>
              <w:jc w:val="center"/>
              <w:rPr>
                <w:rFonts w:ascii="宋体" w:eastAsia="宋体" w:hAnsi="宋体" w:cs="宋体" w:hint="eastAsia"/>
                <w:bCs/>
                <w:color w:val="000000"/>
                <w:kern w:val="0"/>
                <w:sz w:val="21"/>
                <w:szCs w:val="21"/>
              </w:rPr>
            </w:pPr>
            <w:r>
              <w:rPr>
                <w:rFonts w:ascii="宋体" w:eastAsia="宋体" w:hAnsi="宋体" w:cs="宋体" w:hint="eastAsia"/>
                <w:bCs/>
                <w:snapToGrid w:val="0"/>
                <w:color w:val="000000"/>
                <w:sz w:val="21"/>
                <w:szCs w:val="21"/>
              </w:rPr>
              <w:t>15</w:t>
            </w:r>
          </w:p>
        </w:tc>
        <w:tc>
          <w:tcPr>
            <w:tcW w:w="3218" w:type="dxa"/>
            <w:vAlign w:val="center"/>
          </w:tcPr>
          <w:p w14:paraId="042BA345" w14:textId="77777777" w:rsidR="005A1A44" w:rsidRDefault="0008059E">
            <w:pPr>
              <w:adjustRightInd w:val="0"/>
              <w:snapToGrid w:val="0"/>
              <w:spacing w:line="240" w:lineRule="auto"/>
              <w:ind w:firstLineChars="0" w:firstLine="0"/>
              <w:jc w:val="center"/>
              <w:rPr>
                <w:rFonts w:ascii="宋体" w:eastAsia="宋体" w:hAnsi="宋体" w:cs="宋体" w:hint="eastAsia"/>
                <w:b/>
                <w:color w:val="000000"/>
                <w:kern w:val="0"/>
                <w:sz w:val="21"/>
                <w:szCs w:val="21"/>
              </w:rPr>
            </w:pPr>
            <w:r>
              <w:rPr>
                <w:rFonts w:ascii="宋体" w:eastAsia="宋体" w:hAnsi="宋体" w:cs="宋体" w:hint="eastAsia"/>
                <w:bCs/>
                <w:snapToGrid w:val="0"/>
                <w:color w:val="000000"/>
                <w:sz w:val="21"/>
                <w:szCs w:val="21"/>
              </w:rPr>
              <w:t>——</w:t>
            </w:r>
          </w:p>
        </w:tc>
        <w:tc>
          <w:tcPr>
            <w:tcW w:w="1118" w:type="dxa"/>
            <w:vMerge/>
            <w:vAlign w:val="center"/>
          </w:tcPr>
          <w:p w14:paraId="192332DC" w14:textId="77777777" w:rsidR="005A1A44" w:rsidRDefault="005A1A44">
            <w:pPr>
              <w:adjustRightInd w:val="0"/>
              <w:snapToGrid w:val="0"/>
              <w:spacing w:line="240" w:lineRule="auto"/>
              <w:ind w:firstLineChars="0" w:firstLine="0"/>
              <w:jc w:val="center"/>
              <w:rPr>
                <w:rFonts w:ascii="宋体" w:eastAsia="宋体" w:hAnsi="宋体" w:cs="宋体" w:hint="eastAsia"/>
                <w:b/>
                <w:color w:val="000000"/>
                <w:kern w:val="0"/>
                <w:sz w:val="21"/>
                <w:szCs w:val="21"/>
              </w:rPr>
            </w:pPr>
          </w:p>
        </w:tc>
      </w:tr>
      <w:tr w:rsidR="005A1A44" w14:paraId="622EE53F" w14:textId="77777777">
        <w:trPr>
          <w:trHeight w:val="284"/>
          <w:jc w:val="center"/>
        </w:trPr>
        <w:tc>
          <w:tcPr>
            <w:tcW w:w="669" w:type="dxa"/>
            <w:vAlign w:val="center"/>
          </w:tcPr>
          <w:p w14:paraId="49B28F71" w14:textId="77777777" w:rsidR="005A1A44" w:rsidRDefault="0008059E">
            <w:pPr>
              <w:adjustRightInd w:val="0"/>
              <w:snapToGrid w:val="0"/>
              <w:spacing w:line="240" w:lineRule="auto"/>
              <w:ind w:firstLineChars="0" w:firstLine="0"/>
              <w:jc w:val="center"/>
              <w:rPr>
                <w:rFonts w:ascii="宋体" w:eastAsia="宋体" w:hAnsi="宋体" w:cs="宋体" w:hint="eastAsia"/>
                <w:b/>
                <w:color w:val="000000"/>
                <w:kern w:val="0"/>
                <w:sz w:val="21"/>
                <w:szCs w:val="21"/>
              </w:rPr>
            </w:pPr>
            <w:r>
              <w:rPr>
                <w:rFonts w:ascii="宋体" w:eastAsia="宋体" w:hAnsi="宋体" w:cs="宋体" w:hint="eastAsia"/>
                <w:bCs/>
                <w:snapToGrid w:val="0"/>
                <w:color w:val="000000"/>
                <w:sz w:val="21"/>
                <w:szCs w:val="21"/>
              </w:rPr>
              <w:t>6</w:t>
            </w:r>
          </w:p>
        </w:tc>
        <w:tc>
          <w:tcPr>
            <w:tcW w:w="2618" w:type="dxa"/>
            <w:gridSpan w:val="2"/>
            <w:vAlign w:val="center"/>
          </w:tcPr>
          <w:p w14:paraId="6235B3A5" w14:textId="77777777" w:rsidR="005A1A44" w:rsidRDefault="0008059E">
            <w:pPr>
              <w:adjustRightInd w:val="0"/>
              <w:snapToGrid w:val="0"/>
              <w:spacing w:line="240" w:lineRule="auto"/>
              <w:ind w:firstLineChars="0" w:firstLine="0"/>
              <w:jc w:val="center"/>
              <w:rPr>
                <w:rFonts w:ascii="宋体" w:eastAsia="宋体" w:hAnsi="宋体" w:cs="宋体" w:hint="eastAsia"/>
                <w:b/>
                <w:color w:val="000000"/>
                <w:kern w:val="0"/>
                <w:sz w:val="21"/>
                <w:szCs w:val="21"/>
              </w:rPr>
            </w:pPr>
            <w:r>
              <w:rPr>
                <w:rFonts w:ascii="宋体" w:eastAsia="宋体" w:hAnsi="宋体" w:cs="宋体" w:hint="eastAsia"/>
                <w:bCs/>
                <w:snapToGrid w:val="0"/>
                <w:color w:val="000000"/>
                <w:sz w:val="21"/>
                <w:szCs w:val="21"/>
              </w:rPr>
              <w:t>环保总投资</w:t>
            </w:r>
          </w:p>
        </w:tc>
        <w:tc>
          <w:tcPr>
            <w:tcW w:w="1705" w:type="dxa"/>
            <w:vAlign w:val="center"/>
          </w:tcPr>
          <w:p w14:paraId="4139B9BA"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308.76</w:t>
            </w:r>
          </w:p>
        </w:tc>
        <w:tc>
          <w:tcPr>
            <w:tcW w:w="3218" w:type="dxa"/>
            <w:vAlign w:val="center"/>
          </w:tcPr>
          <w:p w14:paraId="5E96E6EA" w14:textId="77777777" w:rsidR="005A1A44" w:rsidRDefault="005A1A44">
            <w:pPr>
              <w:adjustRightInd w:val="0"/>
              <w:snapToGrid w:val="0"/>
              <w:spacing w:line="240" w:lineRule="auto"/>
              <w:ind w:firstLineChars="0" w:firstLine="0"/>
              <w:jc w:val="center"/>
              <w:rPr>
                <w:rFonts w:ascii="宋体" w:eastAsia="宋体" w:hAnsi="宋体" w:cs="宋体" w:hint="eastAsia"/>
                <w:b/>
                <w:color w:val="000000"/>
                <w:kern w:val="0"/>
                <w:sz w:val="21"/>
                <w:szCs w:val="21"/>
              </w:rPr>
            </w:pPr>
          </w:p>
        </w:tc>
        <w:tc>
          <w:tcPr>
            <w:tcW w:w="1118" w:type="dxa"/>
            <w:vMerge/>
            <w:vAlign w:val="center"/>
          </w:tcPr>
          <w:p w14:paraId="5E2590BF" w14:textId="77777777" w:rsidR="005A1A44" w:rsidRDefault="005A1A44">
            <w:pPr>
              <w:adjustRightInd w:val="0"/>
              <w:snapToGrid w:val="0"/>
              <w:spacing w:line="240" w:lineRule="auto"/>
              <w:ind w:firstLineChars="0" w:firstLine="0"/>
              <w:jc w:val="center"/>
              <w:rPr>
                <w:rFonts w:ascii="宋体" w:eastAsia="宋体" w:hAnsi="宋体" w:cs="宋体" w:hint="eastAsia"/>
                <w:b/>
                <w:color w:val="000000"/>
                <w:kern w:val="0"/>
                <w:sz w:val="21"/>
                <w:szCs w:val="21"/>
              </w:rPr>
            </w:pPr>
          </w:p>
        </w:tc>
      </w:tr>
      <w:tr w:rsidR="005A1A44" w14:paraId="595688AD" w14:textId="77777777">
        <w:trPr>
          <w:trHeight w:val="284"/>
          <w:jc w:val="center"/>
        </w:trPr>
        <w:tc>
          <w:tcPr>
            <w:tcW w:w="669" w:type="dxa"/>
            <w:vAlign w:val="center"/>
          </w:tcPr>
          <w:p w14:paraId="3C1D9760"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7</w:t>
            </w:r>
          </w:p>
        </w:tc>
        <w:tc>
          <w:tcPr>
            <w:tcW w:w="2618" w:type="dxa"/>
            <w:gridSpan w:val="2"/>
            <w:vAlign w:val="center"/>
          </w:tcPr>
          <w:p w14:paraId="56451085"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项目总投资</w:t>
            </w:r>
          </w:p>
        </w:tc>
        <w:tc>
          <w:tcPr>
            <w:tcW w:w="1705" w:type="dxa"/>
            <w:vAlign w:val="center"/>
          </w:tcPr>
          <w:p w14:paraId="3297A592"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300000</w:t>
            </w:r>
          </w:p>
        </w:tc>
        <w:tc>
          <w:tcPr>
            <w:tcW w:w="3218" w:type="dxa"/>
            <w:vAlign w:val="center"/>
          </w:tcPr>
          <w:p w14:paraId="7EB7910D" w14:textId="77777777" w:rsidR="005A1A44" w:rsidRDefault="005A1A44">
            <w:pPr>
              <w:adjustRightInd w:val="0"/>
              <w:snapToGrid w:val="0"/>
              <w:spacing w:line="240" w:lineRule="auto"/>
              <w:ind w:firstLineChars="0" w:firstLine="0"/>
              <w:jc w:val="center"/>
              <w:rPr>
                <w:rFonts w:ascii="宋体" w:eastAsia="宋体" w:hAnsi="宋体" w:cs="宋体" w:hint="eastAsia"/>
                <w:b/>
                <w:color w:val="000000"/>
                <w:kern w:val="0"/>
                <w:sz w:val="21"/>
                <w:szCs w:val="21"/>
              </w:rPr>
            </w:pPr>
          </w:p>
        </w:tc>
        <w:tc>
          <w:tcPr>
            <w:tcW w:w="1118" w:type="dxa"/>
            <w:vMerge/>
            <w:vAlign w:val="center"/>
          </w:tcPr>
          <w:p w14:paraId="634496B5" w14:textId="77777777" w:rsidR="005A1A44" w:rsidRDefault="005A1A44">
            <w:pPr>
              <w:adjustRightInd w:val="0"/>
              <w:snapToGrid w:val="0"/>
              <w:spacing w:line="240" w:lineRule="auto"/>
              <w:ind w:firstLineChars="0" w:firstLine="0"/>
              <w:jc w:val="center"/>
              <w:rPr>
                <w:rFonts w:ascii="宋体" w:eastAsia="宋体" w:hAnsi="宋体" w:cs="宋体" w:hint="eastAsia"/>
                <w:b/>
                <w:color w:val="000000"/>
                <w:kern w:val="0"/>
                <w:sz w:val="21"/>
                <w:szCs w:val="21"/>
              </w:rPr>
            </w:pPr>
          </w:p>
        </w:tc>
      </w:tr>
      <w:tr w:rsidR="005A1A44" w14:paraId="06E3594F" w14:textId="77777777">
        <w:trPr>
          <w:trHeight w:val="284"/>
          <w:jc w:val="center"/>
        </w:trPr>
        <w:tc>
          <w:tcPr>
            <w:tcW w:w="669" w:type="dxa"/>
            <w:vAlign w:val="center"/>
          </w:tcPr>
          <w:p w14:paraId="67C63667"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8</w:t>
            </w:r>
          </w:p>
        </w:tc>
        <w:tc>
          <w:tcPr>
            <w:tcW w:w="2618" w:type="dxa"/>
            <w:gridSpan w:val="2"/>
            <w:vAlign w:val="center"/>
          </w:tcPr>
          <w:p w14:paraId="3A21FA4A"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环保投资占总投资的比例</w:t>
            </w:r>
          </w:p>
        </w:tc>
        <w:tc>
          <w:tcPr>
            <w:tcW w:w="1705" w:type="dxa"/>
            <w:vAlign w:val="center"/>
          </w:tcPr>
          <w:p w14:paraId="448BBFCD" w14:textId="77777777" w:rsidR="005A1A44" w:rsidRDefault="0008059E">
            <w:pPr>
              <w:adjustRightInd w:val="0"/>
              <w:snapToGrid w:val="0"/>
              <w:spacing w:line="240" w:lineRule="auto"/>
              <w:ind w:firstLineChars="0" w:firstLine="0"/>
              <w:jc w:val="center"/>
              <w:rPr>
                <w:rFonts w:ascii="宋体" w:eastAsia="宋体" w:hAnsi="宋体" w:cs="宋体" w:hint="eastAsia"/>
                <w:bCs/>
                <w:snapToGrid w:val="0"/>
                <w:color w:val="000000"/>
                <w:sz w:val="21"/>
                <w:szCs w:val="21"/>
              </w:rPr>
            </w:pPr>
            <w:r>
              <w:rPr>
                <w:rFonts w:ascii="宋体" w:eastAsia="宋体" w:hAnsi="宋体" w:cs="宋体" w:hint="eastAsia"/>
                <w:bCs/>
                <w:snapToGrid w:val="0"/>
                <w:color w:val="000000"/>
                <w:sz w:val="21"/>
                <w:szCs w:val="21"/>
              </w:rPr>
              <w:t>0.11%</w:t>
            </w:r>
          </w:p>
        </w:tc>
        <w:tc>
          <w:tcPr>
            <w:tcW w:w="3218" w:type="dxa"/>
            <w:vAlign w:val="center"/>
          </w:tcPr>
          <w:p w14:paraId="4049E9EC" w14:textId="77777777" w:rsidR="005A1A44" w:rsidRDefault="005A1A44">
            <w:pPr>
              <w:adjustRightInd w:val="0"/>
              <w:snapToGrid w:val="0"/>
              <w:spacing w:line="240" w:lineRule="auto"/>
              <w:ind w:firstLineChars="0" w:firstLine="0"/>
              <w:jc w:val="center"/>
              <w:rPr>
                <w:rFonts w:ascii="宋体" w:eastAsia="宋体" w:hAnsi="宋体" w:cs="宋体" w:hint="eastAsia"/>
                <w:b/>
                <w:color w:val="000000"/>
                <w:kern w:val="0"/>
                <w:sz w:val="21"/>
                <w:szCs w:val="21"/>
              </w:rPr>
            </w:pPr>
          </w:p>
        </w:tc>
        <w:tc>
          <w:tcPr>
            <w:tcW w:w="1118" w:type="dxa"/>
            <w:vMerge/>
            <w:vAlign w:val="center"/>
          </w:tcPr>
          <w:p w14:paraId="6E9FE364" w14:textId="77777777" w:rsidR="005A1A44" w:rsidRDefault="005A1A44">
            <w:pPr>
              <w:adjustRightInd w:val="0"/>
              <w:snapToGrid w:val="0"/>
              <w:spacing w:line="240" w:lineRule="auto"/>
              <w:ind w:firstLineChars="0" w:firstLine="0"/>
              <w:jc w:val="center"/>
              <w:rPr>
                <w:rFonts w:ascii="宋体" w:eastAsia="宋体" w:hAnsi="宋体" w:cs="宋体" w:hint="eastAsia"/>
                <w:b/>
                <w:color w:val="000000"/>
                <w:kern w:val="0"/>
                <w:sz w:val="21"/>
                <w:szCs w:val="21"/>
              </w:rPr>
            </w:pPr>
          </w:p>
        </w:tc>
      </w:tr>
    </w:tbl>
    <w:p w14:paraId="5AE5E76A" w14:textId="77777777" w:rsidR="005A1A44" w:rsidRDefault="005A1A44">
      <w:pPr>
        <w:ind w:firstLine="480"/>
      </w:pPr>
    </w:p>
    <w:p w14:paraId="40EBC4CB" w14:textId="77777777" w:rsidR="005A1A44" w:rsidRDefault="005A1A44">
      <w:pPr>
        <w:ind w:firstLine="480"/>
        <w:jc w:val="left"/>
        <w:sectPr w:rsidR="005A1A44">
          <w:pgSz w:w="12240" w:h="15840"/>
          <w:pgMar w:top="1440" w:right="1803" w:bottom="1440" w:left="1803" w:header="720" w:footer="720" w:gutter="0"/>
          <w:cols w:space="0"/>
          <w:docGrid w:linePitch="312"/>
        </w:sectPr>
      </w:pPr>
    </w:p>
    <w:p w14:paraId="2FE9802E" w14:textId="77777777" w:rsidR="005A1A44" w:rsidRDefault="0008059E">
      <w:pPr>
        <w:pStyle w:val="1"/>
        <w:numPr>
          <w:ilvl w:val="0"/>
          <w:numId w:val="2"/>
        </w:numPr>
      </w:pPr>
      <w:bookmarkStart w:id="263" w:name="_Toc11711_WPSOffice_Level1"/>
      <w:bookmarkStart w:id="264" w:name="_Toc13048_WPSOffice_Level1"/>
      <w:bookmarkStart w:id="265" w:name="_Toc4882_WPSOffice_Level1"/>
      <w:r>
        <w:rPr>
          <w:rFonts w:hint="eastAsia"/>
        </w:rPr>
        <w:lastRenderedPageBreak/>
        <w:t xml:space="preserve"> </w:t>
      </w:r>
      <w:bookmarkStart w:id="266" w:name="_Toc16460_WPSOffice_Level1"/>
      <w:r>
        <w:rPr>
          <w:rFonts w:hint="eastAsia"/>
        </w:rPr>
        <w:t>环境影响经济损益分析</w:t>
      </w:r>
      <w:bookmarkEnd w:id="263"/>
      <w:bookmarkEnd w:id="264"/>
      <w:bookmarkEnd w:id="265"/>
      <w:bookmarkEnd w:id="266"/>
    </w:p>
    <w:p w14:paraId="2BE735C9" w14:textId="77777777" w:rsidR="005A1A44" w:rsidRDefault="0008059E">
      <w:pPr>
        <w:ind w:firstLine="480"/>
      </w:pPr>
      <w:r>
        <w:rPr>
          <w:rFonts w:hint="eastAsia"/>
        </w:rPr>
        <w:t>环境影响经济损益分析是针对项目的性质和当地的实际情况，确定环境影响因子，从而对项目环境影响范围内的环境影响总体作出经济评价，分析项目的社会、经济和环境损益，评价建设项目环境保护投资的合理性以及环境保护投资的效益，促进项目建设的社会、经济及环境效益的协调统一和可持续发展。</w:t>
      </w:r>
    </w:p>
    <w:p w14:paraId="60072806" w14:textId="77777777" w:rsidR="005A1A44" w:rsidRDefault="0008059E">
      <w:pPr>
        <w:pStyle w:val="2"/>
        <w:numPr>
          <w:ilvl w:val="1"/>
          <w:numId w:val="2"/>
        </w:numPr>
      </w:pPr>
      <w:bookmarkStart w:id="267" w:name="_Toc1448_WPSOffice_Level2"/>
      <w:bookmarkStart w:id="268" w:name="_Toc6942_WPSOffice_Level2"/>
      <w:r>
        <w:rPr>
          <w:rFonts w:hint="eastAsia"/>
        </w:rPr>
        <w:t xml:space="preserve"> </w:t>
      </w:r>
      <w:bookmarkStart w:id="269" w:name="_Toc15563_WPSOffice_Level2"/>
      <w:r>
        <w:rPr>
          <w:rFonts w:hint="eastAsia"/>
        </w:rPr>
        <w:t>环境影响损益分析</w:t>
      </w:r>
      <w:bookmarkEnd w:id="267"/>
      <w:bookmarkEnd w:id="268"/>
      <w:bookmarkEnd w:id="269"/>
    </w:p>
    <w:p w14:paraId="0D975D60" w14:textId="77777777" w:rsidR="005A1A44" w:rsidRDefault="0008059E">
      <w:pPr>
        <w:ind w:firstLine="480"/>
      </w:pPr>
      <w:r>
        <w:rPr>
          <w:rFonts w:hint="eastAsia"/>
        </w:rPr>
        <w:t>本项目属于非污染生态类项目，是实现河道防洪功能，改善水环境质量的工程，在改善区域水生态环境方面具有较好的环境效益。</w:t>
      </w:r>
    </w:p>
    <w:p w14:paraId="02E5F4A2" w14:textId="77777777" w:rsidR="005A1A44" w:rsidRDefault="0008059E">
      <w:pPr>
        <w:ind w:firstLine="480"/>
      </w:pPr>
      <w:r>
        <w:rPr>
          <w:rFonts w:hint="eastAsia"/>
        </w:rPr>
        <w:t>本项目的实施将改变河道周边脏、乱、差的现状，取而代之的将是逐渐恢复的河流生态系统以及河岸边的景观绿地。群众的生产条件和居住环境得到明显改善</w:t>
      </w:r>
      <w:r>
        <w:rPr>
          <w:rFonts w:hint="eastAsia"/>
        </w:rPr>
        <w:t xml:space="preserve"> </w:t>
      </w:r>
      <w:r>
        <w:rPr>
          <w:rFonts w:hint="eastAsia"/>
        </w:rPr>
        <w:t>玉龙喀什河水环境质量，具有十分明显的环境效益。</w:t>
      </w:r>
    </w:p>
    <w:p w14:paraId="4AE6ACA3" w14:textId="77777777" w:rsidR="005A1A44" w:rsidRDefault="0008059E">
      <w:pPr>
        <w:ind w:firstLine="480"/>
      </w:pPr>
      <w:r>
        <w:rPr>
          <w:rFonts w:hint="eastAsia"/>
        </w:rPr>
        <w:t>经恢复后的河流生态系统可提供净化环境、调节小气候、休闲娱乐等生态服务功能。而河道两岸形成城市绿地，更是可提供释放</w:t>
      </w:r>
      <w:r>
        <w:rPr>
          <w:rFonts w:hint="eastAsia"/>
        </w:rPr>
        <w:t>O</w:t>
      </w:r>
      <w:r>
        <w:rPr>
          <w:rFonts w:hint="eastAsia"/>
          <w:vertAlign w:val="subscript"/>
        </w:rPr>
        <w:t>2</w:t>
      </w:r>
      <w:r>
        <w:rPr>
          <w:rFonts w:hint="eastAsia"/>
        </w:rPr>
        <w:t>、减少风蚀、控制水土流失、调节温度、涵养水源等诸多生态服务功能。沿河道两岸进行景观绿化，特色景观工程等必将极大丰富园区的景观多样性。因此，本项目将带来一定的环境效益。</w:t>
      </w:r>
    </w:p>
    <w:p w14:paraId="0E79D57E" w14:textId="77777777" w:rsidR="005A1A44" w:rsidRDefault="0008059E">
      <w:pPr>
        <w:pStyle w:val="2"/>
        <w:numPr>
          <w:ilvl w:val="1"/>
          <w:numId w:val="2"/>
        </w:numPr>
      </w:pPr>
      <w:bookmarkStart w:id="270" w:name="_Toc821_WPSOffice_Level2"/>
      <w:bookmarkStart w:id="271" w:name="_Toc16725_WPSOffice_Level2"/>
      <w:r>
        <w:rPr>
          <w:rFonts w:hint="eastAsia"/>
        </w:rPr>
        <w:t xml:space="preserve"> </w:t>
      </w:r>
      <w:bookmarkStart w:id="272" w:name="_Toc25807_WPSOffice_Level2"/>
      <w:r>
        <w:rPr>
          <w:rFonts w:hint="eastAsia"/>
        </w:rPr>
        <w:t>社会效益分析</w:t>
      </w:r>
      <w:bookmarkEnd w:id="270"/>
      <w:bookmarkEnd w:id="271"/>
      <w:bookmarkEnd w:id="272"/>
    </w:p>
    <w:p w14:paraId="72FFF8F2" w14:textId="77777777" w:rsidR="005A1A44" w:rsidRDefault="0008059E">
      <w:pPr>
        <w:pStyle w:val="3"/>
        <w:numPr>
          <w:ilvl w:val="2"/>
          <w:numId w:val="2"/>
        </w:numPr>
      </w:pPr>
      <w:r>
        <w:rPr>
          <w:rFonts w:hint="eastAsia"/>
        </w:rPr>
        <w:t xml:space="preserve"> </w:t>
      </w:r>
      <w:r>
        <w:rPr>
          <w:rFonts w:hint="eastAsia"/>
        </w:rPr>
        <w:t>社会影响评价</w:t>
      </w:r>
    </w:p>
    <w:p w14:paraId="60FE4244" w14:textId="77777777" w:rsidR="005A1A44" w:rsidRDefault="0008059E">
      <w:pPr>
        <w:ind w:firstLine="480"/>
      </w:pPr>
      <w:r>
        <w:rPr>
          <w:rFonts w:hint="eastAsia"/>
        </w:rPr>
        <w:t>（</w:t>
      </w:r>
      <w:r>
        <w:rPr>
          <w:rFonts w:hint="eastAsia"/>
        </w:rPr>
        <w:t>1</w:t>
      </w:r>
      <w:r>
        <w:rPr>
          <w:rFonts w:hint="eastAsia"/>
        </w:rPr>
        <w:t>）对当地居民收入的影响</w:t>
      </w:r>
    </w:p>
    <w:p w14:paraId="15410957" w14:textId="77777777" w:rsidR="005A1A44" w:rsidRDefault="0008059E">
      <w:pPr>
        <w:ind w:firstLine="480"/>
      </w:pPr>
      <w:r>
        <w:rPr>
          <w:rFonts w:hint="eastAsia"/>
        </w:rPr>
        <w:t>项目建设和运营的直接收入效应主要通过两个方面体现：一是项目基础设施投资运营时需雇佣本地劳动力，这一收入效应在项目投资建设周期和运营周期中通过</w:t>
      </w:r>
      <w:r>
        <w:rPr>
          <w:rFonts w:hint="eastAsia"/>
        </w:rPr>
        <w:lastRenderedPageBreak/>
        <w:t>劳动力成本体现出来。二是项目的建设完善了该地城市基本设施条件，增大了该区域招商引资的吸引力，通过在本地进行投资建设，为当地居民提供就业岗位而获得收入。因此，本项目对所在地居民收入的影响是积极的。</w:t>
      </w:r>
    </w:p>
    <w:p w14:paraId="7B1011E3" w14:textId="77777777" w:rsidR="005A1A44" w:rsidRDefault="0008059E">
      <w:pPr>
        <w:ind w:firstLine="480"/>
      </w:pPr>
      <w:r>
        <w:rPr>
          <w:rFonts w:hint="eastAsia"/>
        </w:rPr>
        <w:t>（</w:t>
      </w:r>
      <w:r>
        <w:rPr>
          <w:rFonts w:hint="eastAsia"/>
        </w:rPr>
        <w:t>2</w:t>
      </w:r>
      <w:r>
        <w:rPr>
          <w:rFonts w:hint="eastAsia"/>
        </w:rPr>
        <w:t>）对当地居民就业的影响</w:t>
      </w:r>
    </w:p>
    <w:p w14:paraId="328B3604" w14:textId="77777777" w:rsidR="005A1A44" w:rsidRDefault="0008059E">
      <w:pPr>
        <w:ind w:firstLine="480"/>
      </w:pPr>
      <w:r>
        <w:rPr>
          <w:rFonts w:hint="eastAsia"/>
        </w:rPr>
        <w:t>项目的建设，既能在项目建设过程中带来就业岗位，可以使区域布局更加合理，从而促进区域人口的集聚、服务行业的繁荣等。</w:t>
      </w:r>
    </w:p>
    <w:p w14:paraId="21A3F75E" w14:textId="77777777" w:rsidR="005A1A44" w:rsidRDefault="0008059E">
      <w:pPr>
        <w:ind w:firstLine="480"/>
      </w:pPr>
      <w:r>
        <w:rPr>
          <w:rFonts w:hint="eastAsia"/>
        </w:rPr>
        <w:t>（</w:t>
      </w:r>
      <w:r>
        <w:rPr>
          <w:rFonts w:hint="eastAsia"/>
        </w:rPr>
        <w:t>3</w:t>
      </w:r>
      <w:r>
        <w:rPr>
          <w:rFonts w:hint="eastAsia"/>
        </w:rPr>
        <w:t>）对当地基础设施和公共服务的影响</w:t>
      </w:r>
    </w:p>
    <w:p w14:paraId="2A55A8AB" w14:textId="77777777" w:rsidR="005A1A44" w:rsidRDefault="0008059E">
      <w:pPr>
        <w:ind w:firstLine="480"/>
      </w:pPr>
      <w:r>
        <w:rPr>
          <w:rFonts w:hint="eastAsia"/>
        </w:rPr>
        <w:t>项目施工及建成运营期，会改善本地基础设施和公共服务。只在短期内会暂时造成不便。</w:t>
      </w:r>
    </w:p>
    <w:p w14:paraId="33346198" w14:textId="77777777" w:rsidR="005A1A44" w:rsidRDefault="0008059E">
      <w:pPr>
        <w:ind w:firstLine="480"/>
      </w:pPr>
      <w:r>
        <w:rPr>
          <w:rFonts w:hint="eastAsia"/>
        </w:rPr>
        <w:t>（</w:t>
      </w:r>
      <w:r>
        <w:rPr>
          <w:rFonts w:hint="eastAsia"/>
        </w:rPr>
        <w:t>4</w:t>
      </w:r>
      <w:r>
        <w:rPr>
          <w:rFonts w:hint="eastAsia"/>
        </w:rPr>
        <w:t>）对当地人民群众生态意识的影响</w:t>
      </w:r>
    </w:p>
    <w:p w14:paraId="7B90C3E8" w14:textId="77777777" w:rsidR="005A1A44" w:rsidRDefault="0008059E">
      <w:pPr>
        <w:ind w:firstLine="480"/>
      </w:pPr>
      <w:r>
        <w:rPr>
          <w:rFonts w:hint="eastAsia"/>
        </w:rPr>
        <w:t>通过加强生态宣传教育，培养群众生态意识，让群众在环境综合整治中得到实惠，促使群众逐步形成更加符合生态理念的价值观念、思维模式、行为准则，树立起全面、协调、可持续的发展观。</w:t>
      </w:r>
    </w:p>
    <w:p w14:paraId="7BB88441" w14:textId="77777777" w:rsidR="005A1A44" w:rsidRDefault="0008059E">
      <w:pPr>
        <w:ind w:firstLine="480"/>
      </w:pPr>
      <w:r>
        <w:rPr>
          <w:rFonts w:hint="eastAsia"/>
        </w:rPr>
        <w:t>（</w:t>
      </w:r>
      <w:r>
        <w:rPr>
          <w:rFonts w:hint="eastAsia"/>
        </w:rPr>
        <w:t>5</w:t>
      </w:r>
      <w:r>
        <w:rPr>
          <w:rFonts w:hint="eastAsia"/>
        </w:rPr>
        <w:t>）对人民生活水平的影响</w:t>
      </w:r>
    </w:p>
    <w:p w14:paraId="70B69DE2" w14:textId="77777777" w:rsidR="005A1A44" w:rsidRDefault="0008059E">
      <w:pPr>
        <w:ind w:firstLine="480"/>
      </w:pPr>
      <w:r>
        <w:rPr>
          <w:rFonts w:hint="eastAsia"/>
        </w:rPr>
        <w:t>随着河流治理及生态修复基础设施的完善，项目的实施将显著提高区域内群众的生活水平和质量，打造山更绿、水更清、天更蓝的优美城市，为当地人民群众打造一个保障生产生活井然有序、健康安心的优良环境。本项目的生态效益、社会效益显著，对民族地区经济和社会的发展具有重要的意义，建议批准立项。</w:t>
      </w:r>
    </w:p>
    <w:p w14:paraId="28D3D313" w14:textId="77777777" w:rsidR="005A1A44" w:rsidRDefault="0008059E">
      <w:pPr>
        <w:pStyle w:val="2"/>
        <w:numPr>
          <w:ilvl w:val="1"/>
          <w:numId w:val="2"/>
        </w:numPr>
      </w:pPr>
      <w:bookmarkStart w:id="273" w:name="_Toc14448_WPSOffice_Level2"/>
      <w:bookmarkStart w:id="274" w:name="_Toc19661_WPSOffice_Level2"/>
      <w:r>
        <w:rPr>
          <w:rFonts w:hint="eastAsia"/>
        </w:rPr>
        <w:t xml:space="preserve"> </w:t>
      </w:r>
      <w:bookmarkStart w:id="275" w:name="_Toc23576_WPSOffice_Level2"/>
      <w:r>
        <w:rPr>
          <w:rFonts w:hint="eastAsia"/>
        </w:rPr>
        <w:t>生态环境效益分析</w:t>
      </w:r>
      <w:bookmarkEnd w:id="273"/>
      <w:bookmarkEnd w:id="274"/>
      <w:bookmarkEnd w:id="275"/>
    </w:p>
    <w:p w14:paraId="61555000" w14:textId="77777777" w:rsidR="005A1A44" w:rsidRDefault="0008059E">
      <w:pPr>
        <w:ind w:firstLine="480"/>
      </w:pPr>
      <w:r>
        <w:rPr>
          <w:rFonts w:hint="eastAsia"/>
        </w:rPr>
        <w:t>项目工程的建设将带来明显的生态环境效益。玉龙喀什河河道治理及两岸生态修复项目的生态效益主要包括：</w:t>
      </w:r>
    </w:p>
    <w:p w14:paraId="20EAF083" w14:textId="77777777" w:rsidR="005A1A44" w:rsidRDefault="0008059E">
      <w:pPr>
        <w:ind w:firstLine="480"/>
      </w:pPr>
      <w:r>
        <w:rPr>
          <w:rFonts w:hint="eastAsia"/>
        </w:rPr>
        <w:t>（</w:t>
      </w:r>
      <w:r>
        <w:rPr>
          <w:rFonts w:hint="eastAsia"/>
        </w:rPr>
        <w:t>1</w:t>
      </w:r>
      <w:r>
        <w:rPr>
          <w:rFonts w:hint="eastAsia"/>
        </w:rPr>
        <w:t>）保护动植物资源，为水生动植物提供优良的生境，维护物种多样性和生态系统的平衡；</w:t>
      </w:r>
    </w:p>
    <w:p w14:paraId="70198344" w14:textId="77777777" w:rsidR="005A1A44" w:rsidRDefault="0008059E">
      <w:pPr>
        <w:ind w:firstLine="480"/>
      </w:pPr>
      <w:r>
        <w:rPr>
          <w:rFonts w:hint="eastAsia"/>
        </w:rPr>
        <w:t>（</w:t>
      </w:r>
      <w:r>
        <w:rPr>
          <w:rFonts w:hint="eastAsia"/>
        </w:rPr>
        <w:t>2</w:t>
      </w:r>
      <w:r>
        <w:rPr>
          <w:rFonts w:hint="eastAsia"/>
        </w:rPr>
        <w:t>）调节区域小气候，水体配合树木可以增加空气湿度，有效缓解城市热岛效应；</w:t>
      </w:r>
    </w:p>
    <w:p w14:paraId="1DCDB1F4" w14:textId="77777777" w:rsidR="005A1A44" w:rsidRDefault="0008059E">
      <w:pPr>
        <w:ind w:firstLine="480"/>
      </w:pPr>
      <w:r>
        <w:rPr>
          <w:rFonts w:hint="eastAsia"/>
        </w:rPr>
        <w:t>（</w:t>
      </w:r>
      <w:r>
        <w:rPr>
          <w:rFonts w:hint="eastAsia"/>
        </w:rPr>
        <w:t>3</w:t>
      </w:r>
      <w:r>
        <w:rPr>
          <w:rFonts w:hint="eastAsia"/>
        </w:rPr>
        <w:t>）净化空气，控制噪声。大量的植物绿化能够吸收空气中的二氧化碳，制</w:t>
      </w:r>
      <w:r>
        <w:rPr>
          <w:rFonts w:hint="eastAsia"/>
        </w:rPr>
        <w:lastRenderedPageBreak/>
        <w:t>造氧气，净化空气，改善空气质量，还可以控制噪声，减少放射性污染；</w:t>
      </w:r>
    </w:p>
    <w:p w14:paraId="7730A6FE" w14:textId="77777777" w:rsidR="005A1A44" w:rsidRDefault="0008059E">
      <w:pPr>
        <w:ind w:firstLine="480"/>
      </w:pPr>
      <w:r>
        <w:rPr>
          <w:rFonts w:hint="eastAsia"/>
        </w:rPr>
        <w:t>（</w:t>
      </w:r>
      <w:r>
        <w:rPr>
          <w:rFonts w:hint="eastAsia"/>
        </w:rPr>
        <w:t>4</w:t>
      </w:r>
      <w:r>
        <w:rPr>
          <w:rFonts w:hint="eastAsia"/>
        </w:rPr>
        <w:t>）能够降解污染、净化水质。湿地中生长的植物、微生物通过物理过滤、生物吸收和化学合成与分解等过程可以把排入水体的有毒有害物质转化为无毒无害甚至有益的物质；</w:t>
      </w:r>
    </w:p>
    <w:p w14:paraId="208357CF" w14:textId="77777777" w:rsidR="005A1A44" w:rsidRDefault="0008059E">
      <w:pPr>
        <w:ind w:firstLine="480"/>
      </w:pPr>
      <w:r>
        <w:rPr>
          <w:rFonts w:hint="eastAsia"/>
        </w:rPr>
        <w:t>（</w:t>
      </w:r>
      <w:r>
        <w:rPr>
          <w:rFonts w:hint="eastAsia"/>
        </w:rPr>
        <w:t>5</w:t>
      </w:r>
      <w:r>
        <w:rPr>
          <w:rFonts w:hint="eastAsia"/>
        </w:rPr>
        <w:t>）维持淡水资源平衡，补充地下水，促进水循环。</w:t>
      </w:r>
    </w:p>
    <w:p w14:paraId="69CC6BA6" w14:textId="77777777" w:rsidR="005A1A44" w:rsidRDefault="0008059E">
      <w:pPr>
        <w:ind w:firstLine="480"/>
      </w:pPr>
      <w:r>
        <w:rPr>
          <w:rFonts w:hint="eastAsia"/>
        </w:rPr>
        <w:t>（</w:t>
      </w:r>
      <w:r>
        <w:rPr>
          <w:rFonts w:hint="eastAsia"/>
        </w:rPr>
        <w:t>6</w:t>
      </w:r>
      <w:r>
        <w:rPr>
          <w:rFonts w:hint="eastAsia"/>
        </w:rPr>
        <w:t>）有效遏制土地荒漠化的进程。项目区从植被分布及土壤条件看反映出荒漠化特征。项目实施后通过小气候改善和水土条件日趋好转，对局部土地沙漠化有延缓和削弱作用。根据实测资料，以乔、灌木为主的密集型林地可降低风速</w:t>
      </w:r>
      <w:r>
        <w:rPr>
          <w:rFonts w:hint="eastAsia"/>
        </w:rPr>
        <w:t>20</w:t>
      </w:r>
      <w:r>
        <w:rPr>
          <w:rFonts w:hint="eastAsia"/>
        </w:rPr>
        <w:t>－</w:t>
      </w:r>
      <w:r>
        <w:rPr>
          <w:rFonts w:hint="eastAsia"/>
        </w:rPr>
        <w:t>55%</w:t>
      </w:r>
      <w:r>
        <w:rPr>
          <w:rFonts w:hint="eastAsia"/>
        </w:rPr>
        <w:t>，大大减弱风沙流动速度，防止大风吹蚀农田的表土，固定流沙，阻挡风沙侵蚀农田，防止土地进一步沙化，对改善生态环境起到积极的促进作用。</w:t>
      </w:r>
    </w:p>
    <w:p w14:paraId="624ABC22" w14:textId="77777777" w:rsidR="005A1A44" w:rsidRDefault="0008059E">
      <w:pPr>
        <w:ind w:firstLine="480"/>
      </w:pPr>
      <w:r>
        <w:rPr>
          <w:rFonts w:hint="eastAsia"/>
        </w:rPr>
        <w:t>总之，本工程建成后可以保持生态系统的稳定，维护生态系统的平衡，从而具有良好的生态效益。工程建设将促进和田市的河道综合治理和生态发展，具有较大的生态效益。由于该工程的河道治理及生态修复，为河道综合治理的发展提供坚实的基础保障，提高水利发展的可持续性，玉龙喀什河河道治理及两岸生态修复项目建设具有较大的环境、生态等效益。</w:t>
      </w:r>
    </w:p>
    <w:p w14:paraId="682055B7" w14:textId="77777777" w:rsidR="005A1A44" w:rsidRDefault="0008059E">
      <w:pPr>
        <w:pStyle w:val="2"/>
        <w:numPr>
          <w:ilvl w:val="1"/>
          <w:numId w:val="2"/>
        </w:numPr>
      </w:pPr>
      <w:bookmarkStart w:id="276" w:name="_Toc16479_WPSOffice_Level2"/>
      <w:bookmarkStart w:id="277" w:name="_Toc11690_WPSOffice_Level2"/>
      <w:r>
        <w:rPr>
          <w:rFonts w:hint="eastAsia"/>
        </w:rPr>
        <w:t xml:space="preserve"> </w:t>
      </w:r>
      <w:bookmarkStart w:id="278" w:name="_Toc24111_WPSOffice_Level2"/>
      <w:r>
        <w:rPr>
          <w:rFonts w:hint="eastAsia"/>
        </w:rPr>
        <w:t>环境经济损益分析</w:t>
      </w:r>
      <w:bookmarkEnd w:id="276"/>
      <w:bookmarkEnd w:id="277"/>
      <w:bookmarkEnd w:id="278"/>
    </w:p>
    <w:p w14:paraId="3B8546DD" w14:textId="77777777" w:rsidR="005A1A44" w:rsidRDefault="0008059E">
      <w:pPr>
        <w:pStyle w:val="3"/>
        <w:numPr>
          <w:ilvl w:val="2"/>
          <w:numId w:val="2"/>
        </w:numPr>
      </w:pPr>
      <w:r>
        <w:rPr>
          <w:rFonts w:hint="eastAsia"/>
        </w:rPr>
        <w:t xml:space="preserve"> </w:t>
      </w:r>
      <w:r>
        <w:rPr>
          <w:rFonts w:hint="eastAsia"/>
        </w:rPr>
        <w:t>项目对区域环境负效益分析</w:t>
      </w:r>
    </w:p>
    <w:p w14:paraId="02FC7005" w14:textId="77777777" w:rsidR="005A1A44" w:rsidRDefault="0008059E">
      <w:pPr>
        <w:ind w:firstLine="480"/>
      </w:pPr>
      <w:r>
        <w:rPr>
          <w:rFonts w:hint="eastAsia"/>
        </w:rPr>
        <w:t>本项目的环境经济损失主要包括生态破坏经济损失、水体污染经济损失、噪声影响经济损失、大气污染经济损失和固体废物影响经济损失等。</w:t>
      </w:r>
    </w:p>
    <w:p w14:paraId="29621A3A" w14:textId="77777777" w:rsidR="005A1A44" w:rsidRDefault="0008059E">
      <w:pPr>
        <w:ind w:firstLine="480"/>
      </w:pPr>
      <w:r>
        <w:rPr>
          <w:rFonts w:hint="eastAsia"/>
        </w:rPr>
        <w:t>（</w:t>
      </w:r>
      <w:r>
        <w:rPr>
          <w:rFonts w:hint="eastAsia"/>
        </w:rPr>
        <w:t>1</w:t>
      </w:r>
      <w:r>
        <w:rPr>
          <w:rFonts w:hint="eastAsia"/>
        </w:rPr>
        <w:t>）工程在建设过程中，由于土石方开挖、堆弃以及施工道路建设等，不可避免地破坏了原地貌、各类地表植被等水土保持措施，加剧了土壤侵蚀，产生了新的水土流失，带来新的环境问题。项目在采用工程措施和生物措施结合的条件下，施工期水土流失造成的影响将较小。项目施工期虽会造成一定的生物量损失，但通过本项目的绿化建设，可使植被生物量得到一定的恢复。随着项目对河道的扰动，项目也会对水生生物造成一定的影响。</w:t>
      </w:r>
    </w:p>
    <w:p w14:paraId="3394F592" w14:textId="77777777" w:rsidR="005A1A44" w:rsidRDefault="0008059E">
      <w:pPr>
        <w:ind w:firstLine="480"/>
      </w:pPr>
      <w:r>
        <w:rPr>
          <w:rFonts w:hint="eastAsia"/>
        </w:rPr>
        <w:lastRenderedPageBreak/>
        <w:t>（</w:t>
      </w:r>
      <w:r>
        <w:rPr>
          <w:rFonts w:hint="eastAsia"/>
        </w:rPr>
        <w:t>2</w:t>
      </w:r>
      <w:r>
        <w:rPr>
          <w:rFonts w:hint="eastAsia"/>
        </w:rPr>
        <w:t>）工程施工期间，由于土石方开挖、施工机械冲洗以及施工人员生活等会产生一定量的污废水。施工污废水成分简单，本工程施工期污废水在严格执行水污染防护措施之后，对区域水环境影响不大，造成的水环境影响经济损失不大。</w:t>
      </w:r>
    </w:p>
    <w:p w14:paraId="749DABFE" w14:textId="77777777" w:rsidR="005A1A44" w:rsidRDefault="0008059E">
      <w:pPr>
        <w:ind w:firstLine="480"/>
      </w:pPr>
      <w:r>
        <w:rPr>
          <w:rFonts w:hint="eastAsia"/>
        </w:rPr>
        <w:t>（</w:t>
      </w:r>
      <w:r>
        <w:rPr>
          <w:rFonts w:hint="eastAsia"/>
        </w:rPr>
        <w:t>3</w:t>
      </w:r>
      <w:r>
        <w:rPr>
          <w:rFonts w:hint="eastAsia"/>
        </w:rPr>
        <w:t>）本工程在施工期施工区施工设备、运输车辆等会造成噪声影响，但采取适当防护措施后危害不大，其造成的噪声影响经济损失不大。</w:t>
      </w:r>
    </w:p>
    <w:p w14:paraId="5FDC13D3" w14:textId="77777777" w:rsidR="005A1A44" w:rsidRDefault="0008059E">
      <w:pPr>
        <w:ind w:firstLine="480"/>
      </w:pPr>
      <w:r>
        <w:rPr>
          <w:rFonts w:hint="eastAsia"/>
        </w:rPr>
        <w:t>（</w:t>
      </w:r>
      <w:r>
        <w:rPr>
          <w:rFonts w:hint="eastAsia"/>
        </w:rPr>
        <w:t>4</w:t>
      </w:r>
      <w:r>
        <w:rPr>
          <w:rFonts w:hint="eastAsia"/>
        </w:rPr>
        <w:t>）项目施工过程中，大气污染主要为施工场地的扬尘污染等。根据前面相关章节分析，在采取适当防护措施的情况下，其造成的污染程度不大。因此，本项目大气污染经济损失不大。</w:t>
      </w:r>
    </w:p>
    <w:p w14:paraId="18F17CDE" w14:textId="77777777" w:rsidR="005A1A44" w:rsidRDefault="0008059E">
      <w:pPr>
        <w:ind w:firstLine="480"/>
      </w:pPr>
      <w:r>
        <w:rPr>
          <w:rFonts w:hint="eastAsia"/>
        </w:rPr>
        <w:t>（</w:t>
      </w:r>
      <w:r>
        <w:rPr>
          <w:rFonts w:hint="eastAsia"/>
        </w:rPr>
        <w:t>5</w:t>
      </w:r>
      <w:r>
        <w:rPr>
          <w:rFonts w:hint="eastAsia"/>
        </w:rPr>
        <w:t>）本项目施工过程产生的建筑垃圾、弃土渣等均有可靠的污染防治措施，都将及时清运至法定受纳场，不会对周围环境产生明显的影响。</w:t>
      </w:r>
    </w:p>
    <w:p w14:paraId="035003C1" w14:textId="77777777" w:rsidR="005A1A44" w:rsidRDefault="0008059E">
      <w:pPr>
        <w:ind w:firstLine="480"/>
      </w:pPr>
      <w:r>
        <w:rPr>
          <w:rFonts w:hint="eastAsia"/>
        </w:rPr>
        <w:t>综上所述，在采取有效的污染防治措施的情况下，本项目的生态、水体、噪声、大气和固体废物影响所造成的经济损失较小。</w:t>
      </w:r>
    </w:p>
    <w:p w14:paraId="2FACB1F2" w14:textId="77777777" w:rsidR="005A1A44" w:rsidRDefault="0008059E">
      <w:pPr>
        <w:pStyle w:val="3"/>
        <w:numPr>
          <w:ilvl w:val="2"/>
          <w:numId w:val="2"/>
        </w:numPr>
      </w:pPr>
      <w:r>
        <w:rPr>
          <w:rFonts w:hint="eastAsia"/>
        </w:rPr>
        <w:t xml:space="preserve"> </w:t>
      </w:r>
      <w:r>
        <w:rPr>
          <w:rFonts w:hint="eastAsia"/>
        </w:rPr>
        <w:t>项目对区域环境正效益分析</w:t>
      </w:r>
    </w:p>
    <w:p w14:paraId="0F33588D" w14:textId="77777777" w:rsidR="005A1A44" w:rsidRDefault="0008059E">
      <w:pPr>
        <w:ind w:firstLine="480"/>
      </w:pPr>
      <w:r>
        <w:rPr>
          <w:rFonts w:hint="eastAsia"/>
        </w:rPr>
        <w:t>拟建工程环保投资比例系数</w:t>
      </w:r>
      <w:r>
        <w:rPr>
          <w:rFonts w:hint="eastAsia"/>
        </w:rPr>
        <w:t>0.1%</w:t>
      </w:r>
      <w:r>
        <w:rPr>
          <w:rFonts w:hint="eastAsia"/>
        </w:rPr>
        <w:t>，做到了降低能耗、物耗，同时也大幅度地减少了“三废”排放量，减轻了对周围环境的影响，具体分析如下：</w:t>
      </w:r>
    </w:p>
    <w:p w14:paraId="3FD8D637" w14:textId="77777777" w:rsidR="005A1A44" w:rsidRDefault="0008059E">
      <w:pPr>
        <w:ind w:firstLine="480"/>
      </w:pPr>
      <w:r>
        <w:rPr>
          <w:rFonts w:hint="eastAsia"/>
        </w:rPr>
        <w:t>（</w:t>
      </w:r>
      <w:r>
        <w:rPr>
          <w:rFonts w:hint="eastAsia"/>
        </w:rPr>
        <w:t>1</w:t>
      </w:r>
      <w:r>
        <w:rPr>
          <w:rFonts w:hint="eastAsia"/>
        </w:rPr>
        <w:t>）项目施工扬尘、施工器械燃油废气等大气污染物的防治，能使污染物达标排放，有效降低对周围人群健康的影响，避免与周围群众产生不必要的纠纷，降低对周边区域大气环境的影响。</w:t>
      </w:r>
    </w:p>
    <w:p w14:paraId="7C9ED045" w14:textId="77777777" w:rsidR="005A1A44" w:rsidRDefault="0008059E">
      <w:pPr>
        <w:ind w:firstLine="480"/>
      </w:pPr>
      <w:r>
        <w:rPr>
          <w:rFonts w:hint="eastAsia"/>
        </w:rPr>
        <w:t>（</w:t>
      </w:r>
      <w:r>
        <w:rPr>
          <w:rFonts w:hint="eastAsia"/>
        </w:rPr>
        <w:t>2</w:t>
      </w:r>
      <w:r>
        <w:rPr>
          <w:rFonts w:hint="eastAsia"/>
        </w:rPr>
        <w:t>）噪声污染防治措施能减小施工噪声对周围环境敏感点的影响，保护居民生活环境质量，减少噪声污染引起的生理和心理类疾病的发生比率，同时也能避免因噪音扰民引起的投诉等不必要纠纷。</w:t>
      </w:r>
    </w:p>
    <w:p w14:paraId="73A8F487" w14:textId="77777777" w:rsidR="005A1A44" w:rsidRDefault="0008059E">
      <w:pPr>
        <w:ind w:firstLine="480"/>
      </w:pPr>
      <w:r>
        <w:rPr>
          <w:rFonts w:hint="eastAsia"/>
        </w:rPr>
        <w:t>（</w:t>
      </w:r>
      <w:r>
        <w:rPr>
          <w:rFonts w:hint="eastAsia"/>
        </w:rPr>
        <w:t>3</w:t>
      </w:r>
      <w:r>
        <w:rPr>
          <w:rFonts w:hint="eastAsia"/>
        </w:rPr>
        <w:t>）固体废物防治措施可创造一个良好的施工环境，避免固体废物产生的二次污染问题，降低因生活垃圾滋生蚊虫等引起的疾病风险。</w:t>
      </w:r>
    </w:p>
    <w:p w14:paraId="33B9DCD9" w14:textId="77777777" w:rsidR="005A1A44" w:rsidRDefault="0008059E">
      <w:pPr>
        <w:ind w:firstLine="480"/>
      </w:pPr>
      <w:r>
        <w:rPr>
          <w:rFonts w:hint="eastAsia"/>
        </w:rPr>
        <w:t>（</w:t>
      </w:r>
      <w:r>
        <w:rPr>
          <w:rFonts w:hint="eastAsia"/>
        </w:rPr>
        <w:t>4</w:t>
      </w:r>
      <w:r>
        <w:rPr>
          <w:rFonts w:hint="eastAsia"/>
        </w:rPr>
        <w:t>）生态保护措施能有效保护当地的生态环境质量，减小因水土流失等引起的水质污染问题，确保玉龙喀什河的水质安全。同时项目生态修复工程的实施，也将提高项目所在区域的生态和景观环境。</w:t>
      </w:r>
    </w:p>
    <w:p w14:paraId="7C5A49C5" w14:textId="77777777" w:rsidR="005A1A44" w:rsidRDefault="0008059E">
      <w:pPr>
        <w:ind w:firstLine="480"/>
      </w:pPr>
      <w:r>
        <w:rPr>
          <w:rFonts w:hint="eastAsia"/>
        </w:rPr>
        <w:lastRenderedPageBreak/>
        <w:t>（</w:t>
      </w:r>
      <w:r>
        <w:rPr>
          <w:rFonts w:hint="eastAsia"/>
        </w:rPr>
        <w:t>5</w:t>
      </w:r>
      <w:r>
        <w:rPr>
          <w:rFonts w:hint="eastAsia"/>
        </w:rPr>
        <w:t>）环境管理、监测的实施，能掌握沿线区域环境状况，及时采取环保措施和应急措施，保持本地区环境质量的稳定，使社会、经济和环境协调持续发展。通过以上分析可知，本项目污染治理措施实施后环境收益显著。</w:t>
      </w:r>
    </w:p>
    <w:p w14:paraId="2ECCFBB6" w14:textId="77777777" w:rsidR="005A1A44" w:rsidRDefault="005A1A44">
      <w:pPr>
        <w:pStyle w:val="1"/>
        <w:adjustRightInd w:val="0"/>
        <w:snapToGrid w:val="0"/>
        <w:spacing w:before="0" w:after="0" w:line="360" w:lineRule="auto"/>
        <w:ind w:left="431" w:hanging="431"/>
        <w:sectPr w:rsidR="005A1A44">
          <w:pgSz w:w="12240" w:h="15840"/>
          <w:pgMar w:top="1440" w:right="1803" w:bottom="1440" w:left="1803" w:header="720" w:footer="720" w:gutter="0"/>
          <w:cols w:space="0"/>
          <w:docGrid w:linePitch="312"/>
        </w:sectPr>
      </w:pPr>
      <w:bookmarkStart w:id="279" w:name="_Toc2378_WPSOffice_Level1"/>
    </w:p>
    <w:p w14:paraId="08E13363" w14:textId="77777777" w:rsidR="005A1A44" w:rsidRDefault="0008059E">
      <w:pPr>
        <w:pStyle w:val="1"/>
        <w:numPr>
          <w:ilvl w:val="0"/>
          <w:numId w:val="2"/>
        </w:numPr>
      </w:pPr>
      <w:bookmarkStart w:id="280" w:name="_Toc30797_WPSOffice_Level1"/>
      <w:bookmarkStart w:id="281" w:name="_Toc31058_WPSOffice_Level1"/>
      <w:r>
        <w:rPr>
          <w:rFonts w:hint="eastAsia"/>
        </w:rPr>
        <w:lastRenderedPageBreak/>
        <w:t xml:space="preserve"> </w:t>
      </w:r>
      <w:bookmarkStart w:id="282" w:name="_Toc17517_WPSOffice_Level1"/>
      <w:r>
        <w:rPr>
          <w:rFonts w:hint="eastAsia"/>
        </w:rPr>
        <w:t>环境管理与监测计划</w:t>
      </w:r>
      <w:bookmarkEnd w:id="279"/>
      <w:bookmarkEnd w:id="280"/>
      <w:bookmarkEnd w:id="281"/>
      <w:bookmarkEnd w:id="282"/>
    </w:p>
    <w:p w14:paraId="427D0E45" w14:textId="77777777" w:rsidR="005A1A44" w:rsidRDefault="0008059E">
      <w:pPr>
        <w:pStyle w:val="2"/>
        <w:numPr>
          <w:ilvl w:val="1"/>
          <w:numId w:val="2"/>
        </w:numPr>
      </w:pPr>
      <w:bookmarkStart w:id="283" w:name="_Toc465790283"/>
      <w:r>
        <w:t xml:space="preserve"> </w:t>
      </w:r>
      <w:bookmarkStart w:id="284" w:name="_Toc13003_WPSOffice_Level2"/>
      <w:bookmarkStart w:id="285" w:name="_Toc29578_WPSOffice_Level2"/>
      <w:bookmarkStart w:id="286" w:name="_Toc15940_WPSOffice_Level2"/>
      <w:r>
        <w:t>环境管理</w:t>
      </w:r>
      <w:bookmarkEnd w:id="283"/>
      <w:bookmarkEnd w:id="284"/>
      <w:bookmarkEnd w:id="285"/>
      <w:bookmarkEnd w:id="286"/>
    </w:p>
    <w:p w14:paraId="52993479" w14:textId="77777777" w:rsidR="005A1A44" w:rsidRDefault="0008059E">
      <w:pPr>
        <w:pStyle w:val="3"/>
        <w:numPr>
          <w:ilvl w:val="2"/>
          <w:numId w:val="2"/>
        </w:numPr>
      </w:pPr>
      <w:r>
        <w:t xml:space="preserve"> </w:t>
      </w:r>
      <w:r>
        <w:rPr>
          <w:rFonts w:hint="eastAsia"/>
        </w:rPr>
        <w:t>环境管理目的</w:t>
      </w:r>
    </w:p>
    <w:p w14:paraId="5A7EE3C4" w14:textId="77777777" w:rsidR="005A1A44" w:rsidRDefault="0008059E">
      <w:pPr>
        <w:spacing w:line="500" w:lineRule="exact"/>
        <w:ind w:firstLine="480"/>
        <w:rPr>
          <w:color w:val="000000"/>
        </w:rPr>
      </w:pPr>
      <w:r>
        <w:rPr>
          <w:color w:val="000000"/>
        </w:rPr>
        <w:t>为了更好的对本项目在施工期的环境保护进行监督和管理，应建立相应的环境监理小组，制定相应的环境保护管理制度，全面管理本项目的有关环境问题，以满足区域环境保护的要求，并不断改善项目自身环境，达到发展经济、保护环境的目的。</w:t>
      </w:r>
    </w:p>
    <w:p w14:paraId="50F4BFED" w14:textId="77777777" w:rsidR="005A1A44" w:rsidRDefault="0008059E">
      <w:pPr>
        <w:pStyle w:val="3"/>
        <w:numPr>
          <w:ilvl w:val="2"/>
          <w:numId w:val="2"/>
        </w:numPr>
      </w:pPr>
      <w:r>
        <w:t xml:space="preserve"> </w:t>
      </w:r>
      <w:r>
        <w:rPr>
          <w:rFonts w:hint="eastAsia"/>
        </w:rPr>
        <w:t>环境管理目标</w:t>
      </w:r>
    </w:p>
    <w:p w14:paraId="5873CC40" w14:textId="77777777" w:rsidR="005A1A44" w:rsidRDefault="0008059E">
      <w:pPr>
        <w:spacing w:line="500" w:lineRule="exact"/>
        <w:ind w:firstLine="480"/>
        <w:rPr>
          <w:color w:val="000000"/>
        </w:rPr>
      </w:pPr>
      <w:r>
        <w:rPr>
          <w:rFonts w:hint="eastAsia"/>
          <w:color w:val="000000"/>
        </w:rPr>
        <w:t>通过严格的环境管理，可以有效的预防和控制生态破坏和环境污染，使本工程建设在施工期和营运期对环境造成的不良影响减少到最小程度，使项目建设符合“三同时”方针，努力实现工程经济效益、社会效益和环境效益的统一。</w:t>
      </w:r>
    </w:p>
    <w:p w14:paraId="6D6F9554" w14:textId="77777777" w:rsidR="005A1A44" w:rsidRDefault="0008059E">
      <w:pPr>
        <w:pStyle w:val="3"/>
        <w:numPr>
          <w:ilvl w:val="2"/>
          <w:numId w:val="2"/>
        </w:numPr>
      </w:pPr>
      <w:r>
        <w:rPr>
          <w:rFonts w:hint="eastAsia"/>
        </w:rPr>
        <w:t xml:space="preserve"> </w:t>
      </w:r>
      <w:r>
        <w:rPr>
          <w:rFonts w:hint="eastAsia"/>
        </w:rPr>
        <w:t>管理机构与职责</w:t>
      </w:r>
    </w:p>
    <w:p w14:paraId="6CC0AECD" w14:textId="77777777" w:rsidR="005A1A44" w:rsidRDefault="0008059E">
      <w:pPr>
        <w:spacing w:line="500" w:lineRule="exact"/>
        <w:ind w:firstLine="480"/>
        <w:rPr>
          <w:color w:val="000000"/>
        </w:rPr>
      </w:pPr>
      <w:r>
        <w:rPr>
          <w:rFonts w:hint="eastAsia"/>
          <w:color w:val="000000"/>
        </w:rPr>
        <w:t>施工期和运行期环境管理计划由建设单位负责实施。建设单位在设置工程管理机构中应明确环保职能，以便对施工期和运行期的环保工作进行监督和管理，需配备</w:t>
      </w:r>
      <w:r>
        <w:rPr>
          <w:rFonts w:hint="eastAsia"/>
          <w:color w:val="000000"/>
        </w:rPr>
        <w:t>1~2</w:t>
      </w:r>
      <w:r>
        <w:rPr>
          <w:rFonts w:hint="eastAsia"/>
          <w:color w:val="000000"/>
        </w:rPr>
        <w:t>名专职或兼职环境管理人员，机构主要职责：</w:t>
      </w:r>
    </w:p>
    <w:p w14:paraId="36FECEE8" w14:textId="77777777" w:rsidR="005A1A44" w:rsidRDefault="0008059E">
      <w:pPr>
        <w:spacing w:line="500" w:lineRule="exact"/>
        <w:ind w:firstLine="480"/>
        <w:rPr>
          <w:color w:val="000000"/>
        </w:rPr>
      </w:pPr>
      <w:r>
        <w:rPr>
          <w:rFonts w:hint="eastAsia"/>
          <w:color w:val="000000"/>
        </w:rPr>
        <w:t>（</w:t>
      </w:r>
      <w:r>
        <w:rPr>
          <w:rFonts w:hint="eastAsia"/>
          <w:color w:val="000000"/>
        </w:rPr>
        <w:t>1</w:t>
      </w:r>
      <w:r>
        <w:rPr>
          <w:rFonts w:hint="eastAsia"/>
          <w:color w:val="000000"/>
        </w:rPr>
        <w:t>）贯彻执行国家、省、市的有关环境法律法规、标准和政策。</w:t>
      </w:r>
    </w:p>
    <w:p w14:paraId="68546B6D" w14:textId="77777777" w:rsidR="005A1A44" w:rsidRDefault="0008059E">
      <w:pPr>
        <w:spacing w:line="500" w:lineRule="exact"/>
        <w:ind w:firstLine="480"/>
        <w:rPr>
          <w:color w:val="000000"/>
        </w:rPr>
      </w:pPr>
      <w:r>
        <w:rPr>
          <w:rFonts w:hint="eastAsia"/>
          <w:color w:val="000000"/>
        </w:rPr>
        <w:t>（</w:t>
      </w:r>
      <w:r>
        <w:rPr>
          <w:rFonts w:hint="eastAsia"/>
          <w:color w:val="000000"/>
        </w:rPr>
        <w:t>2</w:t>
      </w:r>
      <w:r>
        <w:rPr>
          <w:rFonts w:hint="eastAsia"/>
          <w:color w:val="000000"/>
        </w:rPr>
        <w:t>）负责制定本项目的环境保护监督管理工作制度，制定环境保护条例、条规和工作计划。</w:t>
      </w:r>
    </w:p>
    <w:p w14:paraId="09AA29F0" w14:textId="77777777" w:rsidR="005A1A44" w:rsidRDefault="0008059E">
      <w:pPr>
        <w:spacing w:line="500" w:lineRule="exact"/>
        <w:ind w:firstLine="480"/>
        <w:rPr>
          <w:color w:val="000000"/>
        </w:rPr>
      </w:pPr>
      <w:r>
        <w:rPr>
          <w:rFonts w:hint="eastAsia"/>
          <w:color w:val="000000"/>
        </w:rPr>
        <w:lastRenderedPageBreak/>
        <w:t>（</w:t>
      </w:r>
      <w:r>
        <w:rPr>
          <w:rFonts w:hint="eastAsia"/>
          <w:color w:val="000000"/>
        </w:rPr>
        <w:t>3</w:t>
      </w:r>
      <w:r>
        <w:rPr>
          <w:rFonts w:hint="eastAsia"/>
          <w:color w:val="000000"/>
        </w:rPr>
        <w:t>）负责组织、实施施工期及运营期的环境管理和环境监测计划，及时向上级主管部门报告工程建设期和运营期的环境管理工作开展情况。</w:t>
      </w:r>
    </w:p>
    <w:p w14:paraId="6017A0E5" w14:textId="77777777" w:rsidR="005A1A44" w:rsidRDefault="0008059E">
      <w:pPr>
        <w:spacing w:line="500" w:lineRule="exact"/>
        <w:ind w:firstLine="480"/>
        <w:rPr>
          <w:color w:val="000000"/>
        </w:rPr>
      </w:pPr>
      <w:r>
        <w:rPr>
          <w:rFonts w:hint="eastAsia"/>
          <w:color w:val="000000"/>
        </w:rPr>
        <w:t>（</w:t>
      </w:r>
      <w:r>
        <w:rPr>
          <w:rFonts w:hint="eastAsia"/>
          <w:color w:val="000000"/>
        </w:rPr>
        <w:t>4</w:t>
      </w:r>
      <w:r>
        <w:rPr>
          <w:rFonts w:hint="eastAsia"/>
          <w:color w:val="000000"/>
        </w:rPr>
        <w:t>）编制年度环境保护计划、环境监测计划，并负责安排组织实施。</w:t>
      </w:r>
    </w:p>
    <w:p w14:paraId="058460B0" w14:textId="77777777" w:rsidR="005A1A44" w:rsidRDefault="0008059E">
      <w:pPr>
        <w:spacing w:line="500" w:lineRule="exact"/>
        <w:ind w:firstLine="480"/>
        <w:rPr>
          <w:color w:val="000000"/>
        </w:rPr>
      </w:pPr>
      <w:r>
        <w:rPr>
          <w:rFonts w:hint="eastAsia"/>
          <w:color w:val="000000"/>
        </w:rPr>
        <w:t>（</w:t>
      </w:r>
      <w:r>
        <w:rPr>
          <w:rFonts w:hint="eastAsia"/>
          <w:color w:val="000000"/>
        </w:rPr>
        <w:t>5</w:t>
      </w:r>
      <w:r>
        <w:rPr>
          <w:rFonts w:hint="eastAsia"/>
          <w:color w:val="000000"/>
        </w:rPr>
        <w:t>）安排、落实年度环境保护费用。</w:t>
      </w:r>
    </w:p>
    <w:p w14:paraId="427DFE34" w14:textId="77777777" w:rsidR="005A1A44" w:rsidRDefault="0008059E">
      <w:pPr>
        <w:spacing w:line="500" w:lineRule="exact"/>
        <w:ind w:firstLine="480"/>
        <w:rPr>
          <w:color w:val="000000"/>
        </w:rPr>
      </w:pPr>
      <w:r>
        <w:rPr>
          <w:rFonts w:hint="eastAsia"/>
          <w:color w:val="000000"/>
        </w:rPr>
        <w:t>（</w:t>
      </w:r>
      <w:r>
        <w:rPr>
          <w:rFonts w:hint="eastAsia"/>
          <w:color w:val="000000"/>
        </w:rPr>
        <w:t>6</w:t>
      </w:r>
      <w:r>
        <w:rPr>
          <w:rFonts w:hint="eastAsia"/>
          <w:color w:val="000000"/>
        </w:rPr>
        <w:t>）协调各有关部门之间的环保工作和处理监控中出现的环保问题。</w:t>
      </w:r>
    </w:p>
    <w:p w14:paraId="768DE88E" w14:textId="77777777" w:rsidR="005A1A44" w:rsidRDefault="0008059E">
      <w:pPr>
        <w:pStyle w:val="3"/>
        <w:numPr>
          <w:ilvl w:val="2"/>
          <w:numId w:val="2"/>
        </w:numPr>
      </w:pPr>
      <w:r>
        <w:rPr>
          <w:rFonts w:hint="eastAsia"/>
        </w:rPr>
        <w:t xml:space="preserve"> </w:t>
      </w:r>
      <w:r>
        <w:rPr>
          <w:rFonts w:hint="eastAsia"/>
        </w:rPr>
        <w:t>环境管理</w:t>
      </w:r>
    </w:p>
    <w:p w14:paraId="3D1F7D5B" w14:textId="77777777" w:rsidR="005A1A44" w:rsidRDefault="0008059E">
      <w:pPr>
        <w:ind w:firstLine="480"/>
      </w:pPr>
      <w:r>
        <w:rPr>
          <w:rFonts w:hint="eastAsia"/>
        </w:rPr>
        <w:t>（</w:t>
      </w:r>
      <w:r>
        <w:rPr>
          <w:rFonts w:hint="eastAsia"/>
        </w:rPr>
        <w:t>1</w:t>
      </w:r>
      <w:r>
        <w:rPr>
          <w:rFonts w:hint="eastAsia"/>
        </w:rPr>
        <w:t>）工程可研阶段</w:t>
      </w:r>
    </w:p>
    <w:p w14:paraId="7C18E9F1" w14:textId="77777777" w:rsidR="005A1A44" w:rsidRDefault="0008059E">
      <w:pPr>
        <w:ind w:firstLine="480"/>
      </w:pPr>
      <w:r>
        <w:rPr>
          <w:rFonts w:hint="eastAsia"/>
        </w:rPr>
        <w:t>在工程可研阶段，委托有资质的单位进行工程环境影响评价、水土保持方案设计，要求设计单位落实环境评价提出的对策措施。</w:t>
      </w:r>
    </w:p>
    <w:p w14:paraId="62D3B33E" w14:textId="77777777" w:rsidR="005A1A44" w:rsidRDefault="0008059E">
      <w:pPr>
        <w:ind w:firstLine="480"/>
      </w:pPr>
      <w:r>
        <w:rPr>
          <w:rFonts w:hint="eastAsia"/>
        </w:rPr>
        <w:t>（</w:t>
      </w:r>
      <w:r>
        <w:rPr>
          <w:rFonts w:hint="eastAsia"/>
        </w:rPr>
        <w:t>2</w:t>
      </w:r>
      <w:r>
        <w:rPr>
          <w:rFonts w:hint="eastAsia"/>
        </w:rPr>
        <w:t>）工程招标阶段</w:t>
      </w:r>
    </w:p>
    <w:p w14:paraId="6E90328E" w14:textId="77777777" w:rsidR="005A1A44" w:rsidRDefault="0008059E">
      <w:pPr>
        <w:ind w:firstLine="480"/>
      </w:pPr>
      <w:r>
        <w:rPr>
          <w:rFonts w:hint="eastAsia"/>
        </w:rPr>
        <w:t>在承包合同中，按工程环保设计，落实环境保护条款，建设单位应该承包商做出施工期的环境保护实施计划以及环境污染物达标排放的承诺，将施工管理、污水处理设施、施工噪声、扬尘和固废防治计划、水土保持和植被恢复要求等具体要求列入招标内容，进行招标。</w:t>
      </w:r>
    </w:p>
    <w:p w14:paraId="2CF0540B" w14:textId="77777777" w:rsidR="005A1A44" w:rsidRDefault="0008059E">
      <w:pPr>
        <w:ind w:firstLine="480"/>
      </w:pPr>
      <w:r>
        <w:rPr>
          <w:rFonts w:hint="eastAsia"/>
        </w:rPr>
        <w:t>（</w:t>
      </w:r>
      <w:r>
        <w:rPr>
          <w:rFonts w:hint="eastAsia"/>
        </w:rPr>
        <w:t>3</w:t>
      </w:r>
      <w:r>
        <w:rPr>
          <w:rFonts w:hint="eastAsia"/>
        </w:rPr>
        <w:t>）工程施工阶段</w:t>
      </w:r>
    </w:p>
    <w:p w14:paraId="1AD4F78D" w14:textId="77777777" w:rsidR="005A1A44" w:rsidRDefault="0008059E">
      <w:pPr>
        <w:ind w:firstLine="480"/>
      </w:pPr>
      <w:r>
        <w:rPr>
          <w:rFonts w:hint="eastAsia"/>
        </w:rPr>
        <w:t>在工程施工阶段，将环保措施与主体工程同样对待，委托监理单位监督环保措施的施工，确保环保措施的落实，重点是防治水土流失和植被恢复、施工人员的生活污水和作业废水、施工噪声、施工扬尘、施工固废的污染防治及环境保护设施的“三同时”监督。</w:t>
      </w:r>
    </w:p>
    <w:p w14:paraId="77298F9F" w14:textId="77777777" w:rsidR="005A1A44" w:rsidRDefault="0008059E">
      <w:pPr>
        <w:ind w:firstLine="480"/>
      </w:pPr>
      <w:r>
        <w:rPr>
          <w:rFonts w:hint="eastAsia"/>
        </w:rPr>
        <w:t>要求工程监理单位提供专门的环境保护方面的监理报表，对尚不具体的环境保护合同条款，按有关规定予以补充解释；对参建单位在项目施工或运行过程中，对环境保护重视不够的，进行环境保护处罚、责令整改。</w:t>
      </w:r>
    </w:p>
    <w:p w14:paraId="1077B7D5" w14:textId="77777777" w:rsidR="005A1A44" w:rsidRDefault="0008059E">
      <w:pPr>
        <w:ind w:firstLine="480"/>
      </w:pPr>
      <w:r>
        <w:rPr>
          <w:rFonts w:hint="eastAsia"/>
        </w:rPr>
        <w:t>加强施工期环境监测，建设单位委托有关部门执行本报告提出的监测计划。</w:t>
      </w:r>
    </w:p>
    <w:p w14:paraId="5BD41D9A" w14:textId="77777777" w:rsidR="005A1A44" w:rsidRDefault="0008059E">
      <w:pPr>
        <w:ind w:firstLine="480"/>
        <w:rPr>
          <w:rFonts w:ascii="黑体" w:eastAsia="黑体" w:hAnsi="黑体" w:cs="黑体" w:hint="eastAsia"/>
          <w:color w:val="000000"/>
        </w:rPr>
      </w:pPr>
      <w:r>
        <w:rPr>
          <w:rFonts w:hint="eastAsia"/>
        </w:rPr>
        <w:t>施工阶</w:t>
      </w:r>
      <w:r>
        <w:rPr>
          <w:rFonts w:ascii="宋体" w:eastAsia="宋体" w:hAnsi="宋体" w:cs="宋体" w:hint="eastAsia"/>
        </w:rPr>
        <w:t>段环境保护措施与管理计划见表10.1-1。</w:t>
      </w:r>
      <w:r>
        <w:rPr>
          <w:rFonts w:ascii="黑体" w:eastAsia="黑体" w:hAnsi="黑体" w:cs="黑体" w:hint="eastAsia"/>
          <w:color w:val="000000"/>
        </w:rPr>
        <w:tab/>
      </w:r>
    </w:p>
    <w:p w14:paraId="738071C3" w14:textId="77777777" w:rsidR="005A1A44" w:rsidRDefault="005A1A44">
      <w:pPr>
        <w:ind w:firstLineChars="0" w:firstLine="0"/>
        <w:jc w:val="center"/>
        <w:rPr>
          <w:rFonts w:ascii="黑体" w:eastAsia="黑体" w:hAnsi="黑体" w:cs="黑体" w:hint="eastAsia"/>
          <w:bCs/>
          <w:color w:val="000000"/>
        </w:rPr>
      </w:pPr>
    </w:p>
    <w:p w14:paraId="2199375C" w14:textId="77777777" w:rsidR="005A1A44" w:rsidRDefault="005A1A44">
      <w:pPr>
        <w:ind w:firstLineChars="0" w:firstLine="0"/>
        <w:jc w:val="center"/>
        <w:rPr>
          <w:rFonts w:ascii="黑体" w:eastAsia="黑体" w:hAnsi="黑体" w:cs="黑体" w:hint="eastAsia"/>
          <w:bCs/>
          <w:color w:val="000000"/>
        </w:rPr>
      </w:pPr>
    </w:p>
    <w:p w14:paraId="0DED7F18" w14:textId="77777777" w:rsidR="005A1A44" w:rsidRDefault="0008059E">
      <w:pPr>
        <w:ind w:firstLineChars="0" w:firstLine="0"/>
        <w:jc w:val="center"/>
        <w:rPr>
          <w:rFonts w:ascii="黑体" w:eastAsia="黑体" w:hAnsi="黑体" w:cs="黑体" w:hint="eastAsia"/>
          <w:bCs/>
          <w:color w:val="000000"/>
        </w:rPr>
      </w:pPr>
      <w:r>
        <w:rPr>
          <w:rFonts w:ascii="黑体" w:eastAsia="黑体" w:hAnsi="黑体" w:cs="黑体" w:hint="eastAsia"/>
          <w:bCs/>
          <w:color w:val="000000"/>
        </w:rPr>
        <w:lastRenderedPageBreak/>
        <w:t>表10.1-1  施工阶段环境保护措施与管理计划</w:t>
      </w:r>
    </w:p>
    <w:tbl>
      <w:tblPr>
        <w:tblW w:w="9300" w:type="dxa"/>
        <w:tblLayout w:type="fixed"/>
        <w:tblCellMar>
          <w:left w:w="0" w:type="dxa"/>
          <w:right w:w="0" w:type="dxa"/>
        </w:tblCellMar>
        <w:tblLook w:val="04A0" w:firstRow="1" w:lastRow="0" w:firstColumn="1" w:lastColumn="0" w:noHBand="0" w:noVBand="1"/>
      </w:tblPr>
      <w:tblGrid>
        <w:gridCol w:w="1860"/>
        <w:gridCol w:w="1860"/>
        <w:gridCol w:w="1860"/>
        <w:gridCol w:w="1860"/>
        <w:gridCol w:w="1860"/>
      </w:tblGrid>
      <w:tr w:rsidR="005A1A44" w14:paraId="3700FCBD" w14:textId="77777777">
        <w:trPr>
          <w:trHeight w:val="202"/>
          <w:tblHeader/>
        </w:trPr>
        <w:tc>
          <w:tcPr>
            <w:tcW w:w="1860" w:type="dxa"/>
            <w:tcBorders>
              <w:top w:val="single" w:sz="8" w:space="0" w:color="auto"/>
              <w:left w:val="single" w:sz="8" w:space="0" w:color="auto"/>
              <w:bottom w:val="single" w:sz="8" w:space="0" w:color="auto"/>
              <w:right w:val="single" w:sz="8" w:space="0" w:color="auto"/>
            </w:tcBorders>
            <w:shd w:val="clear" w:color="auto" w:fill="auto"/>
            <w:tcMar>
              <w:top w:w="12" w:type="dxa"/>
              <w:left w:w="12" w:type="dxa"/>
              <w:right w:w="12" w:type="dxa"/>
            </w:tcMar>
            <w:vAlign w:val="center"/>
          </w:tcPr>
          <w:p w14:paraId="6B3177CF"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b/>
                <w:bCs/>
                <w:color w:val="000000"/>
                <w:sz w:val="21"/>
                <w:szCs w:val="21"/>
              </w:rPr>
            </w:pPr>
            <w:r>
              <w:rPr>
                <w:rFonts w:ascii="Calibri" w:eastAsia="宋体" w:hAnsi="Calibri" w:cs="Calibri"/>
                <w:b/>
                <w:bCs/>
                <w:color w:val="000000"/>
                <w:kern w:val="0"/>
                <w:sz w:val="21"/>
                <w:szCs w:val="21"/>
              </w:rPr>
              <w:t>环境因子</w:t>
            </w:r>
          </w:p>
        </w:tc>
        <w:tc>
          <w:tcPr>
            <w:tcW w:w="1860" w:type="dxa"/>
            <w:tcBorders>
              <w:top w:val="single" w:sz="8" w:space="0" w:color="auto"/>
              <w:left w:val="nil"/>
              <w:bottom w:val="single" w:sz="8" w:space="0" w:color="auto"/>
              <w:right w:val="single" w:sz="8" w:space="0" w:color="auto"/>
            </w:tcBorders>
            <w:shd w:val="clear" w:color="auto" w:fill="auto"/>
            <w:tcMar>
              <w:top w:w="12" w:type="dxa"/>
              <w:left w:w="12" w:type="dxa"/>
              <w:right w:w="12" w:type="dxa"/>
            </w:tcMar>
            <w:vAlign w:val="center"/>
          </w:tcPr>
          <w:p w14:paraId="63CE33F6"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b/>
                <w:bCs/>
                <w:color w:val="000000"/>
                <w:sz w:val="21"/>
                <w:szCs w:val="21"/>
              </w:rPr>
            </w:pPr>
            <w:r>
              <w:rPr>
                <w:rFonts w:ascii="Calibri" w:eastAsia="宋体" w:hAnsi="Calibri" w:cs="Calibri"/>
                <w:b/>
                <w:bCs/>
                <w:color w:val="000000"/>
                <w:kern w:val="0"/>
                <w:sz w:val="21"/>
                <w:szCs w:val="21"/>
              </w:rPr>
              <w:t>任务</w:t>
            </w:r>
          </w:p>
        </w:tc>
        <w:tc>
          <w:tcPr>
            <w:tcW w:w="1860" w:type="dxa"/>
            <w:tcBorders>
              <w:top w:val="single" w:sz="8" w:space="0" w:color="auto"/>
              <w:left w:val="nil"/>
              <w:bottom w:val="single" w:sz="8" w:space="0" w:color="auto"/>
              <w:right w:val="single" w:sz="8" w:space="0" w:color="auto"/>
            </w:tcBorders>
            <w:shd w:val="clear" w:color="auto" w:fill="auto"/>
            <w:tcMar>
              <w:top w:w="12" w:type="dxa"/>
              <w:left w:w="12" w:type="dxa"/>
              <w:right w:w="12" w:type="dxa"/>
            </w:tcMar>
            <w:vAlign w:val="center"/>
          </w:tcPr>
          <w:p w14:paraId="78AC56A1"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b/>
                <w:bCs/>
                <w:color w:val="000000"/>
                <w:sz w:val="21"/>
                <w:szCs w:val="21"/>
              </w:rPr>
            </w:pPr>
            <w:r>
              <w:rPr>
                <w:rFonts w:ascii="Calibri" w:eastAsia="宋体" w:hAnsi="Calibri" w:cs="Calibri"/>
                <w:b/>
                <w:bCs/>
                <w:color w:val="000000"/>
                <w:kern w:val="0"/>
                <w:sz w:val="21"/>
                <w:szCs w:val="21"/>
              </w:rPr>
              <w:t>时间安排</w:t>
            </w:r>
          </w:p>
        </w:tc>
        <w:tc>
          <w:tcPr>
            <w:tcW w:w="1860" w:type="dxa"/>
            <w:tcBorders>
              <w:top w:val="single" w:sz="8" w:space="0" w:color="auto"/>
              <w:left w:val="nil"/>
              <w:bottom w:val="single" w:sz="8" w:space="0" w:color="auto"/>
              <w:right w:val="single" w:sz="8" w:space="0" w:color="auto"/>
            </w:tcBorders>
            <w:shd w:val="clear" w:color="auto" w:fill="auto"/>
            <w:tcMar>
              <w:top w:w="12" w:type="dxa"/>
              <w:left w:w="12" w:type="dxa"/>
              <w:right w:w="12" w:type="dxa"/>
            </w:tcMar>
            <w:vAlign w:val="center"/>
          </w:tcPr>
          <w:p w14:paraId="06845EC5"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b/>
                <w:bCs/>
                <w:color w:val="000000"/>
                <w:sz w:val="21"/>
                <w:szCs w:val="21"/>
              </w:rPr>
            </w:pPr>
            <w:r>
              <w:rPr>
                <w:rFonts w:ascii="Calibri" w:eastAsia="宋体" w:hAnsi="Calibri" w:cs="Calibri"/>
                <w:b/>
                <w:bCs/>
                <w:color w:val="000000"/>
                <w:kern w:val="0"/>
                <w:sz w:val="21"/>
                <w:szCs w:val="21"/>
              </w:rPr>
              <w:t>负责机构</w:t>
            </w:r>
          </w:p>
        </w:tc>
        <w:tc>
          <w:tcPr>
            <w:tcW w:w="1860" w:type="dxa"/>
            <w:tcBorders>
              <w:top w:val="single" w:sz="8" w:space="0" w:color="auto"/>
              <w:left w:val="nil"/>
              <w:bottom w:val="single" w:sz="8" w:space="0" w:color="auto"/>
              <w:right w:val="single" w:sz="8" w:space="0" w:color="auto"/>
            </w:tcBorders>
            <w:shd w:val="clear" w:color="auto" w:fill="auto"/>
            <w:tcMar>
              <w:top w:w="12" w:type="dxa"/>
              <w:left w:w="12" w:type="dxa"/>
              <w:right w:w="12" w:type="dxa"/>
            </w:tcMar>
            <w:vAlign w:val="center"/>
          </w:tcPr>
          <w:p w14:paraId="1F345DD8"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b/>
                <w:bCs/>
                <w:color w:val="000000"/>
                <w:sz w:val="21"/>
                <w:szCs w:val="21"/>
              </w:rPr>
            </w:pPr>
            <w:r>
              <w:rPr>
                <w:rFonts w:ascii="Calibri" w:eastAsia="宋体" w:hAnsi="Calibri" w:cs="Calibri"/>
                <w:b/>
                <w:bCs/>
                <w:color w:val="000000"/>
                <w:kern w:val="0"/>
                <w:sz w:val="21"/>
                <w:szCs w:val="21"/>
              </w:rPr>
              <w:t>业主职责</w:t>
            </w:r>
          </w:p>
        </w:tc>
      </w:tr>
      <w:tr w:rsidR="005A1A44" w14:paraId="2D8807D6" w14:textId="77777777">
        <w:trPr>
          <w:trHeight w:val="871"/>
        </w:trPr>
        <w:tc>
          <w:tcPr>
            <w:tcW w:w="186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14:paraId="3BECAD43"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施工区水质保护</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01BFAB93"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循环利用施工废水</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3125DDC7"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混凝土系统使用时</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14B9D7B1"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承包方</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389454DA"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负责有关事务安排，拟定协议，支付费用，监督设施运行</w:t>
            </w:r>
          </w:p>
        </w:tc>
      </w:tr>
      <w:tr w:rsidR="005A1A44" w14:paraId="51D437A7" w14:textId="77777777">
        <w:trPr>
          <w:trHeight w:val="1958"/>
        </w:trPr>
        <w:tc>
          <w:tcPr>
            <w:tcW w:w="186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14:paraId="56A17202"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固体废弃物收集与处理</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0A9FABB1"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hint="eastAsia"/>
                <w:color w:val="000000"/>
                <w:kern w:val="0"/>
                <w:sz w:val="21"/>
                <w:szCs w:val="21"/>
              </w:rPr>
              <w:t>河道开挖土方全部用于防洪堤等工程填方，余方用于河道平整，生活垃圾全部集中收集处置到垃圾填埋场进行填埋，建筑垃圾运往建筑垃圾填埋场</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2A8A6D89"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施工人员进入营地后立即实施</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1B98D825"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承包方</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51A8BFD5"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负责有关事务安排，商讨协议，支付费用，定期检查，进行必要的协调</w:t>
            </w:r>
          </w:p>
        </w:tc>
      </w:tr>
      <w:tr w:rsidR="005A1A44" w14:paraId="1A03158A" w14:textId="77777777">
        <w:trPr>
          <w:trHeight w:val="874"/>
        </w:trPr>
        <w:tc>
          <w:tcPr>
            <w:tcW w:w="186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14:paraId="5567E360"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施工大气质量保护</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0D8AAE53"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旱季对施工道路洒水</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1C4E4E77"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施工机械设备和车辆投入运行时</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0324FA6F"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承包方</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3CA82793"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拟定协议，监督进展情况</w:t>
            </w:r>
          </w:p>
        </w:tc>
      </w:tr>
      <w:tr w:rsidR="005A1A44" w14:paraId="64F6E9BA" w14:textId="77777777">
        <w:trPr>
          <w:trHeight w:val="1415"/>
        </w:trPr>
        <w:tc>
          <w:tcPr>
            <w:tcW w:w="186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14:paraId="035DFF2A"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施工区噪声防治</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4812B24B"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禁止鸣放高音喇叭；确保卡车装有消音器；对于噪声大于</w:t>
            </w:r>
            <w:r>
              <w:rPr>
                <w:rFonts w:ascii="Calibri" w:eastAsia="宋体" w:hAnsi="Calibri" w:cs="Calibri"/>
                <w:color w:val="000000"/>
                <w:kern w:val="0"/>
                <w:sz w:val="21"/>
                <w:szCs w:val="21"/>
              </w:rPr>
              <w:t>90dB</w:t>
            </w:r>
            <w:r>
              <w:rPr>
                <w:rFonts w:ascii="宋体" w:eastAsia="宋体" w:hAnsi="宋体" w:cs="宋体" w:hint="eastAsia"/>
                <w:color w:val="000000"/>
                <w:kern w:val="0"/>
                <w:sz w:val="21"/>
                <w:szCs w:val="21"/>
              </w:rPr>
              <w:t>的机械设备，安装隔声装置</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104EBE64"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施工机械设备投入运用之前（之时）</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37EABF52"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承包方</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43BA8115"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负责有关事务的安排，拟定协议，支付费用，监测效果</w:t>
            </w:r>
          </w:p>
        </w:tc>
      </w:tr>
      <w:tr w:rsidR="005A1A44" w14:paraId="539FF59A" w14:textId="77777777">
        <w:trPr>
          <w:trHeight w:val="1042"/>
        </w:trPr>
        <w:tc>
          <w:tcPr>
            <w:tcW w:w="186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14:paraId="6F71825F"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施工迹地恢复与美化</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70A375BD"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恢复开挖及其它地表改变</w:t>
            </w:r>
            <w:r>
              <w:rPr>
                <w:rFonts w:ascii="Calibri" w:eastAsia="宋体" w:hAnsi="Calibri" w:cs="Calibri" w:hint="eastAsia"/>
                <w:color w:val="000000"/>
                <w:kern w:val="0"/>
                <w:sz w:val="21"/>
                <w:szCs w:val="21"/>
              </w:rPr>
              <w:t>的情况</w:t>
            </w:r>
            <w:r>
              <w:rPr>
                <w:rFonts w:ascii="Calibri" w:eastAsia="宋体" w:hAnsi="Calibri" w:cs="Calibri"/>
                <w:color w:val="000000"/>
                <w:kern w:val="0"/>
                <w:sz w:val="21"/>
                <w:szCs w:val="21"/>
              </w:rPr>
              <w:t>，进行绿化</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49E8BDFC"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施工后期逐步实施</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00CD3CCD"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承包方</w:t>
            </w:r>
          </w:p>
        </w:tc>
        <w:tc>
          <w:tcPr>
            <w:tcW w:w="1860"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5CA22630" w14:textId="77777777" w:rsidR="005A1A44" w:rsidRDefault="0008059E">
            <w:pPr>
              <w:widowControl/>
              <w:adjustRightInd w:val="0"/>
              <w:snapToGrid w:val="0"/>
              <w:spacing w:line="240" w:lineRule="auto"/>
              <w:ind w:firstLineChars="0" w:firstLine="0"/>
              <w:jc w:val="center"/>
              <w:textAlignment w:val="center"/>
              <w:rPr>
                <w:rFonts w:ascii="Calibri" w:eastAsia="宋体" w:hAnsi="Calibri" w:cs="Calibri"/>
                <w:color w:val="000000"/>
                <w:sz w:val="21"/>
                <w:szCs w:val="21"/>
              </w:rPr>
            </w:pPr>
            <w:r>
              <w:rPr>
                <w:rFonts w:ascii="Calibri" w:eastAsia="宋体" w:hAnsi="Calibri" w:cs="Calibri"/>
                <w:color w:val="000000"/>
                <w:kern w:val="0"/>
                <w:sz w:val="21"/>
                <w:szCs w:val="21"/>
              </w:rPr>
              <w:t>负责有关事务的安排，拟定协议，支付费用，监测进展情况</w:t>
            </w:r>
          </w:p>
        </w:tc>
      </w:tr>
    </w:tbl>
    <w:p w14:paraId="3A9DE50B" w14:textId="77777777" w:rsidR="005A1A44" w:rsidRDefault="0008059E">
      <w:pPr>
        <w:ind w:firstLine="480"/>
      </w:pPr>
      <w:r>
        <w:rPr>
          <w:rFonts w:hint="eastAsia"/>
        </w:rPr>
        <w:t>（</w:t>
      </w:r>
      <w:r>
        <w:rPr>
          <w:rFonts w:hint="eastAsia"/>
        </w:rPr>
        <w:t>4</w:t>
      </w:r>
      <w:r>
        <w:rPr>
          <w:rFonts w:hint="eastAsia"/>
        </w:rPr>
        <w:t>）竣工验收阶段</w:t>
      </w:r>
    </w:p>
    <w:p w14:paraId="5668B781" w14:textId="77777777" w:rsidR="005A1A44" w:rsidRDefault="0008059E">
      <w:pPr>
        <w:ind w:firstLine="480"/>
      </w:pPr>
      <w:r>
        <w:rPr>
          <w:rFonts w:hint="eastAsia"/>
        </w:rPr>
        <w:t>进行施工期各项环保工作总结，包括施工区污水处理回用和水土保持设施的专项总结，并附上监测监视报告，在这些工作基础上，向环保部门和水土保持部门申请竣工验收报告。</w:t>
      </w:r>
    </w:p>
    <w:p w14:paraId="0A54A7E8" w14:textId="77777777" w:rsidR="005A1A44" w:rsidRDefault="0008059E">
      <w:pPr>
        <w:ind w:firstLine="480"/>
      </w:pPr>
      <w:r>
        <w:rPr>
          <w:rFonts w:hint="eastAsia"/>
        </w:rPr>
        <w:t>（</w:t>
      </w:r>
      <w:r>
        <w:rPr>
          <w:rFonts w:hint="eastAsia"/>
        </w:rPr>
        <w:t>5</w:t>
      </w:r>
      <w:r>
        <w:rPr>
          <w:rFonts w:hint="eastAsia"/>
        </w:rPr>
        <w:t>）运行期环境管理</w:t>
      </w:r>
    </w:p>
    <w:p w14:paraId="6CBA332A" w14:textId="77777777" w:rsidR="005A1A44" w:rsidRDefault="0008059E">
      <w:pPr>
        <w:ind w:firstLine="480"/>
        <w:rPr>
          <w:color w:val="000000"/>
        </w:rPr>
      </w:pPr>
      <w:r>
        <w:rPr>
          <w:rFonts w:hint="eastAsia"/>
        </w:rPr>
        <w:t>运行期要加强环境管理工作，观测水土保持设施运行情况，环境突发事故的处理。严禁任何单位和个人在防洪堤管理范围内进行爆破、取土等危害防洪堤安全的活动</w:t>
      </w:r>
      <w:r>
        <w:rPr>
          <w:rFonts w:hint="eastAsia"/>
          <w:color w:val="000000"/>
        </w:rPr>
        <w:t>。</w:t>
      </w:r>
    </w:p>
    <w:p w14:paraId="3E49C1D4" w14:textId="77777777" w:rsidR="005A1A44" w:rsidRDefault="0008059E">
      <w:pPr>
        <w:pStyle w:val="2"/>
        <w:numPr>
          <w:ilvl w:val="1"/>
          <w:numId w:val="2"/>
        </w:numPr>
      </w:pPr>
      <w:bookmarkStart w:id="287" w:name="_Toc465790284"/>
      <w:r>
        <w:lastRenderedPageBreak/>
        <w:t xml:space="preserve"> </w:t>
      </w:r>
      <w:bookmarkStart w:id="288" w:name="_Toc31120_WPSOffice_Level2"/>
      <w:bookmarkStart w:id="289" w:name="_Toc20915_WPSOffice_Level2"/>
      <w:bookmarkStart w:id="290" w:name="_Toc20582_WPSOffice_Level2"/>
      <w:r>
        <w:t>环境监测</w:t>
      </w:r>
      <w:r>
        <w:rPr>
          <w:rFonts w:hint="eastAsia"/>
        </w:rPr>
        <w:t>计划</w:t>
      </w:r>
      <w:bookmarkEnd w:id="287"/>
      <w:bookmarkEnd w:id="288"/>
      <w:bookmarkEnd w:id="289"/>
      <w:bookmarkEnd w:id="290"/>
    </w:p>
    <w:p w14:paraId="2E9DA753" w14:textId="77777777" w:rsidR="005A1A44" w:rsidRDefault="0008059E">
      <w:pPr>
        <w:pStyle w:val="3"/>
        <w:numPr>
          <w:ilvl w:val="2"/>
          <w:numId w:val="2"/>
        </w:numPr>
      </w:pPr>
      <w:r>
        <w:t xml:space="preserve"> </w:t>
      </w:r>
      <w:r>
        <w:rPr>
          <w:rFonts w:hint="eastAsia"/>
        </w:rPr>
        <w:t>环境监测机构</w:t>
      </w:r>
    </w:p>
    <w:p w14:paraId="7128F5AA" w14:textId="77777777" w:rsidR="005A1A44" w:rsidRDefault="0008059E">
      <w:pPr>
        <w:ind w:firstLine="480"/>
      </w:pPr>
      <w:r>
        <w:rPr>
          <w:rFonts w:hint="eastAsia"/>
        </w:rPr>
        <w:t>环境监测工作应由建设单位委托有相应资质的单位负责。若发现问题，应及时找出原因，采取措施消除污染源，并上报环境保护主管部门</w:t>
      </w:r>
      <w:r>
        <w:t>。</w:t>
      </w:r>
    </w:p>
    <w:p w14:paraId="4B6564C8" w14:textId="77777777" w:rsidR="005A1A44" w:rsidRDefault="0008059E">
      <w:pPr>
        <w:pStyle w:val="3"/>
        <w:numPr>
          <w:ilvl w:val="2"/>
          <w:numId w:val="2"/>
        </w:numPr>
      </w:pPr>
      <w:r>
        <w:t xml:space="preserve"> </w:t>
      </w:r>
      <w:r>
        <w:rPr>
          <w:rFonts w:hint="eastAsia"/>
        </w:rPr>
        <w:t>施工期</w:t>
      </w:r>
      <w:r>
        <w:t>环境监测</w:t>
      </w:r>
      <w:r>
        <w:rPr>
          <w:rFonts w:hint="eastAsia"/>
        </w:rPr>
        <w:t>计划</w:t>
      </w:r>
    </w:p>
    <w:p w14:paraId="0BD82766" w14:textId="77777777" w:rsidR="005A1A44" w:rsidRDefault="0008059E">
      <w:pPr>
        <w:spacing w:line="500" w:lineRule="exact"/>
        <w:ind w:firstLine="480"/>
      </w:pPr>
      <w:r>
        <w:rPr>
          <w:rFonts w:hint="eastAsia"/>
        </w:rPr>
        <w:t>（</w:t>
      </w:r>
      <w:r>
        <w:rPr>
          <w:rFonts w:hint="eastAsia"/>
        </w:rPr>
        <w:t>1</w:t>
      </w:r>
      <w:r>
        <w:rPr>
          <w:rFonts w:hint="eastAsia"/>
        </w:rPr>
        <w:t>）水质监测</w:t>
      </w:r>
    </w:p>
    <w:p w14:paraId="7E6C2641" w14:textId="77777777" w:rsidR="005A1A44" w:rsidRDefault="0008059E">
      <w:pPr>
        <w:spacing w:line="500" w:lineRule="exact"/>
        <w:ind w:firstLine="480"/>
      </w:pPr>
      <w:r>
        <w:rPr>
          <w:rFonts w:hint="eastAsia"/>
        </w:rPr>
        <w:t>监测目的：掌握施工生产废水、生活污水对玉龙喀什河水质的影响，工程施工对水土流失的影响。必要时商讨对策措施保护河道水质。</w:t>
      </w:r>
    </w:p>
    <w:p w14:paraId="16048048" w14:textId="77777777" w:rsidR="005A1A44" w:rsidRDefault="0008059E">
      <w:pPr>
        <w:spacing w:line="500" w:lineRule="exact"/>
        <w:ind w:firstLine="480"/>
      </w:pPr>
      <w:r>
        <w:rPr>
          <w:rFonts w:hint="eastAsia"/>
        </w:rPr>
        <w:t>监测项目：</w:t>
      </w:r>
      <w:r>
        <w:rPr>
          <w:kern w:val="0"/>
        </w:rPr>
        <w:t>pH</w:t>
      </w:r>
      <w:r>
        <w:rPr>
          <w:kern w:val="0"/>
        </w:rPr>
        <w:t>、</w:t>
      </w:r>
      <w:r>
        <w:rPr>
          <w:rFonts w:hint="eastAsia"/>
          <w:kern w:val="0"/>
        </w:rPr>
        <w:t>SS</w:t>
      </w:r>
      <w:r>
        <w:rPr>
          <w:rFonts w:hint="eastAsia"/>
          <w:kern w:val="0"/>
        </w:rPr>
        <w:t>、</w:t>
      </w:r>
      <w:r>
        <w:rPr>
          <w:kern w:val="0"/>
        </w:rPr>
        <w:t>COD</w:t>
      </w:r>
      <w:r>
        <w:rPr>
          <w:kern w:val="0"/>
        </w:rPr>
        <w:t>、</w:t>
      </w:r>
      <w:r>
        <w:rPr>
          <w:rFonts w:hint="eastAsia"/>
          <w:kern w:val="0"/>
        </w:rPr>
        <w:t>BOD</w:t>
      </w:r>
      <w:r>
        <w:rPr>
          <w:rFonts w:hint="eastAsia"/>
          <w:kern w:val="0"/>
          <w:vertAlign w:val="subscript"/>
        </w:rPr>
        <w:t>5</w:t>
      </w:r>
      <w:r>
        <w:rPr>
          <w:kern w:val="0"/>
        </w:rPr>
        <w:t>、</w:t>
      </w:r>
      <w:r>
        <w:rPr>
          <w:rFonts w:hint="eastAsia"/>
          <w:kern w:val="0"/>
        </w:rPr>
        <w:t>氨氮</w:t>
      </w:r>
      <w:r>
        <w:rPr>
          <w:kern w:val="0"/>
        </w:rPr>
        <w:t>、石油类</w:t>
      </w:r>
      <w:r>
        <w:rPr>
          <w:rFonts w:hint="eastAsia"/>
          <w:kern w:val="0"/>
        </w:rPr>
        <w:t>等</w:t>
      </w:r>
      <w:r>
        <w:rPr>
          <w:rFonts w:hint="eastAsia"/>
        </w:rPr>
        <w:t>。</w:t>
      </w:r>
    </w:p>
    <w:p w14:paraId="45B9F697" w14:textId="77777777" w:rsidR="005A1A44" w:rsidRDefault="0008059E">
      <w:pPr>
        <w:spacing w:line="500" w:lineRule="exact"/>
        <w:ind w:firstLine="480"/>
      </w:pPr>
      <w:r>
        <w:rPr>
          <w:rFonts w:hint="eastAsia"/>
        </w:rPr>
        <w:t>监测断面：设置</w:t>
      </w:r>
      <w:r>
        <w:t>2</w:t>
      </w:r>
      <w:r>
        <w:rPr>
          <w:rFonts w:hint="eastAsia"/>
        </w:rPr>
        <w:t>个监测断面，即项目区起点河段和终点河段。</w:t>
      </w:r>
    </w:p>
    <w:p w14:paraId="0A35CDAF" w14:textId="77777777" w:rsidR="005A1A44" w:rsidRDefault="0008059E">
      <w:pPr>
        <w:spacing w:line="500" w:lineRule="exact"/>
        <w:ind w:firstLine="480"/>
      </w:pPr>
      <w:r>
        <w:rPr>
          <w:rFonts w:hint="eastAsia"/>
        </w:rPr>
        <w:t>监测频次：每年平、枯、丰期各</w:t>
      </w:r>
      <w:r>
        <w:rPr>
          <w:rFonts w:hint="eastAsia"/>
        </w:rPr>
        <w:t>1</w:t>
      </w:r>
      <w:r>
        <w:rPr>
          <w:rFonts w:hint="eastAsia"/>
        </w:rPr>
        <w:t>次，连续采样</w:t>
      </w:r>
      <w:r>
        <w:rPr>
          <w:rFonts w:hint="eastAsia"/>
        </w:rPr>
        <w:t>2</w:t>
      </w:r>
      <w:r>
        <w:rPr>
          <w:rFonts w:hint="eastAsia"/>
        </w:rPr>
        <w:t>天，</w:t>
      </w:r>
      <w:r>
        <w:rPr>
          <w:rFonts w:hint="eastAsia"/>
        </w:rPr>
        <w:t>1</w:t>
      </w:r>
      <w:r>
        <w:rPr>
          <w:rFonts w:hint="eastAsia"/>
        </w:rPr>
        <w:t>次</w:t>
      </w:r>
      <w:r>
        <w:rPr>
          <w:rFonts w:hint="eastAsia"/>
        </w:rPr>
        <w:t>/</w:t>
      </w:r>
      <w:r>
        <w:rPr>
          <w:rFonts w:hint="eastAsia"/>
        </w:rPr>
        <w:t>天。</w:t>
      </w:r>
    </w:p>
    <w:p w14:paraId="4D206959" w14:textId="77777777" w:rsidR="005A1A44" w:rsidRDefault="0008059E">
      <w:pPr>
        <w:spacing w:line="500" w:lineRule="exact"/>
        <w:ind w:firstLine="480"/>
        <w:rPr>
          <w:color w:val="000000"/>
        </w:rPr>
      </w:pPr>
      <w:r>
        <w:rPr>
          <w:rFonts w:hint="eastAsia"/>
        </w:rPr>
        <w:t>评价标准：《地表水环境质量标准》（</w:t>
      </w:r>
      <w:r>
        <w:rPr>
          <w:rFonts w:hint="eastAsia"/>
        </w:rPr>
        <w:t>G B 3838-200</w:t>
      </w:r>
      <w:r>
        <w:rPr>
          <w:rFonts w:hint="eastAsia"/>
          <w:color w:val="000000"/>
        </w:rPr>
        <w:t>2</w:t>
      </w:r>
      <w:r>
        <w:rPr>
          <w:rFonts w:hint="eastAsia"/>
          <w:color w:val="000000"/>
        </w:rPr>
        <w:t>）</w:t>
      </w:r>
      <w:r>
        <w:rPr>
          <w:rFonts w:ascii="宋体" w:hAnsi="宋体" w:hint="eastAsia"/>
          <w:color w:val="000000"/>
        </w:rPr>
        <w:t>III</w:t>
      </w:r>
      <w:r>
        <w:rPr>
          <w:rFonts w:hint="eastAsia"/>
          <w:color w:val="000000"/>
        </w:rPr>
        <w:t>类。</w:t>
      </w:r>
    </w:p>
    <w:p w14:paraId="6F764CB4" w14:textId="77777777" w:rsidR="005A1A44" w:rsidRDefault="0008059E">
      <w:pPr>
        <w:spacing w:line="500" w:lineRule="exact"/>
        <w:ind w:firstLine="480"/>
        <w:rPr>
          <w:color w:val="000000"/>
        </w:rPr>
      </w:pPr>
      <w:r>
        <w:rPr>
          <w:rFonts w:hint="eastAsia"/>
          <w:color w:val="000000"/>
        </w:rPr>
        <w:t>（</w:t>
      </w:r>
      <w:r>
        <w:rPr>
          <w:rFonts w:hint="eastAsia"/>
          <w:color w:val="000000"/>
        </w:rPr>
        <w:t>2</w:t>
      </w:r>
      <w:r>
        <w:rPr>
          <w:rFonts w:hint="eastAsia"/>
          <w:color w:val="000000"/>
        </w:rPr>
        <w:t>）监视监测</w:t>
      </w:r>
    </w:p>
    <w:p w14:paraId="28697946" w14:textId="77777777" w:rsidR="005A1A44" w:rsidRDefault="0008059E">
      <w:pPr>
        <w:spacing w:line="500" w:lineRule="exact"/>
        <w:ind w:firstLine="480"/>
      </w:pPr>
      <w:r>
        <w:rPr>
          <w:rFonts w:hint="eastAsia"/>
        </w:rPr>
        <w:t>a</w:t>
      </w:r>
      <w:r>
        <w:rPr>
          <w:rFonts w:hint="eastAsia"/>
        </w:rPr>
        <w:t>．对污水处理设施运行情况监视，即对施工区的生产、生活污废水处理设施出口水进行监视，每天</w:t>
      </w:r>
      <w:r>
        <w:rPr>
          <w:rFonts w:hint="eastAsia"/>
        </w:rPr>
        <w:t>2</w:t>
      </w:r>
      <w:r>
        <w:rPr>
          <w:rFonts w:hint="eastAsia"/>
        </w:rPr>
        <w:t>次，并做好记录。</w:t>
      </w:r>
    </w:p>
    <w:p w14:paraId="715E2AD9" w14:textId="77777777" w:rsidR="005A1A44" w:rsidRDefault="0008059E">
      <w:pPr>
        <w:spacing w:line="500" w:lineRule="exact"/>
        <w:ind w:firstLine="480"/>
      </w:pPr>
      <w:r>
        <w:rPr>
          <w:rFonts w:hint="eastAsia"/>
        </w:rPr>
        <w:t>b</w:t>
      </w:r>
      <w:r>
        <w:rPr>
          <w:rFonts w:hint="eastAsia"/>
        </w:rPr>
        <w:t>．对水土保持措施、植被恢复情况监视，每月</w:t>
      </w:r>
      <w:r>
        <w:rPr>
          <w:rFonts w:hint="eastAsia"/>
        </w:rPr>
        <w:t>1</w:t>
      </w:r>
      <w:r>
        <w:rPr>
          <w:rFonts w:hint="eastAsia"/>
        </w:rPr>
        <w:t>次，并做好记录。</w:t>
      </w:r>
    </w:p>
    <w:p w14:paraId="449EBE6B" w14:textId="77777777" w:rsidR="005A1A44" w:rsidRDefault="0008059E">
      <w:pPr>
        <w:spacing w:line="500" w:lineRule="exact"/>
        <w:ind w:firstLine="480"/>
      </w:pPr>
      <w:r>
        <w:rPr>
          <w:rFonts w:hint="eastAsia"/>
        </w:rPr>
        <w:t>（</w:t>
      </w:r>
      <w:r>
        <w:rPr>
          <w:rFonts w:hint="eastAsia"/>
        </w:rPr>
        <w:t>3</w:t>
      </w:r>
      <w:r>
        <w:rPr>
          <w:rFonts w:hint="eastAsia"/>
        </w:rPr>
        <w:t>）噪声监测</w:t>
      </w:r>
    </w:p>
    <w:p w14:paraId="18FBE4D1" w14:textId="77777777" w:rsidR="005A1A44" w:rsidRDefault="0008059E">
      <w:pPr>
        <w:spacing w:line="500" w:lineRule="exact"/>
        <w:ind w:firstLine="480"/>
      </w:pPr>
      <w:r>
        <w:rPr>
          <w:rFonts w:hint="eastAsia"/>
        </w:rPr>
        <w:t>监测点位：设</w:t>
      </w:r>
      <w:r>
        <w:t>5</w:t>
      </w:r>
      <w:r>
        <w:rPr>
          <w:rFonts w:hint="eastAsia"/>
        </w:rPr>
        <w:t>个噪声监测点位。</w:t>
      </w:r>
    </w:p>
    <w:p w14:paraId="1285E684" w14:textId="77777777" w:rsidR="005A1A44" w:rsidRDefault="0008059E">
      <w:pPr>
        <w:spacing w:line="500" w:lineRule="exact"/>
        <w:ind w:firstLine="480"/>
        <w:rPr>
          <w:color w:val="000000"/>
        </w:rPr>
      </w:pPr>
      <w:r>
        <w:rPr>
          <w:rFonts w:hint="eastAsia"/>
          <w:color w:val="000000"/>
        </w:rPr>
        <w:t>监测时间：施工期每</w:t>
      </w:r>
      <w:r>
        <w:rPr>
          <w:rFonts w:hint="eastAsia"/>
          <w:color w:val="000000"/>
        </w:rPr>
        <w:t>3</w:t>
      </w:r>
      <w:r>
        <w:rPr>
          <w:rFonts w:hint="eastAsia"/>
          <w:color w:val="000000"/>
        </w:rPr>
        <w:t>个月监测</w:t>
      </w:r>
      <w:r>
        <w:rPr>
          <w:rFonts w:hint="eastAsia"/>
          <w:color w:val="000000"/>
        </w:rPr>
        <w:t>1</w:t>
      </w:r>
      <w:r>
        <w:rPr>
          <w:rFonts w:hint="eastAsia"/>
          <w:color w:val="000000"/>
        </w:rPr>
        <w:t>次，监测时间应选择施工的高峰期，昼间和夜间各一次；需及时提出意见，反馈给施工单位，减少施工噪声扰民的意见。</w:t>
      </w:r>
    </w:p>
    <w:p w14:paraId="35E91F75" w14:textId="77777777" w:rsidR="005A1A44" w:rsidRDefault="0008059E">
      <w:pPr>
        <w:spacing w:line="500" w:lineRule="exact"/>
        <w:ind w:firstLine="480"/>
        <w:rPr>
          <w:color w:val="000000"/>
        </w:rPr>
      </w:pPr>
      <w:r>
        <w:rPr>
          <w:rFonts w:hint="eastAsia"/>
          <w:color w:val="000000"/>
        </w:rPr>
        <w:t>评价标准：按国标《声环境质量标准》。</w:t>
      </w:r>
    </w:p>
    <w:p w14:paraId="4B68AC9C" w14:textId="77777777" w:rsidR="005A1A44" w:rsidRDefault="0008059E">
      <w:pPr>
        <w:spacing w:line="500" w:lineRule="exact"/>
        <w:ind w:firstLine="480"/>
        <w:rPr>
          <w:color w:val="000000"/>
        </w:rPr>
      </w:pPr>
      <w:r>
        <w:rPr>
          <w:rFonts w:hint="eastAsia"/>
          <w:color w:val="000000"/>
        </w:rPr>
        <w:t>（</w:t>
      </w:r>
      <w:r>
        <w:rPr>
          <w:rFonts w:hint="eastAsia"/>
          <w:color w:val="000000"/>
        </w:rPr>
        <w:t>4</w:t>
      </w:r>
      <w:r>
        <w:rPr>
          <w:rFonts w:hint="eastAsia"/>
          <w:color w:val="000000"/>
        </w:rPr>
        <w:t>）大气监测</w:t>
      </w:r>
    </w:p>
    <w:p w14:paraId="09B2C61A" w14:textId="77777777" w:rsidR="005A1A44" w:rsidRDefault="0008059E">
      <w:pPr>
        <w:spacing w:line="500" w:lineRule="exact"/>
        <w:ind w:firstLine="480"/>
        <w:rPr>
          <w:color w:val="000000"/>
        </w:rPr>
      </w:pPr>
      <w:r>
        <w:rPr>
          <w:rFonts w:hint="eastAsia"/>
          <w:color w:val="000000"/>
        </w:rPr>
        <w:t>监测点位：按无组织排放监控浓度限值的要求，每个施工区设</w:t>
      </w:r>
      <w:r>
        <w:rPr>
          <w:rFonts w:hint="eastAsia"/>
          <w:color w:val="000000"/>
        </w:rPr>
        <w:t>2</w:t>
      </w:r>
      <w:r>
        <w:rPr>
          <w:rFonts w:hint="eastAsia"/>
          <w:color w:val="000000"/>
        </w:rPr>
        <w:t>个点位，点位</w:t>
      </w:r>
      <w:r>
        <w:rPr>
          <w:rFonts w:hint="eastAsia"/>
          <w:color w:val="000000"/>
        </w:rPr>
        <w:lastRenderedPageBreak/>
        <w:t>位于施工区下风向周界。</w:t>
      </w:r>
    </w:p>
    <w:p w14:paraId="2A66765D" w14:textId="77777777" w:rsidR="005A1A44" w:rsidRDefault="0008059E">
      <w:pPr>
        <w:spacing w:line="500" w:lineRule="exact"/>
        <w:ind w:firstLine="480"/>
        <w:rPr>
          <w:color w:val="000000"/>
        </w:rPr>
      </w:pPr>
      <w:r>
        <w:rPr>
          <w:rFonts w:hint="eastAsia"/>
          <w:color w:val="000000"/>
        </w:rPr>
        <w:t>监测时间：施工期每季度进行一次，每天</w:t>
      </w:r>
      <w:r>
        <w:rPr>
          <w:rFonts w:hint="eastAsia"/>
          <w:color w:val="000000"/>
        </w:rPr>
        <w:t>3</w:t>
      </w:r>
      <w:r>
        <w:rPr>
          <w:rFonts w:hint="eastAsia"/>
          <w:color w:val="000000"/>
        </w:rPr>
        <w:t>次，监测时间应选择施工的高峰期，选无雨天进行。</w:t>
      </w:r>
    </w:p>
    <w:p w14:paraId="37D799FD" w14:textId="77777777" w:rsidR="005A1A44" w:rsidRDefault="0008059E">
      <w:pPr>
        <w:spacing w:line="500" w:lineRule="exact"/>
        <w:ind w:firstLine="480"/>
        <w:rPr>
          <w:color w:val="000000"/>
        </w:rPr>
      </w:pPr>
      <w:r>
        <w:rPr>
          <w:rFonts w:hint="eastAsia"/>
          <w:color w:val="000000"/>
        </w:rPr>
        <w:t>监测项目：</w:t>
      </w:r>
      <w:r>
        <w:rPr>
          <w:rFonts w:hint="eastAsia"/>
          <w:color w:val="000000"/>
        </w:rPr>
        <w:t>TSP</w:t>
      </w:r>
      <w:r>
        <w:rPr>
          <w:rFonts w:hint="eastAsia"/>
          <w:color w:val="000000"/>
        </w:rPr>
        <w:t>。</w:t>
      </w:r>
    </w:p>
    <w:p w14:paraId="653B4E55" w14:textId="77777777" w:rsidR="005A1A44" w:rsidRDefault="0008059E">
      <w:pPr>
        <w:spacing w:line="500" w:lineRule="exact"/>
        <w:ind w:firstLine="480"/>
        <w:rPr>
          <w:color w:val="000000"/>
        </w:rPr>
      </w:pPr>
      <w:r>
        <w:rPr>
          <w:rFonts w:hint="eastAsia"/>
          <w:color w:val="000000"/>
        </w:rPr>
        <w:t>监测方法：按国家监测分析方法进行采样与分析。</w:t>
      </w:r>
    </w:p>
    <w:p w14:paraId="2F390166" w14:textId="77777777" w:rsidR="005A1A44" w:rsidRDefault="0008059E">
      <w:pPr>
        <w:spacing w:line="500" w:lineRule="exact"/>
        <w:ind w:firstLine="480"/>
      </w:pPr>
      <w:r>
        <w:rPr>
          <w:rFonts w:hint="eastAsia"/>
        </w:rPr>
        <w:t>（</w:t>
      </w:r>
      <w:r>
        <w:rPr>
          <w:rFonts w:hint="eastAsia"/>
        </w:rPr>
        <w:t>5</w:t>
      </w:r>
      <w:r>
        <w:rPr>
          <w:rFonts w:hint="eastAsia"/>
        </w:rPr>
        <w:t>）水土保持监测</w:t>
      </w:r>
    </w:p>
    <w:p w14:paraId="38F77CD3" w14:textId="77777777" w:rsidR="005A1A44" w:rsidRDefault="0008059E">
      <w:pPr>
        <w:spacing w:line="500" w:lineRule="exact"/>
        <w:ind w:firstLine="480"/>
      </w:pPr>
      <w:r>
        <w:rPr>
          <w:rFonts w:hint="eastAsia"/>
        </w:rPr>
        <w:t>主要监测项目有水土流失状况、水土流失防治效果。监测时段分为施工期（为两年）和自然恢复期（为运行初期</w:t>
      </w:r>
      <w:r>
        <w:rPr>
          <w:rFonts w:hint="eastAsia"/>
        </w:rPr>
        <w:t>1</w:t>
      </w:r>
      <w:r>
        <w:rPr>
          <w:rFonts w:hint="eastAsia"/>
        </w:rPr>
        <w:t>年），总监测时段长</w:t>
      </w:r>
      <w:r>
        <w:rPr>
          <w:rFonts w:hint="eastAsia"/>
        </w:rPr>
        <w:t>3</w:t>
      </w:r>
      <w:r>
        <w:rPr>
          <w:rFonts w:hint="eastAsia"/>
        </w:rPr>
        <w:t>年半。</w:t>
      </w:r>
    </w:p>
    <w:p w14:paraId="097C6B2B" w14:textId="77777777" w:rsidR="005A1A44" w:rsidRDefault="0008059E">
      <w:pPr>
        <w:spacing w:line="500" w:lineRule="exact"/>
        <w:ind w:firstLine="480"/>
      </w:pPr>
      <w:r>
        <w:rPr>
          <w:rFonts w:hint="eastAsia"/>
        </w:rPr>
        <w:t>监测频次：工程开工前监测</w:t>
      </w:r>
      <w:r>
        <w:rPr>
          <w:rFonts w:hint="eastAsia"/>
        </w:rPr>
        <w:t>1</w:t>
      </w:r>
      <w:r>
        <w:rPr>
          <w:rFonts w:hint="eastAsia"/>
        </w:rPr>
        <w:t>次，掌握侵蚀模数背景值，施工期汛期监测每月</w:t>
      </w:r>
      <w:r>
        <w:rPr>
          <w:rFonts w:hint="eastAsia"/>
        </w:rPr>
        <w:t>1</w:t>
      </w:r>
      <w:r>
        <w:rPr>
          <w:rFonts w:hint="eastAsia"/>
        </w:rPr>
        <w:t>次，逢暴雨或中雨（降雨强度大于</w:t>
      </w:r>
      <w:r>
        <w:rPr>
          <w:rFonts w:hint="eastAsia"/>
        </w:rPr>
        <w:t>50mm/h</w:t>
      </w:r>
      <w:r>
        <w:rPr>
          <w:rFonts w:hint="eastAsia"/>
        </w:rPr>
        <w:t>或一次降雨大于</w:t>
      </w:r>
      <w:r>
        <w:rPr>
          <w:rFonts w:hint="eastAsia"/>
        </w:rPr>
        <w:t>100mm</w:t>
      </w:r>
      <w:r>
        <w:rPr>
          <w:rFonts w:hint="eastAsia"/>
        </w:rPr>
        <w:t>）后加测</w:t>
      </w:r>
      <w:r>
        <w:rPr>
          <w:rFonts w:hint="eastAsia"/>
        </w:rPr>
        <w:t>1</w:t>
      </w:r>
      <w:r>
        <w:rPr>
          <w:rFonts w:hint="eastAsia"/>
        </w:rPr>
        <w:t>次，监测方法根据《水土保持监测技术规程》（</w:t>
      </w:r>
      <w:r>
        <w:rPr>
          <w:rFonts w:hint="eastAsia"/>
        </w:rPr>
        <w:t>SL277-2002</w:t>
      </w:r>
      <w:r>
        <w:rPr>
          <w:rFonts w:hint="eastAsia"/>
        </w:rPr>
        <w:t>），项目水土保持监测应有相对固定的观测设施，监测方法采用实地调查法、现场巡查法、定点检测法和综合分析法；项目水土保持重点监测点位为水土流失预测量较大的施工区、工程区开挖边坡、料场。</w:t>
      </w:r>
    </w:p>
    <w:p w14:paraId="05281329" w14:textId="77777777" w:rsidR="005A1A44" w:rsidRDefault="0008059E">
      <w:pPr>
        <w:pStyle w:val="3"/>
        <w:numPr>
          <w:ilvl w:val="2"/>
          <w:numId w:val="2"/>
        </w:numPr>
      </w:pPr>
      <w:r>
        <w:rPr>
          <w:rFonts w:hint="eastAsia"/>
        </w:rPr>
        <w:t xml:space="preserve"> </w:t>
      </w:r>
      <w:r>
        <w:rPr>
          <w:rFonts w:hint="eastAsia"/>
        </w:rPr>
        <w:t>营运期环境监测计划</w:t>
      </w:r>
    </w:p>
    <w:p w14:paraId="6D73CAC2" w14:textId="77777777" w:rsidR="005A1A44" w:rsidRDefault="0008059E">
      <w:pPr>
        <w:ind w:firstLine="480"/>
      </w:pPr>
      <w:r>
        <w:rPr>
          <w:rFonts w:hint="eastAsia"/>
        </w:rPr>
        <w:t>（</w:t>
      </w:r>
      <w:r>
        <w:rPr>
          <w:rFonts w:hint="eastAsia"/>
        </w:rPr>
        <w:t>1</w:t>
      </w:r>
      <w:r>
        <w:rPr>
          <w:rFonts w:hint="eastAsia"/>
        </w:rPr>
        <w:t>）水质监测</w:t>
      </w:r>
    </w:p>
    <w:p w14:paraId="0E365D88" w14:textId="77777777" w:rsidR="005A1A44" w:rsidRDefault="0008059E">
      <w:pPr>
        <w:ind w:firstLine="480"/>
      </w:pPr>
      <w:r>
        <w:rPr>
          <w:rFonts w:hint="eastAsia"/>
        </w:rPr>
        <w:t>监测目的：为了了解工程建设前后水质的变化情况，应加强水质监测，水质监测纳入当地水环境监测网络。</w:t>
      </w:r>
    </w:p>
    <w:p w14:paraId="56AED0FE" w14:textId="77777777" w:rsidR="005A1A44" w:rsidRDefault="0008059E">
      <w:pPr>
        <w:ind w:firstLine="480"/>
      </w:pPr>
      <w:r>
        <w:rPr>
          <w:rFonts w:hint="eastAsia"/>
        </w:rPr>
        <w:t>监测断面：同施工期</w:t>
      </w:r>
    </w:p>
    <w:p w14:paraId="0B948F05" w14:textId="77777777" w:rsidR="005A1A44" w:rsidRDefault="0008059E">
      <w:pPr>
        <w:ind w:firstLine="480"/>
      </w:pPr>
      <w:r>
        <w:rPr>
          <w:rFonts w:hint="eastAsia"/>
        </w:rPr>
        <w:t>监测项目：</w:t>
      </w:r>
      <w:r>
        <w:t>pH</w:t>
      </w:r>
      <w:r>
        <w:t>、</w:t>
      </w:r>
      <w:r>
        <w:rPr>
          <w:rFonts w:hint="eastAsia"/>
        </w:rPr>
        <w:t>SS</w:t>
      </w:r>
      <w:r>
        <w:rPr>
          <w:rFonts w:hint="eastAsia"/>
        </w:rPr>
        <w:t>、</w:t>
      </w:r>
      <w:r>
        <w:t>COD</w:t>
      </w:r>
      <w:r>
        <w:t>、</w:t>
      </w:r>
      <w:r>
        <w:rPr>
          <w:rFonts w:hint="eastAsia"/>
        </w:rPr>
        <w:t>BOD5</w:t>
      </w:r>
      <w:r>
        <w:t>、</w:t>
      </w:r>
      <w:r>
        <w:rPr>
          <w:rFonts w:hint="eastAsia"/>
        </w:rPr>
        <w:t>氨氮</w:t>
      </w:r>
      <w:r>
        <w:t>、石油类</w:t>
      </w:r>
      <w:r>
        <w:rPr>
          <w:rFonts w:hint="eastAsia"/>
        </w:rPr>
        <w:t>等。</w:t>
      </w:r>
    </w:p>
    <w:p w14:paraId="5D3F7820" w14:textId="77777777" w:rsidR="005A1A44" w:rsidRDefault="0008059E">
      <w:pPr>
        <w:ind w:firstLine="480"/>
      </w:pPr>
      <w:r>
        <w:rPr>
          <w:rFonts w:hint="eastAsia"/>
        </w:rPr>
        <w:t>监测频次：项目竣工后的头</w:t>
      </w:r>
      <w:r>
        <w:rPr>
          <w:rFonts w:hint="eastAsia"/>
        </w:rPr>
        <w:t>1</w:t>
      </w:r>
      <w:r>
        <w:rPr>
          <w:rFonts w:hint="eastAsia"/>
        </w:rPr>
        <w:t>年，丰、平、枯水期，一期</w:t>
      </w:r>
      <w:r>
        <w:rPr>
          <w:rFonts w:hint="eastAsia"/>
        </w:rPr>
        <w:t>2</w:t>
      </w:r>
      <w:r>
        <w:rPr>
          <w:rFonts w:hint="eastAsia"/>
        </w:rPr>
        <w:t>次采水样分析。</w:t>
      </w:r>
    </w:p>
    <w:p w14:paraId="66F03E23" w14:textId="77777777" w:rsidR="005A1A44" w:rsidRDefault="0008059E">
      <w:pPr>
        <w:ind w:firstLine="480"/>
      </w:pPr>
      <w:r>
        <w:rPr>
          <w:rFonts w:hint="eastAsia"/>
        </w:rPr>
        <w:t>分析方法：按《地表水环境质量标准》（</w:t>
      </w:r>
      <w:r>
        <w:rPr>
          <w:rFonts w:hint="eastAsia"/>
        </w:rPr>
        <w:t>GB 3838-2002</w:t>
      </w:r>
      <w:r>
        <w:rPr>
          <w:rFonts w:hint="eastAsia"/>
        </w:rPr>
        <w:t>）中要求方法进行。</w:t>
      </w:r>
    </w:p>
    <w:p w14:paraId="298CAEBD" w14:textId="77777777" w:rsidR="005A1A44" w:rsidRDefault="0008059E">
      <w:pPr>
        <w:ind w:firstLine="480"/>
      </w:pPr>
      <w:r>
        <w:rPr>
          <w:rFonts w:hint="eastAsia"/>
        </w:rPr>
        <w:t>（</w:t>
      </w:r>
      <w:r>
        <w:rPr>
          <w:rFonts w:hint="eastAsia"/>
        </w:rPr>
        <w:t>2</w:t>
      </w:r>
      <w:r>
        <w:rPr>
          <w:rFonts w:hint="eastAsia"/>
        </w:rPr>
        <w:t>）洪水测报系统</w:t>
      </w:r>
    </w:p>
    <w:p w14:paraId="15186354" w14:textId="77777777" w:rsidR="005A1A44" w:rsidRDefault="0008059E">
      <w:pPr>
        <w:ind w:firstLine="480"/>
      </w:pPr>
      <w:r>
        <w:rPr>
          <w:rFonts w:hint="eastAsia"/>
        </w:rPr>
        <w:t>建立洪水预测报系统，城区可通过广播、电话、电视传递洪水消息。尽快建立自动测报系统，购买先进测报设备，加强雨情预测预报，进行适时洪水信息传递，</w:t>
      </w:r>
      <w:r>
        <w:rPr>
          <w:rFonts w:hint="eastAsia"/>
        </w:rPr>
        <w:lastRenderedPageBreak/>
        <w:t>确保通讯线路畅通无阻，做好防汛的各种准备工作，最大限度地减少洪灾损失。</w:t>
      </w:r>
    </w:p>
    <w:p w14:paraId="63A738BF" w14:textId="77777777" w:rsidR="005A1A44" w:rsidRDefault="0008059E">
      <w:pPr>
        <w:pStyle w:val="2"/>
        <w:numPr>
          <w:ilvl w:val="1"/>
          <w:numId w:val="2"/>
        </w:numPr>
      </w:pPr>
      <w:bookmarkStart w:id="291" w:name="_Toc1680_WPSOffice_Level2"/>
      <w:bookmarkStart w:id="292" w:name="_Toc465790285"/>
      <w:bookmarkStart w:id="293" w:name="_Toc31448_WPSOffice_Level2"/>
      <w:r>
        <w:rPr>
          <w:rFonts w:hint="eastAsia"/>
        </w:rPr>
        <w:t xml:space="preserve"> </w:t>
      </w:r>
      <w:bookmarkStart w:id="294" w:name="_Toc4753_WPSOffice_Level2"/>
      <w:r>
        <w:t>环境监理</w:t>
      </w:r>
      <w:bookmarkEnd w:id="291"/>
      <w:bookmarkEnd w:id="292"/>
      <w:bookmarkEnd w:id="293"/>
      <w:bookmarkEnd w:id="294"/>
    </w:p>
    <w:p w14:paraId="2138F02C" w14:textId="77777777" w:rsidR="005A1A44" w:rsidRDefault="0008059E">
      <w:pPr>
        <w:ind w:firstLine="480"/>
      </w:pPr>
      <w:r>
        <w:rPr>
          <w:rFonts w:hint="eastAsia"/>
        </w:rPr>
        <w:t>环境监理是伴随着工程监理而产生的一项全新工作，是环境保护工作的继续和延伸，就是依据环境保护的行政法规和技术标准，综合运用法律、经济、行政和技术手段，对工程建设参与者的环保行为，以及他们的责、权、利进行必要的协调与约束，防治环境污染，保护生态，最终达到工程的经济、社会和环境三种效益的统一。</w:t>
      </w:r>
    </w:p>
    <w:p w14:paraId="20629A55" w14:textId="77777777" w:rsidR="005A1A44" w:rsidRDefault="0008059E">
      <w:pPr>
        <w:pStyle w:val="3"/>
        <w:numPr>
          <w:ilvl w:val="2"/>
          <w:numId w:val="2"/>
        </w:numPr>
      </w:pPr>
      <w:r>
        <w:t xml:space="preserve"> </w:t>
      </w:r>
      <w:r>
        <w:rPr>
          <w:rFonts w:hint="eastAsia"/>
        </w:rPr>
        <w:t>环境监理目标与任务</w:t>
      </w:r>
    </w:p>
    <w:p w14:paraId="01C77A43" w14:textId="77777777" w:rsidR="005A1A44" w:rsidRDefault="0008059E">
      <w:pPr>
        <w:spacing w:line="500" w:lineRule="exact"/>
        <w:ind w:firstLine="480"/>
        <w:rPr>
          <w:color w:val="000000"/>
        </w:rPr>
      </w:pPr>
      <w:r>
        <w:rPr>
          <w:rFonts w:hint="eastAsia"/>
          <w:color w:val="000000"/>
        </w:rPr>
        <w:t>环境监理目标：以适当的环境保护投资充分发挥本工程潜在的效益，使环境影响报告书中所确认的不利影响得到缓解或消除，落实招标文件中环境保护条款及环境有关的合同条款，施工区没有大规模的传染病暴发和流行，实现工程建设的环境、社会与经济效益的统一。</w:t>
      </w:r>
    </w:p>
    <w:p w14:paraId="5CAA0579" w14:textId="77777777" w:rsidR="005A1A44" w:rsidRDefault="0008059E">
      <w:pPr>
        <w:pStyle w:val="4"/>
        <w:numPr>
          <w:ilvl w:val="3"/>
          <w:numId w:val="2"/>
        </w:numPr>
      </w:pPr>
      <w:r>
        <w:rPr>
          <w:rFonts w:hint="eastAsia"/>
        </w:rPr>
        <w:t>环境监理的作用</w:t>
      </w:r>
    </w:p>
    <w:p w14:paraId="01A0E873" w14:textId="77777777" w:rsidR="005A1A44" w:rsidRDefault="0008059E">
      <w:pPr>
        <w:ind w:firstLine="480"/>
      </w:pPr>
      <w:r>
        <w:rPr>
          <w:rFonts w:hint="eastAsia"/>
        </w:rPr>
        <w:t>（</w:t>
      </w:r>
      <w:r>
        <w:rPr>
          <w:rFonts w:hint="eastAsia"/>
        </w:rPr>
        <w:t>1</w:t>
      </w:r>
      <w:r>
        <w:rPr>
          <w:rFonts w:hint="eastAsia"/>
        </w:rPr>
        <w:t>）预防功能。预防工程实施过程中可能出现的环境问题，事先采取措施进行防范，已达到减少环境污染、保护生态的目的。</w:t>
      </w:r>
    </w:p>
    <w:p w14:paraId="15024711" w14:textId="77777777" w:rsidR="005A1A44" w:rsidRDefault="0008059E">
      <w:pPr>
        <w:spacing w:line="500" w:lineRule="exact"/>
        <w:ind w:firstLine="480"/>
        <w:rPr>
          <w:color w:val="000000"/>
        </w:rPr>
      </w:pPr>
      <w:r>
        <w:rPr>
          <w:rFonts w:hint="eastAsia"/>
          <w:color w:val="000000"/>
        </w:rPr>
        <w:t>（</w:t>
      </w:r>
      <w:r>
        <w:rPr>
          <w:rFonts w:hint="eastAsia"/>
          <w:color w:val="000000"/>
        </w:rPr>
        <w:t>2</w:t>
      </w:r>
      <w:r>
        <w:rPr>
          <w:rFonts w:hint="eastAsia"/>
          <w:color w:val="000000"/>
        </w:rPr>
        <w:t>）制约功能。工程建设涉及的环境保护工作受多种因素的制约和影响，对此需要对各部门，各环境的工作进行及时的检查、牵制和调节，以保证整个过程的平衡协调。</w:t>
      </w:r>
    </w:p>
    <w:p w14:paraId="136D0F00" w14:textId="77777777" w:rsidR="005A1A44" w:rsidRDefault="0008059E">
      <w:pPr>
        <w:spacing w:line="500" w:lineRule="exact"/>
        <w:ind w:firstLine="480"/>
        <w:rPr>
          <w:color w:val="000000"/>
        </w:rPr>
      </w:pPr>
      <w:r>
        <w:rPr>
          <w:rFonts w:hint="eastAsia"/>
          <w:color w:val="000000"/>
        </w:rPr>
        <w:t>（</w:t>
      </w:r>
      <w:r>
        <w:rPr>
          <w:rFonts w:hint="eastAsia"/>
          <w:color w:val="000000"/>
        </w:rPr>
        <w:t>3</w:t>
      </w:r>
      <w:r>
        <w:rPr>
          <w:rFonts w:hint="eastAsia"/>
          <w:color w:val="000000"/>
        </w:rPr>
        <w:t>）参与功能。环境监理单位作为经济独立的、公正的第三方，参与工程建设全过程的环保工作，对与工程有关的重大环境问题参与决策。</w:t>
      </w:r>
    </w:p>
    <w:p w14:paraId="59E53E57" w14:textId="77777777" w:rsidR="005A1A44" w:rsidRDefault="0008059E">
      <w:pPr>
        <w:spacing w:line="500" w:lineRule="exact"/>
        <w:ind w:firstLine="480"/>
        <w:rPr>
          <w:color w:val="000000"/>
        </w:rPr>
      </w:pPr>
      <w:r>
        <w:rPr>
          <w:rFonts w:hint="eastAsia"/>
          <w:color w:val="000000"/>
        </w:rPr>
        <w:t>（</w:t>
      </w:r>
      <w:r>
        <w:rPr>
          <w:rFonts w:hint="eastAsia"/>
          <w:color w:val="000000"/>
        </w:rPr>
        <w:t>4</w:t>
      </w:r>
      <w:r>
        <w:rPr>
          <w:rFonts w:hint="eastAsia"/>
          <w:color w:val="000000"/>
        </w:rPr>
        <w:t>）反馈功能。监理单位在对监理对象的监督、检查过程中，可以及时发现被监理单位和被监理事项中存在的问题，收集大量的信息，并随时对信息进行反馈，</w:t>
      </w:r>
      <w:r>
        <w:rPr>
          <w:rFonts w:hint="eastAsia"/>
          <w:color w:val="000000"/>
        </w:rPr>
        <w:lastRenderedPageBreak/>
        <w:t>为有关部门提供改进工作的科学依据。</w:t>
      </w:r>
    </w:p>
    <w:p w14:paraId="4A956ECD" w14:textId="77777777" w:rsidR="005A1A44" w:rsidRDefault="0008059E">
      <w:pPr>
        <w:spacing w:line="500" w:lineRule="exact"/>
        <w:ind w:firstLine="480"/>
        <w:rPr>
          <w:color w:val="000000"/>
        </w:rPr>
      </w:pPr>
      <w:r>
        <w:rPr>
          <w:rFonts w:hint="eastAsia"/>
          <w:color w:val="000000"/>
        </w:rPr>
        <w:t>（</w:t>
      </w:r>
      <w:r>
        <w:rPr>
          <w:rFonts w:hint="eastAsia"/>
          <w:color w:val="000000"/>
        </w:rPr>
        <w:t>5</w:t>
      </w:r>
      <w:r>
        <w:rPr>
          <w:rFonts w:hint="eastAsia"/>
          <w:color w:val="000000"/>
        </w:rPr>
        <w:t>）促进功能。环境监理的约束机制不仅有限制功能，而且有促进功能，可以促进环保工作向规范化方向发展，促使更好地完成防治环境污染和生态破坏的任务。</w:t>
      </w:r>
    </w:p>
    <w:p w14:paraId="61C892E0" w14:textId="77777777" w:rsidR="005A1A44" w:rsidRDefault="0008059E">
      <w:pPr>
        <w:pStyle w:val="4"/>
        <w:numPr>
          <w:ilvl w:val="3"/>
          <w:numId w:val="2"/>
        </w:numPr>
      </w:pPr>
      <w:r>
        <w:rPr>
          <w:rFonts w:hint="eastAsia"/>
        </w:rPr>
        <w:t>环境监理任务</w:t>
      </w:r>
    </w:p>
    <w:p w14:paraId="66B7847F" w14:textId="77777777" w:rsidR="005A1A44" w:rsidRDefault="0008059E">
      <w:pPr>
        <w:ind w:firstLine="480"/>
      </w:pPr>
      <w:r>
        <w:rPr>
          <w:rFonts w:hint="eastAsia"/>
        </w:rPr>
        <w:t>对辖区内污染源排放污染物情况和生态破坏事件实施现场监督、检查，并参与处理，确保污染治理设施正常运转和稳定达标排放。同时包括“三控制、二管理、一协调”。“三控制”指质量控制、进度控制和投资控制。“二管理”指合同管理和信息管理。“一协调”主要是协调业主与承包商之间的关系，协调与环境保护工作有关的部门的关系。</w:t>
      </w:r>
    </w:p>
    <w:p w14:paraId="2962F646" w14:textId="77777777" w:rsidR="005A1A44" w:rsidRDefault="0008059E">
      <w:pPr>
        <w:pStyle w:val="3"/>
        <w:numPr>
          <w:ilvl w:val="2"/>
          <w:numId w:val="2"/>
        </w:numPr>
      </w:pPr>
      <w:r>
        <w:rPr>
          <w:rFonts w:hint="eastAsia"/>
        </w:rPr>
        <w:t xml:space="preserve"> </w:t>
      </w:r>
      <w:r>
        <w:rPr>
          <w:rFonts w:hint="eastAsia"/>
        </w:rPr>
        <w:t>环境监理范围</w:t>
      </w:r>
    </w:p>
    <w:p w14:paraId="548E91C0" w14:textId="77777777" w:rsidR="005A1A44" w:rsidRDefault="0008059E">
      <w:pPr>
        <w:ind w:firstLine="480"/>
      </w:pPr>
      <w:r>
        <w:rPr>
          <w:rFonts w:hint="eastAsia"/>
        </w:rPr>
        <w:t>（</w:t>
      </w:r>
      <w:r>
        <w:rPr>
          <w:rFonts w:hint="eastAsia"/>
        </w:rPr>
        <w:t>1</w:t>
      </w:r>
      <w:r>
        <w:rPr>
          <w:rFonts w:hint="eastAsia"/>
        </w:rPr>
        <w:t>）环境监理范围</w:t>
      </w:r>
    </w:p>
    <w:p w14:paraId="7C7A6709" w14:textId="77777777" w:rsidR="005A1A44" w:rsidRDefault="0008059E">
      <w:pPr>
        <w:ind w:firstLine="480"/>
      </w:pPr>
      <w:r>
        <w:rPr>
          <w:rFonts w:hint="eastAsia"/>
        </w:rPr>
        <w:t>工程所在区域与工程影响区域，包括防洪堤主体工程、临时工程的施工基地、施工便道、临时堆土场以及承担大量工程运输的当地现有道路。</w:t>
      </w:r>
    </w:p>
    <w:p w14:paraId="7ECFC0DF" w14:textId="77777777" w:rsidR="005A1A44" w:rsidRDefault="0008059E">
      <w:pPr>
        <w:ind w:firstLine="480"/>
      </w:pPr>
      <w:r>
        <w:rPr>
          <w:rFonts w:hint="eastAsia"/>
        </w:rPr>
        <w:t>监理内容包括生态保护、水土保持、污染物防治以及社会环境等环境保护工作的所有方面。</w:t>
      </w:r>
    </w:p>
    <w:p w14:paraId="03272DEA" w14:textId="77777777" w:rsidR="005A1A44" w:rsidRDefault="0008059E">
      <w:pPr>
        <w:ind w:firstLine="480"/>
      </w:pPr>
      <w:r>
        <w:rPr>
          <w:rFonts w:hint="eastAsia"/>
        </w:rPr>
        <w:t>（</w:t>
      </w:r>
      <w:r>
        <w:rPr>
          <w:rFonts w:hint="eastAsia"/>
        </w:rPr>
        <w:t>2</w:t>
      </w:r>
      <w:r>
        <w:rPr>
          <w:rFonts w:hint="eastAsia"/>
        </w:rPr>
        <w:t>）工程范围</w:t>
      </w:r>
    </w:p>
    <w:p w14:paraId="11192A13" w14:textId="77777777" w:rsidR="005A1A44" w:rsidRDefault="0008059E">
      <w:pPr>
        <w:ind w:firstLine="480"/>
      </w:pPr>
      <w:r>
        <w:rPr>
          <w:rFonts w:hint="eastAsia"/>
        </w:rPr>
        <w:t>施工生活营地、施工道路等以及上述范围内生产施工对周边造成环境污染和生态破坏的区域；工程运营造成环境影响所采取环保措施的区域。</w:t>
      </w:r>
    </w:p>
    <w:p w14:paraId="0D6FD9FF" w14:textId="77777777" w:rsidR="005A1A44" w:rsidRDefault="0008059E">
      <w:pPr>
        <w:ind w:firstLine="480"/>
      </w:pPr>
      <w:r>
        <w:rPr>
          <w:rFonts w:hint="eastAsia"/>
        </w:rPr>
        <w:t>（</w:t>
      </w:r>
      <w:r>
        <w:rPr>
          <w:rFonts w:hint="eastAsia"/>
        </w:rPr>
        <w:t>3</w:t>
      </w:r>
      <w:r>
        <w:rPr>
          <w:rFonts w:hint="eastAsia"/>
        </w:rPr>
        <w:t>）工作阶段</w:t>
      </w:r>
    </w:p>
    <w:p w14:paraId="170AD3DF" w14:textId="77777777" w:rsidR="005A1A44" w:rsidRDefault="0008059E">
      <w:pPr>
        <w:ind w:firstLine="480"/>
      </w:pPr>
      <w:r>
        <w:rPr>
          <w:rFonts w:hint="eastAsia"/>
        </w:rPr>
        <w:t>①</w:t>
      </w:r>
      <w:r>
        <w:rPr>
          <w:rFonts w:hint="eastAsia"/>
        </w:rPr>
        <w:t xml:space="preserve"> </w:t>
      </w:r>
      <w:r>
        <w:rPr>
          <w:rFonts w:hint="eastAsia"/>
        </w:rPr>
        <w:t>施工准备阶段环境监理；</w:t>
      </w:r>
    </w:p>
    <w:p w14:paraId="156EC963" w14:textId="77777777" w:rsidR="005A1A44" w:rsidRDefault="0008059E">
      <w:pPr>
        <w:ind w:firstLine="480"/>
      </w:pPr>
      <w:r>
        <w:rPr>
          <w:rFonts w:hint="eastAsia"/>
        </w:rPr>
        <w:t>②</w:t>
      </w:r>
      <w:r>
        <w:rPr>
          <w:rFonts w:hint="eastAsia"/>
        </w:rPr>
        <w:t xml:space="preserve"> </w:t>
      </w:r>
      <w:r>
        <w:rPr>
          <w:rFonts w:hint="eastAsia"/>
        </w:rPr>
        <w:t>施工阶段环境监理；</w:t>
      </w:r>
    </w:p>
    <w:p w14:paraId="5630975B" w14:textId="77777777" w:rsidR="005A1A44" w:rsidRDefault="0008059E">
      <w:pPr>
        <w:ind w:firstLine="480"/>
      </w:pPr>
      <w:r>
        <w:rPr>
          <w:rFonts w:hint="eastAsia"/>
        </w:rPr>
        <w:t>③</w:t>
      </w:r>
      <w:r>
        <w:rPr>
          <w:rFonts w:hint="eastAsia"/>
        </w:rPr>
        <w:t xml:space="preserve"> </w:t>
      </w:r>
      <w:r>
        <w:rPr>
          <w:rFonts w:hint="eastAsia"/>
        </w:rPr>
        <w:t>工程保修阶段（交工及缺陷责任期）环境监理</w:t>
      </w:r>
      <w:r>
        <w:t>。</w:t>
      </w:r>
    </w:p>
    <w:p w14:paraId="212B6756" w14:textId="77777777" w:rsidR="005A1A44" w:rsidRDefault="0008059E">
      <w:pPr>
        <w:pStyle w:val="3"/>
        <w:numPr>
          <w:ilvl w:val="2"/>
          <w:numId w:val="2"/>
        </w:numPr>
      </w:pPr>
      <w:r>
        <w:lastRenderedPageBreak/>
        <w:t xml:space="preserve"> </w:t>
      </w:r>
      <w:r>
        <w:rPr>
          <w:rFonts w:hint="eastAsia"/>
        </w:rPr>
        <w:t>环境监理一般程序</w:t>
      </w:r>
    </w:p>
    <w:p w14:paraId="19280997" w14:textId="77777777" w:rsidR="005A1A44" w:rsidRDefault="0008059E">
      <w:pPr>
        <w:ind w:firstLine="480"/>
      </w:pPr>
      <w:r>
        <w:rPr>
          <w:rFonts w:hint="eastAsia"/>
        </w:rPr>
        <w:t>（</w:t>
      </w:r>
      <w:r>
        <w:rPr>
          <w:rFonts w:hint="eastAsia"/>
        </w:rPr>
        <w:t>1</w:t>
      </w:r>
      <w:r>
        <w:rPr>
          <w:rFonts w:hint="eastAsia"/>
        </w:rPr>
        <w:t>）编制工程施工期环境监理规划；</w:t>
      </w:r>
    </w:p>
    <w:p w14:paraId="300493F0" w14:textId="77777777" w:rsidR="005A1A44" w:rsidRDefault="0008059E">
      <w:pPr>
        <w:ind w:firstLine="480"/>
      </w:pPr>
      <w:r>
        <w:rPr>
          <w:rFonts w:hint="eastAsia"/>
        </w:rPr>
        <w:t>（</w:t>
      </w:r>
      <w:r>
        <w:rPr>
          <w:rFonts w:hint="eastAsia"/>
        </w:rPr>
        <w:t>2</w:t>
      </w:r>
      <w:r>
        <w:rPr>
          <w:rFonts w:hint="eastAsia"/>
        </w:rPr>
        <w:t>）按工程建设进度、各项环保措施编制环境监理细则；</w:t>
      </w:r>
    </w:p>
    <w:p w14:paraId="3AAC2CDD" w14:textId="77777777" w:rsidR="005A1A44" w:rsidRDefault="0008059E">
      <w:pPr>
        <w:ind w:firstLine="480"/>
      </w:pPr>
      <w:r>
        <w:rPr>
          <w:rFonts w:hint="eastAsia"/>
        </w:rPr>
        <w:t>（</w:t>
      </w:r>
      <w:r>
        <w:rPr>
          <w:rFonts w:hint="eastAsia"/>
        </w:rPr>
        <w:t>3</w:t>
      </w:r>
      <w:r>
        <w:rPr>
          <w:rFonts w:hint="eastAsia"/>
        </w:rPr>
        <w:t>）按照环境监理细则进行施工期环境监理；</w:t>
      </w:r>
    </w:p>
    <w:p w14:paraId="7A41E97B" w14:textId="77777777" w:rsidR="005A1A44" w:rsidRDefault="0008059E">
      <w:pPr>
        <w:ind w:firstLine="480"/>
      </w:pPr>
      <w:r>
        <w:rPr>
          <w:rFonts w:hint="eastAsia"/>
        </w:rPr>
        <w:t>（</w:t>
      </w:r>
      <w:r>
        <w:rPr>
          <w:rFonts w:hint="eastAsia"/>
        </w:rPr>
        <w:t>4</w:t>
      </w:r>
      <w:r>
        <w:rPr>
          <w:rFonts w:hint="eastAsia"/>
        </w:rPr>
        <w:t>）参与工程环保验收，签署环境监理意见；</w:t>
      </w:r>
    </w:p>
    <w:p w14:paraId="4DA713A9" w14:textId="77777777" w:rsidR="005A1A44" w:rsidRDefault="0008059E">
      <w:pPr>
        <w:ind w:firstLine="480"/>
      </w:pPr>
      <w:r>
        <w:rPr>
          <w:rFonts w:hint="eastAsia"/>
        </w:rPr>
        <w:t>（</w:t>
      </w:r>
      <w:r>
        <w:rPr>
          <w:rFonts w:hint="eastAsia"/>
        </w:rPr>
        <w:t>5</w:t>
      </w:r>
      <w:r>
        <w:rPr>
          <w:rFonts w:hint="eastAsia"/>
        </w:rPr>
        <w:t>）监理项目完成后，向项目法人提交监理档案资料</w:t>
      </w:r>
      <w:r>
        <w:t>。</w:t>
      </w:r>
    </w:p>
    <w:p w14:paraId="1DAA1D87" w14:textId="77777777" w:rsidR="005A1A44" w:rsidRDefault="0008059E">
      <w:pPr>
        <w:pStyle w:val="3"/>
        <w:numPr>
          <w:ilvl w:val="2"/>
          <w:numId w:val="2"/>
        </w:numPr>
      </w:pPr>
      <w:r>
        <w:rPr>
          <w:rFonts w:hint="eastAsia"/>
        </w:rPr>
        <w:t xml:space="preserve"> </w:t>
      </w:r>
      <w:r>
        <w:rPr>
          <w:rFonts w:hint="eastAsia"/>
        </w:rPr>
        <w:t>环境监理具体工作方法</w:t>
      </w:r>
    </w:p>
    <w:p w14:paraId="223B836F" w14:textId="77777777" w:rsidR="005A1A44" w:rsidRDefault="0008059E">
      <w:pPr>
        <w:ind w:firstLine="480"/>
      </w:pPr>
      <w:r>
        <w:rPr>
          <w:rFonts w:hint="eastAsia"/>
        </w:rPr>
        <w:t>（</w:t>
      </w:r>
      <w:r>
        <w:rPr>
          <w:rFonts w:hint="eastAsia"/>
        </w:rPr>
        <w:t>1</w:t>
      </w:r>
      <w:r>
        <w:rPr>
          <w:rFonts w:hint="eastAsia"/>
        </w:rPr>
        <w:t>）审查工程初步设计、施工图设计中环境保护措施是否正确落实了经批准的环境影响报告书提出的环境保护措施；</w:t>
      </w:r>
    </w:p>
    <w:p w14:paraId="602E066C" w14:textId="77777777" w:rsidR="005A1A44" w:rsidRDefault="0008059E">
      <w:pPr>
        <w:spacing w:line="500" w:lineRule="exact"/>
        <w:ind w:firstLine="480"/>
        <w:rPr>
          <w:color w:val="000000"/>
        </w:rPr>
      </w:pPr>
      <w:r>
        <w:rPr>
          <w:rFonts w:hint="eastAsia"/>
          <w:color w:val="000000"/>
        </w:rPr>
        <w:t>（</w:t>
      </w:r>
      <w:r>
        <w:rPr>
          <w:rFonts w:hint="eastAsia"/>
          <w:color w:val="000000"/>
        </w:rPr>
        <w:t>2</w:t>
      </w:r>
      <w:r>
        <w:rPr>
          <w:rFonts w:hint="eastAsia"/>
          <w:color w:val="000000"/>
        </w:rPr>
        <w:t>）协助建设单位组织工程施工、设计、管理人员的环境保护培训；</w:t>
      </w:r>
    </w:p>
    <w:p w14:paraId="60B959EA" w14:textId="77777777" w:rsidR="005A1A44" w:rsidRDefault="0008059E">
      <w:pPr>
        <w:spacing w:line="500" w:lineRule="exact"/>
        <w:ind w:firstLine="480"/>
        <w:rPr>
          <w:color w:val="000000"/>
        </w:rPr>
      </w:pPr>
      <w:r>
        <w:rPr>
          <w:rFonts w:hint="eastAsia"/>
          <w:color w:val="000000"/>
        </w:rPr>
        <w:t>（</w:t>
      </w:r>
      <w:r>
        <w:rPr>
          <w:rFonts w:hint="eastAsia"/>
          <w:color w:val="000000"/>
        </w:rPr>
        <w:t>3</w:t>
      </w:r>
      <w:r>
        <w:rPr>
          <w:rFonts w:hint="eastAsia"/>
          <w:color w:val="000000"/>
        </w:rPr>
        <w:t>）审核招标文件、工程合同有关环境保护条款；</w:t>
      </w:r>
    </w:p>
    <w:p w14:paraId="41BB4970" w14:textId="77777777" w:rsidR="005A1A44" w:rsidRDefault="0008059E">
      <w:pPr>
        <w:ind w:firstLine="480"/>
      </w:pPr>
      <w:r>
        <w:rPr>
          <w:rFonts w:hint="eastAsia"/>
        </w:rPr>
        <w:t>（</w:t>
      </w:r>
      <w:r>
        <w:rPr>
          <w:rFonts w:hint="eastAsia"/>
        </w:rPr>
        <w:t>4</w:t>
      </w:r>
      <w:r>
        <w:rPr>
          <w:rFonts w:hint="eastAsia"/>
        </w:rPr>
        <w:t>）对施工过程中保护生态、水、气、声环境，减少工程环境影响的措施，环境保护工程施工质量进行监理，并按照标准进行阶段验收和签字；</w:t>
      </w:r>
    </w:p>
    <w:p w14:paraId="48FD28F3" w14:textId="77777777" w:rsidR="005A1A44" w:rsidRDefault="0008059E">
      <w:pPr>
        <w:ind w:firstLine="480"/>
      </w:pPr>
      <w:r>
        <w:rPr>
          <w:rFonts w:hint="eastAsia"/>
        </w:rPr>
        <w:t>（</w:t>
      </w:r>
      <w:r>
        <w:rPr>
          <w:rFonts w:hint="eastAsia"/>
        </w:rPr>
        <w:t>5</w:t>
      </w:r>
      <w:r>
        <w:rPr>
          <w:rFonts w:hint="eastAsia"/>
        </w:rPr>
        <w:t>）系统记录工程施工环境影响，环境保护措施效果，环境保护工程施工质量；</w:t>
      </w:r>
    </w:p>
    <w:p w14:paraId="3318D542" w14:textId="77777777" w:rsidR="005A1A44" w:rsidRDefault="0008059E">
      <w:pPr>
        <w:ind w:firstLine="480"/>
      </w:pPr>
      <w:r>
        <w:rPr>
          <w:rFonts w:hint="eastAsia"/>
        </w:rPr>
        <w:t>（</w:t>
      </w:r>
      <w:r>
        <w:rPr>
          <w:rFonts w:hint="eastAsia"/>
        </w:rPr>
        <w:t>6</w:t>
      </w:r>
      <w:r>
        <w:rPr>
          <w:rFonts w:hint="eastAsia"/>
        </w:rPr>
        <w:t>）及时向环境监理领导小组反映有关环境保护设计和施工的意外问题，并提出解决建议；</w:t>
      </w:r>
    </w:p>
    <w:p w14:paraId="5ABA1CCB" w14:textId="77777777" w:rsidR="005A1A44" w:rsidRDefault="0008059E">
      <w:pPr>
        <w:ind w:firstLine="480"/>
      </w:pPr>
      <w:r>
        <w:rPr>
          <w:rFonts w:hint="eastAsia"/>
        </w:rPr>
        <w:t>（</w:t>
      </w:r>
      <w:r>
        <w:rPr>
          <w:rFonts w:hint="eastAsia"/>
        </w:rPr>
        <w:t>7</w:t>
      </w:r>
      <w:r>
        <w:rPr>
          <w:rFonts w:hint="eastAsia"/>
        </w:rPr>
        <w:t>）负责起草工程环境监理工作计划和总结。</w:t>
      </w:r>
    </w:p>
    <w:p w14:paraId="30EF6D17" w14:textId="77777777" w:rsidR="005A1A44" w:rsidRDefault="0008059E">
      <w:pPr>
        <w:pStyle w:val="3"/>
        <w:numPr>
          <w:ilvl w:val="2"/>
          <w:numId w:val="2"/>
        </w:numPr>
      </w:pPr>
      <w:r>
        <w:rPr>
          <w:rFonts w:hint="eastAsia"/>
        </w:rPr>
        <w:t xml:space="preserve"> </w:t>
      </w:r>
      <w:r>
        <w:rPr>
          <w:rFonts w:hint="eastAsia"/>
        </w:rPr>
        <w:t>环境监理工作制度</w:t>
      </w:r>
    </w:p>
    <w:p w14:paraId="6C38E0EC" w14:textId="77777777" w:rsidR="005A1A44" w:rsidRDefault="0008059E">
      <w:pPr>
        <w:ind w:firstLine="480"/>
      </w:pPr>
      <w:r>
        <w:rPr>
          <w:rFonts w:hint="eastAsia"/>
        </w:rPr>
        <w:t>环境监理应建立工作制度，包括：工作记录、人员培训、报告、函件来往、例会等制度。</w:t>
      </w:r>
    </w:p>
    <w:p w14:paraId="5D19A835" w14:textId="77777777" w:rsidR="005A1A44" w:rsidRDefault="0008059E">
      <w:pPr>
        <w:pStyle w:val="3"/>
        <w:numPr>
          <w:ilvl w:val="2"/>
          <w:numId w:val="2"/>
        </w:numPr>
      </w:pPr>
      <w:r>
        <w:rPr>
          <w:rFonts w:hint="eastAsia"/>
        </w:rPr>
        <w:lastRenderedPageBreak/>
        <w:t xml:space="preserve"> </w:t>
      </w:r>
      <w:r>
        <w:rPr>
          <w:rFonts w:hint="eastAsia"/>
        </w:rPr>
        <w:t>环境监理机构</w:t>
      </w:r>
    </w:p>
    <w:p w14:paraId="3C56D770" w14:textId="77777777" w:rsidR="005A1A44" w:rsidRDefault="0008059E">
      <w:pPr>
        <w:ind w:firstLine="480"/>
      </w:pPr>
      <w:r>
        <w:rPr>
          <w:rFonts w:hint="eastAsia"/>
        </w:rPr>
        <w:t>施工期的环境监测由建设单位委托具有工程监理资质并经环境保护业务培训的单位对设计文件中环境保护措施的实施情况进行工程环境监理。为了保证监理计划的执行，建设单位应在施工前与监理单位签订建设期的环境监理合同。</w:t>
      </w:r>
    </w:p>
    <w:p w14:paraId="6A93C9E3" w14:textId="77777777" w:rsidR="005A1A44" w:rsidRDefault="0008059E">
      <w:pPr>
        <w:ind w:firstLine="480"/>
      </w:pPr>
      <w:r>
        <w:rPr>
          <w:rFonts w:hint="eastAsia"/>
        </w:rPr>
        <w:t>环境监理实施方案</w:t>
      </w:r>
    </w:p>
    <w:p w14:paraId="42B50060" w14:textId="77777777" w:rsidR="005A1A44" w:rsidRDefault="0008059E">
      <w:pPr>
        <w:ind w:firstLine="480"/>
      </w:pPr>
      <w:r>
        <w:rPr>
          <w:rFonts w:hint="eastAsia"/>
        </w:rPr>
        <w:t>（</w:t>
      </w:r>
      <w:r>
        <w:rPr>
          <w:rFonts w:hint="eastAsia"/>
        </w:rPr>
        <w:t>1</w:t>
      </w:r>
      <w:r>
        <w:rPr>
          <w:rFonts w:hint="eastAsia"/>
        </w:rPr>
        <w:t>）对生产、生活污废水处理措施进行监督检查。</w:t>
      </w:r>
    </w:p>
    <w:p w14:paraId="34DC46D5" w14:textId="77777777" w:rsidR="005A1A44" w:rsidRDefault="0008059E">
      <w:pPr>
        <w:ind w:firstLine="480"/>
      </w:pPr>
      <w:r>
        <w:rPr>
          <w:rFonts w:hint="eastAsia"/>
        </w:rPr>
        <w:t>（</w:t>
      </w:r>
      <w:r>
        <w:rPr>
          <w:rFonts w:hint="eastAsia"/>
        </w:rPr>
        <w:t>2</w:t>
      </w:r>
      <w:r>
        <w:rPr>
          <w:rFonts w:hint="eastAsia"/>
        </w:rPr>
        <w:t>）检查施工区、临时堆放场是否按水土保持方案规范施工。</w:t>
      </w:r>
    </w:p>
    <w:p w14:paraId="019618B3" w14:textId="77777777" w:rsidR="005A1A44" w:rsidRDefault="0008059E">
      <w:pPr>
        <w:ind w:firstLine="480"/>
      </w:pPr>
      <w:r>
        <w:rPr>
          <w:rFonts w:hint="eastAsia"/>
        </w:rPr>
        <w:t>（</w:t>
      </w:r>
      <w:r>
        <w:rPr>
          <w:rFonts w:hint="eastAsia"/>
        </w:rPr>
        <w:t>3</w:t>
      </w:r>
      <w:r>
        <w:rPr>
          <w:rFonts w:hint="eastAsia"/>
        </w:rPr>
        <w:t>）检查护坡、边坡等恢复地表植被、区域的植被生长情况，并组织人员维护。</w:t>
      </w:r>
    </w:p>
    <w:p w14:paraId="763E2ACB" w14:textId="77777777" w:rsidR="005A1A44" w:rsidRDefault="0008059E">
      <w:pPr>
        <w:ind w:firstLine="480"/>
      </w:pPr>
      <w:r>
        <w:rPr>
          <w:rFonts w:hint="eastAsia"/>
        </w:rPr>
        <w:t>（</w:t>
      </w:r>
      <w:r>
        <w:rPr>
          <w:rFonts w:hint="eastAsia"/>
        </w:rPr>
        <w:t>4</w:t>
      </w:r>
      <w:r>
        <w:rPr>
          <w:rFonts w:hint="eastAsia"/>
        </w:rPr>
        <w:t>）参与环境污染事故、纠纷和来信来访的调查与处理。</w:t>
      </w:r>
    </w:p>
    <w:p w14:paraId="49FCAE8C" w14:textId="77777777" w:rsidR="005A1A44" w:rsidRDefault="0008059E">
      <w:pPr>
        <w:pStyle w:val="2"/>
        <w:numPr>
          <w:ilvl w:val="1"/>
          <w:numId w:val="2"/>
        </w:numPr>
      </w:pPr>
      <w:bookmarkStart w:id="295" w:name="_Toc465790286"/>
      <w:bookmarkStart w:id="296" w:name="_Toc7648_WPSOffice_Level2"/>
      <w:bookmarkStart w:id="297" w:name="_Toc10025_WPSOffice_Level2"/>
      <w:r>
        <w:rPr>
          <w:rFonts w:hint="eastAsia"/>
        </w:rPr>
        <w:t xml:space="preserve"> </w:t>
      </w:r>
      <w:bookmarkStart w:id="298" w:name="_Toc29521_WPSOffice_Level2"/>
      <w:r>
        <w:rPr>
          <w:rFonts w:hint="eastAsia"/>
        </w:rPr>
        <w:t>竣工验收</w:t>
      </w:r>
      <w:bookmarkEnd w:id="295"/>
      <w:bookmarkEnd w:id="296"/>
      <w:bookmarkEnd w:id="297"/>
      <w:bookmarkEnd w:id="298"/>
    </w:p>
    <w:p w14:paraId="7DC11F86" w14:textId="77777777" w:rsidR="005A1A44" w:rsidRDefault="0008059E">
      <w:pPr>
        <w:ind w:firstLine="480"/>
      </w:pPr>
      <w:r>
        <w:rPr>
          <w:rFonts w:hint="eastAsia"/>
        </w:rPr>
        <w:t>在工程竣工后，应组织相关的环境保护工作人员，对环评报告中所列的各项环保措施的落实情况进行验收，以使其达到设计要求。通过环境保护措施的落实，将项目建设对环境不利影响控制在允许范围以内，使项目周围各种环境质量符合当地环境功能区划和生态保护规划的要求。搞好水污染防治和生态保护是该项目环境保护工作的重点。因此，需要认真落实本报告书中已提出的施工期和营运期各项污染防治和生态保护措施。</w:t>
      </w:r>
    </w:p>
    <w:p w14:paraId="74E362BE" w14:textId="77777777" w:rsidR="005A1A44" w:rsidRDefault="0008059E">
      <w:pPr>
        <w:ind w:firstLine="480"/>
        <w:rPr>
          <w:color w:val="000000"/>
        </w:rPr>
      </w:pPr>
      <w:r>
        <w:t>工程</w:t>
      </w:r>
      <w:r>
        <w:rPr>
          <w:rFonts w:hint="eastAsia"/>
        </w:rPr>
        <w:t>环保对策及</w:t>
      </w:r>
      <w:r>
        <w:t>环保验收标准一览表环保设施见表</w:t>
      </w:r>
      <w:r>
        <w:rPr>
          <w:rFonts w:hint="eastAsia"/>
        </w:rPr>
        <w:t>10.4-1</w:t>
      </w:r>
      <w:r>
        <w:rPr>
          <w:color w:val="000000"/>
        </w:rPr>
        <w:t>。</w:t>
      </w:r>
    </w:p>
    <w:p w14:paraId="52501805" w14:textId="77777777" w:rsidR="005A1A44" w:rsidRDefault="0008059E">
      <w:pPr>
        <w:ind w:firstLineChars="0" w:firstLine="0"/>
        <w:jc w:val="center"/>
        <w:rPr>
          <w:rFonts w:ascii="黑体" w:eastAsia="黑体" w:hAnsi="黑体" w:cs="黑体" w:hint="eastAsia"/>
        </w:rPr>
      </w:pPr>
      <w:bookmarkStart w:id="299" w:name="_Toc16104_WPSOffice_Level2"/>
      <w:bookmarkStart w:id="300" w:name="_Toc26746_WPSOffice_Level2"/>
      <w:r>
        <w:rPr>
          <w:rFonts w:ascii="黑体" w:eastAsia="黑体" w:hAnsi="黑体" w:cs="黑体" w:hint="eastAsia"/>
        </w:rPr>
        <w:t>表10.4-1  工程环保对策及环保验收标准一览表</w:t>
      </w:r>
      <w:bookmarkEnd w:id="299"/>
      <w:bookmarkEnd w:id="300"/>
    </w:p>
    <w:tbl>
      <w:tblPr>
        <w:tblW w:w="9094" w:type="dxa"/>
        <w:tblLayout w:type="fixed"/>
        <w:tblCellMar>
          <w:left w:w="0" w:type="dxa"/>
          <w:right w:w="0" w:type="dxa"/>
        </w:tblCellMar>
        <w:tblLook w:val="04A0" w:firstRow="1" w:lastRow="0" w:firstColumn="1" w:lastColumn="0" w:noHBand="0" w:noVBand="1"/>
      </w:tblPr>
      <w:tblGrid>
        <w:gridCol w:w="760"/>
        <w:gridCol w:w="1328"/>
        <w:gridCol w:w="5235"/>
        <w:gridCol w:w="1771"/>
      </w:tblGrid>
      <w:tr w:rsidR="005A1A44" w14:paraId="4B39EB15" w14:textId="77777777">
        <w:trPr>
          <w:trHeight w:val="300"/>
          <w:tblHeader/>
        </w:trPr>
        <w:tc>
          <w:tcPr>
            <w:tcW w:w="760" w:type="dxa"/>
            <w:tcBorders>
              <w:top w:val="single" w:sz="8" w:space="0" w:color="auto"/>
              <w:left w:val="single" w:sz="8" w:space="0" w:color="auto"/>
              <w:bottom w:val="single" w:sz="8" w:space="0" w:color="auto"/>
              <w:right w:val="single" w:sz="8" w:space="0" w:color="auto"/>
            </w:tcBorders>
            <w:shd w:val="clear" w:color="auto" w:fill="auto"/>
            <w:tcMar>
              <w:top w:w="12" w:type="dxa"/>
              <w:left w:w="12" w:type="dxa"/>
              <w:right w:w="12" w:type="dxa"/>
            </w:tcMar>
            <w:vAlign w:val="center"/>
          </w:tcPr>
          <w:p w14:paraId="65B6618A"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kern w:val="0"/>
                <w:sz w:val="21"/>
                <w:szCs w:val="21"/>
              </w:rPr>
              <w:t>序 号</w:t>
            </w:r>
          </w:p>
        </w:tc>
        <w:tc>
          <w:tcPr>
            <w:tcW w:w="1328" w:type="dxa"/>
            <w:tcBorders>
              <w:top w:val="single" w:sz="8" w:space="0" w:color="auto"/>
              <w:left w:val="nil"/>
              <w:bottom w:val="single" w:sz="8" w:space="0" w:color="auto"/>
              <w:right w:val="single" w:sz="8" w:space="0" w:color="auto"/>
            </w:tcBorders>
            <w:shd w:val="clear" w:color="auto" w:fill="auto"/>
            <w:tcMar>
              <w:top w:w="12" w:type="dxa"/>
              <w:left w:w="12" w:type="dxa"/>
              <w:right w:w="12" w:type="dxa"/>
            </w:tcMar>
            <w:vAlign w:val="center"/>
          </w:tcPr>
          <w:p w14:paraId="20C8D04A"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kern w:val="0"/>
                <w:sz w:val="21"/>
                <w:szCs w:val="21"/>
              </w:rPr>
              <w:t>名称</w:t>
            </w:r>
          </w:p>
        </w:tc>
        <w:tc>
          <w:tcPr>
            <w:tcW w:w="5235" w:type="dxa"/>
            <w:tcBorders>
              <w:top w:val="single" w:sz="8" w:space="0" w:color="auto"/>
              <w:left w:val="nil"/>
              <w:bottom w:val="single" w:sz="8" w:space="0" w:color="auto"/>
              <w:right w:val="single" w:sz="8" w:space="0" w:color="auto"/>
            </w:tcBorders>
            <w:shd w:val="clear" w:color="auto" w:fill="auto"/>
            <w:tcMar>
              <w:top w:w="12" w:type="dxa"/>
              <w:left w:w="12" w:type="dxa"/>
              <w:right w:w="12" w:type="dxa"/>
            </w:tcMar>
            <w:vAlign w:val="center"/>
          </w:tcPr>
          <w:p w14:paraId="52EB629A"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kern w:val="0"/>
                <w:sz w:val="21"/>
                <w:szCs w:val="21"/>
              </w:rPr>
              <w:t>环保措施</w:t>
            </w:r>
          </w:p>
        </w:tc>
        <w:tc>
          <w:tcPr>
            <w:tcW w:w="1771" w:type="dxa"/>
            <w:tcBorders>
              <w:top w:val="single" w:sz="8" w:space="0" w:color="auto"/>
              <w:left w:val="nil"/>
              <w:bottom w:val="single" w:sz="8" w:space="0" w:color="auto"/>
              <w:right w:val="single" w:sz="8" w:space="0" w:color="auto"/>
            </w:tcBorders>
            <w:shd w:val="clear" w:color="auto" w:fill="auto"/>
            <w:tcMar>
              <w:top w:w="12" w:type="dxa"/>
              <w:left w:w="12" w:type="dxa"/>
              <w:right w:w="12" w:type="dxa"/>
            </w:tcMar>
            <w:vAlign w:val="center"/>
          </w:tcPr>
          <w:p w14:paraId="2B327EDF"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b/>
                <w:bCs/>
                <w:color w:val="000000"/>
                <w:sz w:val="21"/>
                <w:szCs w:val="21"/>
              </w:rPr>
            </w:pPr>
            <w:r>
              <w:rPr>
                <w:rFonts w:ascii="宋体" w:eastAsia="宋体" w:hAnsi="宋体" w:cs="宋体" w:hint="eastAsia"/>
                <w:b/>
                <w:bCs/>
                <w:color w:val="000000"/>
                <w:kern w:val="0"/>
                <w:sz w:val="21"/>
                <w:szCs w:val="21"/>
              </w:rPr>
              <w:t>指标与要求</w:t>
            </w:r>
          </w:p>
        </w:tc>
      </w:tr>
      <w:tr w:rsidR="005A1A44" w14:paraId="2C3B1BB5" w14:textId="77777777">
        <w:trPr>
          <w:trHeight w:val="831"/>
        </w:trPr>
        <w:tc>
          <w:tcPr>
            <w:tcW w:w="760" w:type="dxa"/>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07FC55B4"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1</w:t>
            </w:r>
          </w:p>
        </w:tc>
        <w:tc>
          <w:tcPr>
            <w:tcW w:w="1328" w:type="dxa"/>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7670A265"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生态</w:t>
            </w:r>
            <w:r>
              <w:rPr>
                <w:rStyle w:val="font61"/>
                <w:rFonts w:hint="default"/>
              </w:rPr>
              <w:t>环境</w:t>
            </w:r>
            <w:r>
              <w:rPr>
                <w:rFonts w:ascii="宋体" w:eastAsia="宋体" w:hAnsi="宋体" w:cs="宋体" w:hint="eastAsia"/>
                <w:color w:val="000000"/>
                <w:kern w:val="0"/>
                <w:sz w:val="21"/>
                <w:szCs w:val="21"/>
              </w:rPr>
              <w:t>保护</w:t>
            </w:r>
            <w:r>
              <w:rPr>
                <w:rStyle w:val="font61"/>
                <w:rFonts w:hint="default"/>
              </w:rPr>
              <w:t>措施</w:t>
            </w:r>
          </w:p>
        </w:tc>
        <w:tc>
          <w:tcPr>
            <w:tcW w:w="5235"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5A12EBE2"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（1）工程弃土弃渣按指定地点堆放；</w:t>
            </w:r>
          </w:p>
          <w:p w14:paraId="22F02C39"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（2）堤顶土坡、堤后回填土面绿化等；</w:t>
            </w:r>
          </w:p>
          <w:p w14:paraId="72DD487E"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（3）在工期安排上考虑避开降雨集中的季节。对围填做到随挖、随运，覆土做到随铺、随压；</w:t>
            </w:r>
          </w:p>
          <w:p w14:paraId="2E32F60C"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（4）对裸露、松散的土壤喷洒适量的水，使土壤表面处于湿润状态，以减少土壤的风蚀流失和尘土污染危害；</w:t>
            </w:r>
          </w:p>
          <w:p w14:paraId="7415EFF7"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（5）工程施工应选择在枯水期进行施工，禁止在鱼类产卵期间进行施工；</w:t>
            </w:r>
          </w:p>
          <w:p w14:paraId="08A3CD1F" w14:textId="77777777" w:rsidR="005A1A44" w:rsidRDefault="0008059E">
            <w:pPr>
              <w:spacing w:line="240" w:lineRule="auto"/>
              <w:ind w:firstLineChars="0" w:firstLine="0"/>
              <w:rPr>
                <w:rFonts w:ascii="宋体" w:eastAsia="宋体" w:hAnsi="宋体" w:cs="宋体" w:hint="eastAsia"/>
                <w:sz w:val="21"/>
                <w:szCs w:val="21"/>
              </w:rPr>
            </w:pPr>
            <w:r>
              <w:rPr>
                <w:rFonts w:ascii="宋体" w:eastAsia="宋体" w:hAnsi="宋体" w:cs="宋体" w:hint="eastAsia"/>
                <w:sz w:val="21"/>
                <w:szCs w:val="21"/>
              </w:rPr>
              <w:t>（6）施工废水禁止排入玉龙喀什河，施工期产生的混凝</w:t>
            </w:r>
            <w:r>
              <w:rPr>
                <w:rFonts w:ascii="宋体" w:eastAsia="宋体" w:hAnsi="宋体" w:cs="宋体" w:hint="eastAsia"/>
                <w:sz w:val="21"/>
                <w:szCs w:val="21"/>
              </w:rPr>
              <w:lastRenderedPageBreak/>
              <w:t>土冲洗废水经沉砂池和中和沉淀池处理、基坑排水经静置沉淀后循环利用；</w:t>
            </w:r>
          </w:p>
          <w:p w14:paraId="0F00D171" w14:textId="77777777" w:rsidR="005A1A44" w:rsidRDefault="0008059E">
            <w:pPr>
              <w:widowControl/>
              <w:adjustRightInd w:val="0"/>
              <w:snapToGrid w:val="0"/>
              <w:spacing w:line="240" w:lineRule="auto"/>
              <w:ind w:firstLineChars="0" w:firstLine="0"/>
              <w:textAlignment w:val="center"/>
              <w:rPr>
                <w:rFonts w:ascii="宋体" w:eastAsia="宋体" w:hAnsi="宋体" w:cs="宋体" w:hint="eastAsia"/>
                <w:color w:val="000000"/>
                <w:sz w:val="21"/>
                <w:szCs w:val="21"/>
              </w:rPr>
            </w:pPr>
            <w:r>
              <w:rPr>
                <w:rFonts w:ascii="宋体" w:eastAsia="宋体" w:hAnsi="宋体" w:cs="宋体" w:hint="eastAsia"/>
                <w:sz w:val="21"/>
                <w:szCs w:val="21"/>
              </w:rPr>
              <w:t>（7）严格按照水土保持方案做好水保，减轻水土流失。</w:t>
            </w:r>
          </w:p>
        </w:tc>
        <w:tc>
          <w:tcPr>
            <w:tcW w:w="1771" w:type="dxa"/>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2D6F91DA" w14:textId="77777777" w:rsidR="005A1A44" w:rsidRDefault="0008059E">
            <w:pPr>
              <w:widowControl/>
              <w:adjustRightInd w:val="0"/>
              <w:snapToGrid w:val="0"/>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sz w:val="21"/>
                <w:szCs w:val="21"/>
              </w:rPr>
              <w:lastRenderedPageBreak/>
              <w:t>使项目对生态的影响降至最低</w:t>
            </w:r>
          </w:p>
        </w:tc>
      </w:tr>
      <w:tr w:rsidR="005A1A44" w14:paraId="7E13DD5F" w14:textId="77777777">
        <w:trPr>
          <w:trHeight w:val="1488"/>
        </w:trPr>
        <w:tc>
          <w:tcPr>
            <w:tcW w:w="760" w:type="dxa"/>
            <w:tcBorders>
              <w:top w:val="nil"/>
              <w:left w:val="single" w:sz="8" w:space="0" w:color="auto"/>
              <w:bottom w:val="single" w:sz="8" w:space="0" w:color="auto"/>
              <w:right w:val="single" w:sz="8" w:space="0" w:color="auto"/>
            </w:tcBorders>
            <w:shd w:val="clear" w:color="auto" w:fill="auto"/>
            <w:tcMar>
              <w:top w:w="12" w:type="dxa"/>
              <w:left w:w="12" w:type="dxa"/>
              <w:right w:w="12" w:type="dxa"/>
            </w:tcMar>
            <w:vAlign w:val="center"/>
          </w:tcPr>
          <w:p w14:paraId="72A2BB7A"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2</w:t>
            </w:r>
          </w:p>
        </w:tc>
        <w:tc>
          <w:tcPr>
            <w:tcW w:w="1328"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67FF3785"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kern w:val="0"/>
                <w:sz w:val="21"/>
                <w:szCs w:val="21"/>
              </w:rPr>
              <w:t>水</w:t>
            </w:r>
            <w:r>
              <w:rPr>
                <w:rStyle w:val="font61"/>
                <w:rFonts w:hint="default"/>
                <w:color w:val="auto"/>
              </w:rPr>
              <w:t>环境保护措施</w:t>
            </w:r>
          </w:p>
        </w:tc>
        <w:tc>
          <w:tcPr>
            <w:tcW w:w="5235"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4501E16D" w14:textId="77777777" w:rsidR="005A1A44" w:rsidRDefault="0008059E">
            <w:pPr>
              <w:widowControl/>
              <w:tabs>
                <w:tab w:val="center" w:pos="2605"/>
                <w:tab w:val="right" w:pos="5211"/>
              </w:tabs>
              <w:adjustRightInd w:val="0"/>
              <w:snapToGrid w:val="0"/>
              <w:spacing w:line="240" w:lineRule="auto"/>
              <w:ind w:firstLineChars="0" w:firstLine="0"/>
              <w:textAlignment w:val="center"/>
              <w:rPr>
                <w:rFonts w:ascii="宋体" w:hAnsi="宋体" w:cs="宋体" w:hint="eastAsia"/>
                <w:sz w:val="21"/>
                <w:szCs w:val="21"/>
              </w:rPr>
            </w:pPr>
            <w:r>
              <w:rPr>
                <w:rFonts w:ascii="宋体" w:eastAsia="宋体" w:hAnsi="宋体" w:cs="宋体" w:hint="eastAsia"/>
                <w:sz w:val="21"/>
                <w:szCs w:val="21"/>
              </w:rPr>
              <w:t>（1）施工布置的要求：施工生产区禁止布设在集中式水源地保护区内，尽量占用非林草用地。</w:t>
            </w:r>
            <w:r>
              <w:rPr>
                <w:rStyle w:val="af1"/>
                <w:rFonts w:hint="eastAsia"/>
              </w:rPr>
              <w:tab/>
            </w:r>
          </w:p>
          <w:p w14:paraId="7431F2F4" w14:textId="77777777" w:rsidR="005A1A44" w:rsidRDefault="0008059E">
            <w:pPr>
              <w:widowControl/>
              <w:adjustRightInd w:val="0"/>
              <w:snapToGrid w:val="0"/>
              <w:spacing w:line="240" w:lineRule="auto"/>
              <w:ind w:firstLineChars="0" w:firstLine="0"/>
              <w:textAlignment w:val="center"/>
              <w:rPr>
                <w:rFonts w:ascii="宋体" w:eastAsia="宋体" w:hAnsi="宋体" w:cs="宋体" w:hint="eastAsia"/>
                <w:sz w:val="21"/>
                <w:szCs w:val="21"/>
              </w:rPr>
            </w:pPr>
            <w:r>
              <w:rPr>
                <w:rFonts w:ascii="宋体" w:eastAsia="宋体" w:hAnsi="宋体" w:cs="宋体" w:hint="eastAsia"/>
                <w:sz w:val="21"/>
                <w:szCs w:val="21"/>
              </w:rPr>
              <w:t>（2）施工期各施工区设置絮凝沉淀池、隔油池等生活、生产废水处理设，处理水体达标达标施循环利用，底泥堆场余水经沉淀池沉淀后排入市政污水管网由和田市污水处理厂处理。</w:t>
            </w:r>
          </w:p>
        </w:tc>
        <w:tc>
          <w:tcPr>
            <w:tcW w:w="1771"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3B426B1C"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sz w:val="21"/>
                <w:szCs w:val="21"/>
              </w:rPr>
            </w:pPr>
            <w:r>
              <w:rPr>
                <w:rFonts w:ascii="宋体" w:eastAsia="宋体" w:hAnsi="宋体" w:cs="宋体" w:hint="eastAsia"/>
                <w:sz w:val="21"/>
                <w:szCs w:val="21"/>
              </w:rPr>
              <w:t>禁止废水排入玉龙喀什河</w:t>
            </w:r>
          </w:p>
        </w:tc>
      </w:tr>
      <w:tr w:rsidR="005A1A44" w14:paraId="3CB929CF" w14:textId="77777777">
        <w:trPr>
          <w:trHeight w:val="300"/>
        </w:trPr>
        <w:tc>
          <w:tcPr>
            <w:tcW w:w="760"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5B207B4C"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3</w:t>
            </w:r>
          </w:p>
        </w:tc>
        <w:tc>
          <w:tcPr>
            <w:tcW w:w="1328"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08270122"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固体废物</w:t>
            </w:r>
            <w:r>
              <w:rPr>
                <w:rStyle w:val="font61"/>
                <w:rFonts w:hint="default"/>
              </w:rPr>
              <w:t>保护措施</w:t>
            </w:r>
          </w:p>
        </w:tc>
        <w:tc>
          <w:tcPr>
            <w:tcW w:w="5235" w:type="dxa"/>
            <w:tcBorders>
              <w:top w:val="nil"/>
              <w:left w:val="nil"/>
              <w:bottom w:val="nil"/>
              <w:right w:val="single" w:sz="8" w:space="0" w:color="auto"/>
            </w:tcBorders>
            <w:shd w:val="clear" w:color="auto" w:fill="auto"/>
            <w:tcMar>
              <w:top w:w="12" w:type="dxa"/>
              <w:left w:w="12" w:type="dxa"/>
              <w:right w:w="12" w:type="dxa"/>
            </w:tcMar>
            <w:vAlign w:val="center"/>
          </w:tcPr>
          <w:p w14:paraId="5B6325C1" w14:textId="77777777" w:rsidR="005A1A44" w:rsidRDefault="0008059E">
            <w:pPr>
              <w:widowControl/>
              <w:adjustRightInd w:val="0"/>
              <w:snapToGrid w:val="0"/>
              <w:spacing w:line="240" w:lineRule="auto"/>
              <w:ind w:firstLineChars="0" w:firstLine="0"/>
              <w:textAlignment w:val="center"/>
              <w:rPr>
                <w:rFonts w:ascii="宋体" w:eastAsia="宋体" w:hAnsi="宋体" w:cs="宋体" w:hint="eastAsia"/>
                <w:color w:val="000000"/>
                <w:sz w:val="21"/>
                <w:szCs w:val="21"/>
              </w:rPr>
            </w:pPr>
            <w:r>
              <w:rPr>
                <w:rFonts w:ascii="宋体" w:eastAsia="宋体" w:hAnsi="宋体" w:cs="宋体" w:hint="eastAsia"/>
                <w:sz w:val="21"/>
                <w:szCs w:val="21"/>
              </w:rPr>
              <w:t>（1）工程弃土弃渣按指定地点堆放；</w:t>
            </w:r>
          </w:p>
        </w:tc>
        <w:tc>
          <w:tcPr>
            <w:tcW w:w="1771"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05AC43FE"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　</w:t>
            </w:r>
          </w:p>
        </w:tc>
      </w:tr>
      <w:tr w:rsidR="005A1A44" w14:paraId="4B2C20D2" w14:textId="77777777">
        <w:trPr>
          <w:trHeight w:val="600"/>
        </w:trPr>
        <w:tc>
          <w:tcPr>
            <w:tcW w:w="7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2685CF6E" w14:textId="77777777" w:rsidR="005A1A44" w:rsidRDefault="005A1A44">
            <w:pPr>
              <w:widowControl/>
              <w:adjustRightInd w:val="0"/>
              <w:snapToGrid w:val="0"/>
              <w:spacing w:line="240" w:lineRule="auto"/>
              <w:ind w:firstLineChars="0" w:firstLine="0"/>
              <w:jc w:val="center"/>
              <w:rPr>
                <w:rFonts w:ascii="宋体" w:eastAsia="宋体" w:hAnsi="宋体" w:cs="宋体" w:hint="eastAsia"/>
                <w:color w:val="000000"/>
                <w:sz w:val="21"/>
                <w:szCs w:val="21"/>
              </w:rPr>
            </w:pPr>
          </w:p>
        </w:tc>
        <w:tc>
          <w:tcPr>
            <w:tcW w:w="1328"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767371A5" w14:textId="77777777" w:rsidR="005A1A44" w:rsidRDefault="005A1A44">
            <w:pPr>
              <w:widowControl/>
              <w:adjustRightInd w:val="0"/>
              <w:snapToGrid w:val="0"/>
              <w:spacing w:line="240" w:lineRule="auto"/>
              <w:ind w:firstLineChars="0" w:firstLine="0"/>
              <w:jc w:val="center"/>
              <w:rPr>
                <w:rFonts w:ascii="宋体" w:eastAsia="宋体" w:hAnsi="宋体" w:cs="宋体" w:hint="eastAsia"/>
                <w:color w:val="000000"/>
                <w:sz w:val="21"/>
                <w:szCs w:val="21"/>
              </w:rPr>
            </w:pPr>
          </w:p>
        </w:tc>
        <w:tc>
          <w:tcPr>
            <w:tcW w:w="5235"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45DBBA1B" w14:textId="77777777" w:rsidR="005A1A44" w:rsidRDefault="0008059E">
            <w:pPr>
              <w:widowControl/>
              <w:adjustRightInd w:val="0"/>
              <w:snapToGrid w:val="0"/>
              <w:spacing w:line="240" w:lineRule="auto"/>
              <w:ind w:firstLineChars="0" w:firstLine="0"/>
              <w:textAlignment w:val="center"/>
              <w:rPr>
                <w:rFonts w:ascii="宋体" w:eastAsia="宋体" w:hAnsi="宋体" w:cs="宋体" w:hint="eastAsia"/>
                <w:color w:val="000000"/>
                <w:sz w:val="21"/>
                <w:szCs w:val="21"/>
              </w:rPr>
            </w:pPr>
            <w:r>
              <w:rPr>
                <w:rFonts w:ascii="宋体" w:eastAsia="宋体" w:hAnsi="宋体" w:cs="宋体" w:hint="eastAsia"/>
                <w:sz w:val="21"/>
                <w:szCs w:val="21"/>
              </w:rPr>
              <w:t>（2）工地生活垃圾将由当地环卫部门及时清运到垃圾中转站处置。</w:t>
            </w:r>
          </w:p>
        </w:tc>
        <w:tc>
          <w:tcPr>
            <w:tcW w:w="1771"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197F7EB2" w14:textId="77777777" w:rsidR="005A1A44" w:rsidRDefault="005A1A44">
            <w:pPr>
              <w:widowControl/>
              <w:adjustRightInd w:val="0"/>
              <w:snapToGrid w:val="0"/>
              <w:spacing w:line="240" w:lineRule="auto"/>
              <w:ind w:firstLineChars="0" w:firstLine="0"/>
              <w:jc w:val="center"/>
              <w:rPr>
                <w:rFonts w:ascii="宋体" w:eastAsia="宋体" w:hAnsi="宋体" w:cs="宋体" w:hint="eastAsia"/>
                <w:color w:val="000000"/>
                <w:sz w:val="21"/>
                <w:szCs w:val="21"/>
              </w:rPr>
            </w:pPr>
          </w:p>
        </w:tc>
      </w:tr>
      <w:tr w:rsidR="005A1A44" w14:paraId="39E5F9C2" w14:textId="77777777">
        <w:trPr>
          <w:trHeight w:val="1176"/>
        </w:trPr>
        <w:tc>
          <w:tcPr>
            <w:tcW w:w="760"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76F3EDEE"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4</w:t>
            </w:r>
          </w:p>
        </w:tc>
        <w:tc>
          <w:tcPr>
            <w:tcW w:w="1328"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06FBB4E8"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大气污染</w:t>
            </w:r>
            <w:r>
              <w:rPr>
                <w:rStyle w:val="font61"/>
                <w:rFonts w:hint="default"/>
              </w:rPr>
              <w:t>保护措施</w:t>
            </w:r>
          </w:p>
        </w:tc>
        <w:tc>
          <w:tcPr>
            <w:tcW w:w="5235" w:type="dxa"/>
            <w:tcBorders>
              <w:top w:val="nil"/>
              <w:left w:val="nil"/>
              <w:bottom w:val="nil"/>
              <w:right w:val="single" w:sz="8" w:space="0" w:color="auto"/>
            </w:tcBorders>
            <w:shd w:val="clear" w:color="auto" w:fill="auto"/>
            <w:tcMar>
              <w:top w:w="12" w:type="dxa"/>
              <w:left w:w="12" w:type="dxa"/>
              <w:right w:w="12" w:type="dxa"/>
            </w:tcMar>
            <w:vAlign w:val="center"/>
          </w:tcPr>
          <w:p w14:paraId="0157DC10" w14:textId="77777777" w:rsidR="005A1A44" w:rsidRDefault="0008059E">
            <w:pPr>
              <w:widowControl/>
              <w:adjustRightInd w:val="0"/>
              <w:snapToGrid w:val="0"/>
              <w:spacing w:line="240" w:lineRule="auto"/>
              <w:ind w:firstLineChars="0" w:firstLine="0"/>
              <w:textAlignment w:val="center"/>
              <w:rPr>
                <w:rFonts w:ascii="宋体" w:eastAsia="宋体" w:hAnsi="宋体" w:cs="宋体" w:hint="eastAsia"/>
                <w:color w:val="000000"/>
                <w:sz w:val="21"/>
                <w:szCs w:val="21"/>
              </w:rPr>
            </w:pPr>
            <w:r>
              <w:rPr>
                <w:rFonts w:ascii="宋体" w:eastAsia="宋体" w:hAnsi="宋体" w:cs="宋体" w:hint="eastAsia"/>
                <w:sz w:val="21"/>
                <w:szCs w:val="21"/>
              </w:rPr>
              <w:t>（1）各施工区与外界出口处按《防治城市扬尘污染技术规范》（HJ/T 393-2007）的要求，设置汽车洗车平台等，防止汽车车轮带泥上路，造成粉尘等大气污染；</w:t>
            </w:r>
          </w:p>
        </w:tc>
        <w:tc>
          <w:tcPr>
            <w:tcW w:w="1771"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22A1F2A2"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　</w:t>
            </w:r>
          </w:p>
        </w:tc>
      </w:tr>
      <w:tr w:rsidR="005A1A44" w14:paraId="69FFC10D" w14:textId="77777777">
        <w:trPr>
          <w:trHeight w:val="588"/>
        </w:trPr>
        <w:tc>
          <w:tcPr>
            <w:tcW w:w="7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46AB62B4" w14:textId="77777777" w:rsidR="005A1A44" w:rsidRDefault="005A1A44">
            <w:pPr>
              <w:widowControl/>
              <w:adjustRightInd w:val="0"/>
              <w:snapToGrid w:val="0"/>
              <w:spacing w:line="240" w:lineRule="auto"/>
              <w:ind w:firstLineChars="0" w:firstLine="0"/>
              <w:jc w:val="center"/>
              <w:rPr>
                <w:rFonts w:ascii="宋体" w:eastAsia="宋体" w:hAnsi="宋体" w:cs="宋体" w:hint="eastAsia"/>
                <w:color w:val="000000"/>
                <w:sz w:val="21"/>
                <w:szCs w:val="21"/>
              </w:rPr>
            </w:pPr>
          </w:p>
        </w:tc>
        <w:tc>
          <w:tcPr>
            <w:tcW w:w="1328"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37F65FAB" w14:textId="77777777" w:rsidR="005A1A44" w:rsidRDefault="005A1A44">
            <w:pPr>
              <w:widowControl/>
              <w:adjustRightInd w:val="0"/>
              <w:snapToGrid w:val="0"/>
              <w:spacing w:line="240" w:lineRule="auto"/>
              <w:ind w:firstLineChars="0" w:firstLine="0"/>
              <w:jc w:val="center"/>
              <w:rPr>
                <w:rFonts w:ascii="宋体" w:eastAsia="宋体" w:hAnsi="宋体" w:cs="宋体" w:hint="eastAsia"/>
                <w:color w:val="000000"/>
                <w:sz w:val="21"/>
                <w:szCs w:val="21"/>
              </w:rPr>
            </w:pPr>
          </w:p>
        </w:tc>
        <w:tc>
          <w:tcPr>
            <w:tcW w:w="5235" w:type="dxa"/>
            <w:tcBorders>
              <w:top w:val="nil"/>
              <w:left w:val="nil"/>
              <w:bottom w:val="nil"/>
              <w:right w:val="single" w:sz="8" w:space="0" w:color="auto"/>
            </w:tcBorders>
            <w:shd w:val="clear" w:color="auto" w:fill="auto"/>
            <w:tcMar>
              <w:top w:w="12" w:type="dxa"/>
              <w:left w:w="12" w:type="dxa"/>
              <w:right w:w="12" w:type="dxa"/>
            </w:tcMar>
            <w:vAlign w:val="center"/>
          </w:tcPr>
          <w:p w14:paraId="01C0F984" w14:textId="77777777" w:rsidR="005A1A44" w:rsidRDefault="0008059E">
            <w:pPr>
              <w:widowControl/>
              <w:adjustRightInd w:val="0"/>
              <w:snapToGrid w:val="0"/>
              <w:spacing w:line="240" w:lineRule="auto"/>
              <w:ind w:firstLineChars="0" w:firstLine="0"/>
              <w:textAlignment w:val="center"/>
              <w:rPr>
                <w:rFonts w:ascii="宋体" w:eastAsia="宋体" w:hAnsi="宋体" w:cs="宋体" w:hint="eastAsia"/>
                <w:color w:val="000000"/>
                <w:sz w:val="21"/>
                <w:szCs w:val="21"/>
              </w:rPr>
            </w:pPr>
            <w:r>
              <w:rPr>
                <w:rFonts w:ascii="宋体" w:eastAsia="宋体" w:hAnsi="宋体" w:cs="宋体" w:hint="eastAsia"/>
                <w:sz w:val="21"/>
                <w:szCs w:val="21"/>
              </w:rPr>
              <w:t>（2）工地出口处道路铺设细石等功能材料，辅以洒水、措施，防治场尘；</w:t>
            </w:r>
          </w:p>
        </w:tc>
        <w:tc>
          <w:tcPr>
            <w:tcW w:w="1771"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633100FC" w14:textId="77777777" w:rsidR="005A1A44" w:rsidRDefault="005A1A44">
            <w:pPr>
              <w:widowControl/>
              <w:adjustRightInd w:val="0"/>
              <w:snapToGrid w:val="0"/>
              <w:spacing w:line="240" w:lineRule="auto"/>
              <w:ind w:firstLineChars="0" w:firstLine="0"/>
              <w:jc w:val="center"/>
              <w:rPr>
                <w:rFonts w:ascii="宋体" w:eastAsia="宋体" w:hAnsi="宋体" w:cs="宋体" w:hint="eastAsia"/>
                <w:color w:val="000000"/>
                <w:sz w:val="21"/>
                <w:szCs w:val="21"/>
              </w:rPr>
            </w:pPr>
          </w:p>
        </w:tc>
      </w:tr>
      <w:tr w:rsidR="005A1A44" w14:paraId="63E60B67" w14:textId="77777777">
        <w:trPr>
          <w:trHeight w:val="600"/>
        </w:trPr>
        <w:tc>
          <w:tcPr>
            <w:tcW w:w="7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139E0A15" w14:textId="77777777" w:rsidR="005A1A44" w:rsidRDefault="005A1A44">
            <w:pPr>
              <w:widowControl/>
              <w:adjustRightInd w:val="0"/>
              <w:snapToGrid w:val="0"/>
              <w:spacing w:line="240" w:lineRule="auto"/>
              <w:ind w:firstLineChars="0" w:firstLine="0"/>
              <w:jc w:val="center"/>
              <w:rPr>
                <w:rFonts w:ascii="宋体" w:eastAsia="宋体" w:hAnsi="宋体" w:cs="宋体" w:hint="eastAsia"/>
                <w:color w:val="000000"/>
                <w:sz w:val="21"/>
                <w:szCs w:val="21"/>
              </w:rPr>
            </w:pPr>
          </w:p>
        </w:tc>
        <w:tc>
          <w:tcPr>
            <w:tcW w:w="1328"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30F592DC" w14:textId="77777777" w:rsidR="005A1A44" w:rsidRDefault="005A1A44">
            <w:pPr>
              <w:widowControl/>
              <w:adjustRightInd w:val="0"/>
              <w:snapToGrid w:val="0"/>
              <w:spacing w:line="240" w:lineRule="auto"/>
              <w:ind w:firstLineChars="0" w:firstLine="0"/>
              <w:jc w:val="center"/>
              <w:rPr>
                <w:rFonts w:ascii="宋体" w:eastAsia="宋体" w:hAnsi="宋体" w:cs="宋体" w:hint="eastAsia"/>
                <w:color w:val="000000"/>
                <w:sz w:val="21"/>
                <w:szCs w:val="21"/>
              </w:rPr>
            </w:pPr>
          </w:p>
        </w:tc>
        <w:tc>
          <w:tcPr>
            <w:tcW w:w="5235"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580FC37C" w14:textId="77777777" w:rsidR="005A1A44" w:rsidRDefault="0008059E">
            <w:pPr>
              <w:widowControl/>
              <w:adjustRightInd w:val="0"/>
              <w:snapToGrid w:val="0"/>
              <w:spacing w:line="240" w:lineRule="auto"/>
              <w:ind w:firstLineChars="0" w:firstLine="0"/>
              <w:textAlignment w:val="center"/>
              <w:rPr>
                <w:rFonts w:ascii="宋体" w:eastAsia="宋体" w:hAnsi="宋体" w:cs="宋体" w:hint="eastAsia"/>
                <w:color w:val="000000"/>
                <w:sz w:val="21"/>
                <w:szCs w:val="21"/>
              </w:rPr>
            </w:pPr>
            <w:r>
              <w:rPr>
                <w:rFonts w:ascii="宋体" w:eastAsia="宋体" w:hAnsi="宋体" w:cs="宋体" w:hint="eastAsia"/>
                <w:sz w:val="21"/>
                <w:szCs w:val="21"/>
              </w:rPr>
              <w:t>（3）采取遮盖或密闭式运输，运输车辆限速，运输过程严禁抛、撒、漏。</w:t>
            </w:r>
          </w:p>
        </w:tc>
        <w:tc>
          <w:tcPr>
            <w:tcW w:w="1771"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6FCB4369" w14:textId="77777777" w:rsidR="005A1A44" w:rsidRDefault="005A1A44">
            <w:pPr>
              <w:widowControl/>
              <w:adjustRightInd w:val="0"/>
              <w:snapToGrid w:val="0"/>
              <w:spacing w:line="240" w:lineRule="auto"/>
              <w:ind w:firstLineChars="0" w:firstLine="0"/>
              <w:jc w:val="center"/>
              <w:rPr>
                <w:rFonts w:ascii="宋体" w:eastAsia="宋体" w:hAnsi="宋体" w:cs="宋体" w:hint="eastAsia"/>
                <w:color w:val="000000"/>
                <w:sz w:val="21"/>
                <w:szCs w:val="21"/>
              </w:rPr>
            </w:pPr>
          </w:p>
        </w:tc>
      </w:tr>
      <w:tr w:rsidR="005A1A44" w14:paraId="1B585DB0" w14:textId="77777777">
        <w:trPr>
          <w:trHeight w:val="1176"/>
        </w:trPr>
        <w:tc>
          <w:tcPr>
            <w:tcW w:w="760"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0B505CCA"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5</w:t>
            </w:r>
          </w:p>
        </w:tc>
        <w:tc>
          <w:tcPr>
            <w:tcW w:w="1328"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25047A37"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噪声</w:t>
            </w:r>
            <w:r>
              <w:rPr>
                <w:rStyle w:val="font61"/>
                <w:rFonts w:hint="default"/>
              </w:rPr>
              <w:t>污染保护措施</w:t>
            </w:r>
          </w:p>
        </w:tc>
        <w:tc>
          <w:tcPr>
            <w:tcW w:w="5235" w:type="dxa"/>
            <w:tcBorders>
              <w:top w:val="nil"/>
              <w:left w:val="nil"/>
              <w:bottom w:val="nil"/>
              <w:right w:val="single" w:sz="8" w:space="0" w:color="auto"/>
            </w:tcBorders>
            <w:shd w:val="clear" w:color="auto" w:fill="auto"/>
            <w:tcMar>
              <w:top w:w="12" w:type="dxa"/>
              <w:left w:w="12" w:type="dxa"/>
              <w:right w:w="12" w:type="dxa"/>
            </w:tcMar>
            <w:vAlign w:val="center"/>
          </w:tcPr>
          <w:p w14:paraId="37D158BD" w14:textId="77777777" w:rsidR="005A1A44" w:rsidRDefault="0008059E">
            <w:pPr>
              <w:widowControl/>
              <w:adjustRightInd w:val="0"/>
              <w:snapToGrid w:val="0"/>
              <w:spacing w:line="240" w:lineRule="auto"/>
              <w:ind w:firstLineChars="0" w:firstLine="0"/>
              <w:textAlignment w:val="center"/>
              <w:rPr>
                <w:rFonts w:ascii="宋体" w:eastAsia="宋体" w:hAnsi="宋体" w:cs="宋体" w:hint="eastAsia"/>
                <w:color w:val="000000"/>
                <w:sz w:val="21"/>
                <w:szCs w:val="21"/>
              </w:rPr>
            </w:pPr>
            <w:r>
              <w:rPr>
                <w:rFonts w:ascii="宋体" w:eastAsia="宋体" w:hAnsi="宋体" w:cs="宋体" w:hint="eastAsia"/>
                <w:sz w:val="21"/>
                <w:szCs w:val="21"/>
              </w:rPr>
              <w:t>（1）要合理安排施工时间。夜间22:00～次日6:00应禁止施工，确保居民的休息。特殊情况需施工，要向当地环保局申请，得到批准并公告后方可施工；</w:t>
            </w:r>
          </w:p>
        </w:tc>
        <w:tc>
          <w:tcPr>
            <w:tcW w:w="1771"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75460C72"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sz w:val="21"/>
                <w:szCs w:val="21"/>
              </w:rPr>
              <w:t>满足GB 12523-2011标准要求</w:t>
            </w:r>
          </w:p>
        </w:tc>
      </w:tr>
      <w:tr w:rsidR="005A1A44" w14:paraId="45707E89" w14:textId="77777777">
        <w:trPr>
          <w:trHeight w:val="600"/>
        </w:trPr>
        <w:tc>
          <w:tcPr>
            <w:tcW w:w="7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280EEE8C" w14:textId="77777777" w:rsidR="005A1A44" w:rsidRDefault="005A1A44">
            <w:pPr>
              <w:widowControl/>
              <w:adjustRightInd w:val="0"/>
              <w:snapToGrid w:val="0"/>
              <w:spacing w:line="240" w:lineRule="auto"/>
              <w:ind w:firstLineChars="0" w:firstLine="0"/>
              <w:jc w:val="center"/>
              <w:rPr>
                <w:rFonts w:ascii="宋体" w:eastAsia="宋体" w:hAnsi="宋体" w:cs="宋体" w:hint="eastAsia"/>
                <w:color w:val="000000"/>
                <w:sz w:val="21"/>
                <w:szCs w:val="21"/>
              </w:rPr>
            </w:pPr>
          </w:p>
        </w:tc>
        <w:tc>
          <w:tcPr>
            <w:tcW w:w="1328"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5FE240E2" w14:textId="77777777" w:rsidR="005A1A44" w:rsidRDefault="005A1A44">
            <w:pPr>
              <w:widowControl/>
              <w:adjustRightInd w:val="0"/>
              <w:snapToGrid w:val="0"/>
              <w:spacing w:line="240" w:lineRule="auto"/>
              <w:ind w:firstLineChars="0" w:firstLine="0"/>
              <w:jc w:val="center"/>
              <w:rPr>
                <w:rFonts w:ascii="宋体" w:eastAsia="宋体" w:hAnsi="宋体" w:cs="宋体" w:hint="eastAsia"/>
                <w:color w:val="000000"/>
                <w:sz w:val="21"/>
                <w:szCs w:val="21"/>
              </w:rPr>
            </w:pPr>
          </w:p>
        </w:tc>
        <w:tc>
          <w:tcPr>
            <w:tcW w:w="5235"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05DFF7A5" w14:textId="77777777" w:rsidR="005A1A44" w:rsidRDefault="0008059E">
            <w:pPr>
              <w:widowControl/>
              <w:adjustRightInd w:val="0"/>
              <w:snapToGrid w:val="0"/>
              <w:spacing w:line="240" w:lineRule="auto"/>
              <w:ind w:firstLineChars="0" w:firstLine="0"/>
              <w:textAlignment w:val="center"/>
              <w:rPr>
                <w:rFonts w:ascii="宋体" w:eastAsia="宋体" w:hAnsi="宋体" w:cs="宋体" w:hint="eastAsia"/>
                <w:color w:val="000000"/>
                <w:sz w:val="21"/>
                <w:szCs w:val="21"/>
              </w:rPr>
            </w:pPr>
            <w:r>
              <w:rPr>
                <w:rFonts w:ascii="宋体" w:eastAsia="宋体" w:hAnsi="宋体" w:cs="宋体" w:hint="eastAsia"/>
                <w:sz w:val="21"/>
                <w:szCs w:val="21"/>
              </w:rPr>
              <w:t>（2）对机械良好的维护保养和正确操作运行。</w:t>
            </w:r>
          </w:p>
        </w:tc>
        <w:tc>
          <w:tcPr>
            <w:tcW w:w="1771"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7C2C2ABD" w14:textId="77777777" w:rsidR="005A1A44" w:rsidRDefault="005A1A44">
            <w:pPr>
              <w:widowControl/>
              <w:adjustRightInd w:val="0"/>
              <w:snapToGrid w:val="0"/>
              <w:spacing w:line="240" w:lineRule="auto"/>
              <w:ind w:firstLineChars="0" w:firstLine="0"/>
              <w:rPr>
                <w:rFonts w:ascii="宋体" w:eastAsia="宋体" w:hAnsi="宋体" w:cs="宋体" w:hint="eastAsia"/>
                <w:color w:val="000000"/>
                <w:sz w:val="21"/>
                <w:szCs w:val="21"/>
              </w:rPr>
            </w:pPr>
          </w:p>
        </w:tc>
      </w:tr>
      <w:tr w:rsidR="005A1A44" w14:paraId="5EB7E6B9" w14:textId="77777777">
        <w:trPr>
          <w:trHeight w:val="300"/>
        </w:trPr>
        <w:tc>
          <w:tcPr>
            <w:tcW w:w="760"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07B31A93"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6</w:t>
            </w:r>
          </w:p>
        </w:tc>
        <w:tc>
          <w:tcPr>
            <w:tcW w:w="1328"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7D0F33D8" w14:textId="77777777" w:rsidR="005A1A44" w:rsidRDefault="0008059E">
            <w:pPr>
              <w:widowControl/>
              <w:adjustRightInd w:val="0"/>
              <w:snapToGrid w:val="0"/>
              <w:spacing w:line="240" w:lineRule="auto"/>
              <w:ind w:firstLineChars="0" w:firstLine="0"/>
              <w:jc w:val="center"/>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社会环境保护措施</w:t>
            </w:r>
          </w:p>
        </w:tc>
        <w:tc>
          <w:tcPr>
            <w:tcW w:w="5235" w:type="dxa"/>
            <w:tcBorders>
              <w:top w:val="nil"/>
              <w:left w:val="nil"/>
              <w:bottom w:val="nil"/>
              <w:right w:val="single" w:sz="8" w:space="0" w:color="auto"/>
            </w:tcBorders>
            <w:shd w:val="clear" w:color="auto" w:fill="auto"/>
            <w:tcMar>
              <w:top w:w="12" w:type="dxa"/>
              <w:left w:w="12" w:type="dxa"/>
              <w:right w:w="12" w:type="dxa"/>
            </w:tcMar>
            <w:vAlign w:val="center"/>
          </w:tcPr>
          <w:p w14:paraId="4B44D962" w14:textId="77777777" w:rsidR="005A1A44" w:rsidRDefault="0008059E">
            <w:pPr>
              <w:widowControl/>
              <w:adjustRightInd w:val="0"/>
              <w:snapToGrid w:val="0"/>
              <w:spacing w:line="240" w:lineRule="auto"/>
              <w:ind w:firstLineChars="0" w:firstLine="0"/>
              <w:textAlignment w:val="center"/>
              <w:rPr>
                <w:rFonts w:ascii="宋体" w:eastAsia="宋体" w:hAnsi="宋体" w:cs="宋体" w:hint="eastAsia"/>
                <w:color w:val="000000"/>
                <w:sz w:val="21"/>
                <w:szCs w:val="21"/>
              </w:rPr>
            </w:pPr>
            <w:r>
              <w:rPr>
                <w:rFonts w:ascii="宋体" w:eastAsia="宋体" w:hAnsi="宋体" w:cs="宋体" w:hint="eastAsia"/>
                <w:sz w:val="21"/>
                <w:szCs w:val="21"/>
              </w:rPr>
              <w:t>（1）做好征占地补偿工作；</w:t>
            </w:r>
          </w:p>
        </w:tc>
        <w:tc>
          <w:tcPr>
            <w:tcW w:w="1771" w:type="dxa"/>
            <w:vMerge w:val="restart"/>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2B545E71" w14:textId="77777777" w:rsidR="005A1A44" w:rsidRDefault="0008059E">
            <w:pPr>
              <w:widowControl/>
              <w:adjustRightInd w:val="0"/>
              <w:snapToGrid w:val="0"/>
              <w:spacing w:line="240" w:lineRule="auto"/>
              <w:ind w:firstLineChars="0" w:firstLine="0"/>
              <w:jc w:val="left"/>
              <w:textAlignment w:val="center"/>
              <w:rPr>
                <w:rFonts w:ascii="宋体" w:eastAsia="宋体" w:hAnsi="宋体" w:cs="宋体" w:hint="eastAsia"/>
                <w:color w:val="000000"/>
                <w:sz w:val="21"/>
                <w:szCs w:val="21"/>
              </w:rPr>
            </w:pPr>
            <w:r>
              <w:rPr>
                <w:rFonts w:ascii="宋体" w:eastAsia="宋体" w:hAnsi="宋体" w:cs="宋体" w:hint="eastAsia"/>
                <w:color w:val="000000"/>
                <w:kern w:val="0"/>
                <w:sz w:val="21"/>
                <w:szCs w:val="21"/>
              </w:rPr>
              <w:t xml:space="preserve">　</w:t>
            </w:r>
          </w:p>
        </w:tc>
      </w:tr>
      <w:tr w:rsidR="005A1A44" w14:paraId="10811149" w14:textId="77777777">
        <w:trPr>
          <w:trHeight w:val="588"/>
        </w:trPr>
        <w:tc>
          <w:tcPr>
            <w:tcW w:w="7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501B2099" w14:textId="77777777" w:rsidR="005A1A44" w:rsidRDefault="005A1A44">
            <w:pPr>
              <w:widowControl/>
              <w:adjustRightInd w:val="0"/>
              <w:snapToGrid w:val="0"/>
              <w:spacing w:line="240" w:lineRule="auto"/>
              <w:ind w:firstLineChars="0" w:firstLine="0"/>
              <w:jc w:val="center"/>
              <w:rPr>
                <w:rFonts w:ascii="宋体" w:eastAsia="宋体" w:hAnsi="宋体" w:cs="宋体" w:hint="eastAsia"/>
                <w:color w:val="000000"/>
                <w:sz w:val="21"/>
                <w:szCs w:val="21"/>
              </w:rPr>
            </w:pPr>
          </w:p>
        </w:tc>
        <w:tc>
          <w:tcPr>
            <w:tcW w:w="1328"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3BBE5BCF" w14:textId="77777777" w:rsidR="005A1A44" w:rsidRDefault="005A1A44">
            <w:pPr>
              <w:widowControl/>
              <w:adjustRightInd w:val="0"/>
              <w:snapToGrid w:val="0"/>
              <w:spacing w:line="240" w:lineRule="auto"/>
              <w:ind w:firstLineChars="0" w:firstLine="0"/>
              <w:jc w:val="center"/>
              <w:rPr>
                <w:rFonts w:ascii="宋体" w:eastAsia="宋体" w:hAnsi="宋体" w:cs="宋体" w:hint="eastAsia"/>
                <w:color w:val="000000"/>
                <w:sz w:val="21"/>
                <w:szCs w:val="21"/>
              </w:rPr>
            </w:pPr>
          </w:p>
        </w:tc>
        <w:tc>
          <w:tcPr>
            <w:tcW w:w="5235" w:type="dxa"/>
            <w:tcBorders>
              <w:top w:val="nil"/>
              <w:left w:val="nil"/>
              <w:bottom w:val="nil"/>
              <w:right w:val="single" w:sz="8" w:space="0" w:color="auto"/>
            </w:tcBorders>
            <w:shd w:val="clear" w:color="auto" w:fill="auto"/>
            <w:tcMar>
              <w:top w:w="12" w:type="dxa"/>
              <w:left w:w="12" w:type="dxa"/>
              <w:right w:w="12" w:type="dxa"/>
            </w:tcMar>
            <w:vAlign w:val="center"/>
          </w:tcPr>
          <w:p w14:paraId="10D4DFF4" w14:textId="77777777" w:rsidR="005A1A44" w:rsidRDefault="0008059E">
            <w:pPr>
              <w:widowControl/>
              <w:adjustRightInd w:val="0"/>
              <w:snapToGrid w:val="0"/>
              <w:spacing w:line="240" w:lineRule="auto"/>
              <w:ind w:firstLineChars="0" w:firstLine="0"/>
              <w:textAlignment w:val="center"/>
              <w:rPr>
                <w:rFonts w:ascii="宋体" w:eastAsia="宋体" w:hAnsi="宋体" w:cs="宋体" w:hint="eastAsia"/>
                <w:color w:val="000000"/>
                <w:sz w:val="21"/>
                <w:szCs w:val="21"/>
              </w:rPr>
            </w:pPr>
            <w:r>
              <w:rPr>
                <w:rFonts w:ascii="宋体" w:eastAsia="宋体" w:hAnsi="宋体" w:cs="宋体" w:hint="eastAsia"/>
                <w:sz w:val="21"/>
                <w:szCs w:val="21"/>
              </w:rPr>
              <w:t>（3）施工期做好血吸虫病防治措施，控制传染源、切断传播途径，做好个人防护；</w:t>
            </w:r>
          </w:p>
        </w:tc>
        <w:tc>
          <w:tcPr>
            <w:tcW w:w="1771"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51A05F9E" w14:textId="77777777" w:rsidR="005A1A44" w:rsidRDefault="005A1A44">
            <w:pPr>
              <w:widowControl/>
              <w:adjustRightInd w:val="0"/>
              <w:snapToGrid w:val="0"/>
              <w:spacing w:line="240" w:lineRule="auto"/>
              <w:ind w:firstLineChars="0" w:firstLine="0"/>
              <w:rPr>
                <w:rFonts w:ascii="宋体" w:eastAsia="宋体" w:hAnsi="宋体" w:cs="宋体" w:hint="eastAsia"/>
                <w:color w:val="000000"/>
                <w:sz w:val="21"/>
                <w:szCs w:val="21"/>
              </w:rPr>
            </w:pPr>
          </w:p>
        </w:tc>
      </w:tr>
      <w:tr w:rsidR="005A1A44" w14:paraId="7059CCC1" w14:textId="77777777">
        <w:trPr>
          <w:trHeight w:val="588"/>
        </w:trPr>
        <w:tc>
          <w:tcPr>
            <w:tcW w:w="7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4280CBAD" w14:textId="77777777" w:rsidR="005A1A44" w:rsidRDefault="005A1A44">
            <w:pPr>
              <w:widowControl/>
              <w:adjustRightInd w:val="0"/>
              <w:snapToGrid w:val="0"/>
              <w:spacing w:line="240" w:lineRule="auto"/>
              <w:ind w:firstLineChars="0" w:firstLine="0"/>
              <w:jc w:val="center"/>
              <w:rPr>
                <w:rFonts w:ascii="宋体" w:eastAsia="宋体" w:hAnsi="宋体" w:cs="宋体" w:hint="eastAsia"/>
                <w:color w:val="000000"/>
                <w:sz w:val="21"/>
                <w:szCs w:val="21"/>
              </w:rPr>
            </w:pPr>
          </w:p>
        </w:tc>
        <w:tc>
          <w:tcPr>
            <w:tcW w:w="1328"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6212817D" w14:textId="77777777" w:rsidR="005A1A44" w:rsidRDefault="005A1A44">
            <w:pPr>
              <w:widowControl/>
              <w:adjustRightInd w:val="0"/>
              <w:snapToGrid w:val="0"/>
              <w:spacing w:line="240" w:lineRule="auto"/>
              <w:ind w:firstLineChars="0" w:firstLine="0"/>
              <w:jc w:val="center"/>
              <w:rPr>
                <w:rFonts w:ascii="宋体" w:eastAsia="宋体" w:hAnsi="宋体" w:cs="宋体" w:hint="eastAsia"/>
                <w:color w:val="000000"/>
                <w:sz w:val="21"/>
                <w:szCs w:val="21"/>
              </w:rPr>
            </w:pPr>
          </w:p>
        </w:tc>
        <w:tc>
          <w:tcPr>
            <w:tcW w:w="5235" w:type="dxa"/>
            <w:tcBorders>
              <w:top w:val="nil"/>
              <w:left w:val="nil"/>
              <w:bottom w:val="nil"/>
              <w:right w:val="single" w:sz="8" w:space="0" w:color="auto"/>
            </w:tcBorders>
            <w:shd w:val="clear" w:color="auto" w:fill="auto"/>
            <w:tcMar>
              <w:top w:w="12" w:type="dxa"/>
              <w:left w:w="12" w:type="dxa"/>
              <w:right w:w="12" w:type="dxa"/>
            </w:tcMar>
            <w:vAlign w:val="center"/>
          </w:tcPr>
          <w:p w14:paraId="7AFE89D9" w14:textId="77777777" w:rsidR="005A1A44" w:rsidRDefault="0008059E">
            <w:pPr>
              <w:widowControl/>
              <w:adjustRightInd w:val="0"/>
              <w:snapToGrid w:val="0"/>
              <w:spacing w:line="240" w:lineRule="auto"/>
              <w:ind w:firstLineChars="0" w:firstLine="0"/>
              <w:textAlignment w:val="center"/>
              <w:rPr>
                <w:rFonts w:ascii="宋体" w:eastAsia="宋体" w:hAnsi="宋体" w:cs="宋体" w:hint="eastAsia"/>
                <w:color w:val="000000"/>
                <w:sz w:val="21"/>
                <w:szCs w:val="21"/>
              </w:rPr>
            </w:pPr>
            <w:r>
              <w:rPr>
                <w:rFonts w:ascii="宋体" w:eastAsia="宋体" w:hAnsi="宋体" w:cs="宋体" w:hint="eastAsia"/>
                <w:sz w:val="21"/>
                <w:szCs w:val="21"/>
              </w:rPr>
              <w:t>（3）施工期与交通部门密切配合，做好交通协和工作；</w:t>
            </w:r>
          </w:p>
        </w:tc>
        <w:tc>
          <w:tcPr>
            <w:tcW w:w="1771"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11FB4A30" w14:textId="77777777" w:rsidR="005A1A44" w:rsidRDefault="005A1A44">
            <w:pPr>
              <w:widowControl/>
              <w:adjustRightInd w:val="0"/>
              <w:snapToGrid w:val="0"/>
              <w:spacing w:line="240" w:lineRule="auto"/>
              <w:ind w:firstLineChars="0" w:firstLine="0"/>
              <w:rPr>
                <w:rFonts w:ascii="宋体" w:eastAsia="宋体" w:hAnsi="宋体" w:cs="宋体" w:hint="eastAsia"/>
                <w:color w:val="000000"/>
                <w:sz w:val="21"/>
                <w:szCs w:val="21"/>
              </w:rPr>
            </w:pPr>
          </w:p>
        </w:tc>
      </w:tr>
      <w:tr w:rsidR="005A1A44" w14:paraId="7AC15656" w14:textId="77777777">
        <w:trPr>
          <w:trHeight w:val="1212"/>
        </w:trPr>
        <w:tc>
          <w:tcPr>
            <w:tcW w:w="760"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40110698" w14:textId="77777777" w:rsidR="005A1A44" w:rsidRDefault="005A1A44">
            <w:pPr>
              <w:widowControl/>
              <w:adjustRightInd w:val="0"/>
              <w:snapToGrid w:val="0"/>
              <w:spacing w:line="240" w:lineRule="auto"/>
              <w:ind w:firstLineChars="0" w:firstLine="0"/>
              <w:jc w:val="center"/>
              <w:rPr>
                <w:rFonts w:ascii="宋体" w:eastAsia="宋体" w:hAnsi="宋体" w:cs="宋体" w:hint="eastAsia"/>
                <w:color w:val="000000"/>
                <w:sz w:val="21"/>
                <w:szCs w:val="21"/>
              </w:rPr>
            </w:pPr>
          </w:p>
        </w:tc>
        <w:tc>
          <w:tcPr>
            <w:tcW w:w="1328"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6836C012" w14:textId="77777777" w:rsidR="005A1A44" w:rsidRDefault="005A1A44">
            <w:pPr>
              <w:widowControl/>
              <w:adjustRightInd w:val="0"/>
              <w:snapToGrid w:val="0"/>
              <w:spacing w:line="240" w:lineRule="auto"/>
              <w:ind w:firstLineChars="0" w:firstLine="0"/>
              <w:jc w:val="center"/>
              <w:rPr>
                <w:rFonts w:ascii="宋体" w:eastAsia="宋体" w:hAnsi="宋体" w:cs="宋体" w:hint="eastAsia"/>
                <w:color w:val="000000"/>
                <w:sz w:val="21"/>
                <w:szCs w:val="21"/>
              </w:rPr>
            </w:pPr>
          </w:p>
        </w:tc>
        <w:tc>
          <w:tcPr>
            <w:tcW w:w="5235" w:type="dxa"/>
            <w:tcBorders>
              <w:top w:val="nil"/>
              <w:left w:val="nil"/>
              <w:bottom w:val="single" w:sz="8" w:space="0" w:color="auto"/>
              <w:right w:val="single" w:sz="8" w:space="0" w:color="auto"/>
            </w:tcBorders>
            <w:shd w:val="clear" w:color="auto" w:fill="auto"/>
            <w:tcMar>
              <w:top w:w="12" w:type="dxa"/>
              <w:left w:w="12" w:type="dxa"/>
              <w:right w:w="12" w:type="dxa"/>
            </w:tcMar>
            <w:vAlign w:val="center"/>
          </w:tcPr>
          <w:p w14:paraId="17735DFD" w14:textId="77777777" w:rsidR="005A1A44" w:rsidRDefault="0008059E">
            <w:pPr>
              <w:widowControl/>
              <w:adjustRightInd w:val="0"/>
              <w:snapToGrid w:val="0"/>
              <w:spacing w:line="240" w:lineRule="auto"/>
              <w:ind w:firstLineChars="0" w:firstLine="0"/>
              <w:textAlignment w:val="center"/>
              <w:rPr>
                <w:rFonts w:ascii="宋体" w:eastAsia="宋体" w:hAnsi="宋体" w:cs="宋体" w:hint="eastAsia"/>
                <w:color w:val="000000"/>
                <w:sz w:val="21"/>
                <w:szCs w:val="21"/>
              </w:rPr>
            </w:pPr>
            <w:r>
              <w:rPr>
                <w:rFonts w:ascii="宋体" w:eastAsia="宋体" w:hAnsi="宋体" w:cs="宋体" w:hint="eastAsia"/>
                <w:sz w:val="21"/>
                <w:szCs w:val="21"/>
              </w:rPr>
              <w:t>（4）做好防洪工程区域景观美化设计等，形成沿河的独特风景线，在一定程度上弥补沿河居民因堤防建设难以直接亲水的缺憾；</w:t>
            </w:r>
          </w:p>
        </w:tc>
        <w:tc>
          <w:tcPr>
            <w:tcW w:w="1771" w:type="dxa"/>
            <w:vMerge/>
            <w:tcBorders>
              <w:top w:val="nil"/>
              <w:left w:val="single" w:sz="8" w:space="0" w:color="auto"/>
              <w:bottom w:val="single" w:sz="8" w:space="0" w:color="000000"/>
              <w:right w:val="single" w:sz="8" w:space="0" w:color="auto"/>
            </w:tcBorders>
            <w:shd w:val="clear" w:color="auto" w:fill="auto"/>
            <w:tcMar>
              <w:top w:w="12" w:type="dxa"/>
              <w:left w:w="12" w:type="dxa"/>
              <w:right w:w="12" w:type="dxa"/>
            </w:tcMar>
            <w:vAlign w:val="center"/>
          </w:tcPr>
          <w:p w14:paraId="3FE97885" w14:textId="77777777" w:rsidR="005A1A44" w:rsidRDefault="005A1A44">
            <w:pPr>
              <w:widowControl/>
              <w:adjustRightInd w:val="0"/>
              <w:snapToGrid w:val="0"/>
              <w:spacing w:line="240" w:lineRule="auto"/>
              <w:ind w:firstLineChars="0" w:firstLine="0"/>
              <w:rPr>
                <w:rFonts w:ascii="宋体" w:eastAsia="宋体" w:hAnsi="宋体" w:cs="宋体" w:hint="eastAsia"/>
                <w:color w:val="000000"/>
                <w:sz w:val="21"/>
                <w:szCs w:val="21"/>
              </w:rPr>
            </w:pPr>
          </w:p>
        </w:tc>
      </w:tr>
    </w:tbl>
    <w:p w14:paraId="661A2125" w14:textId="77777777" w:rsidR="005A1A44" w:rsidRDefault="005A1A44">
      <w:pPr>
        <w:ind w:firstLine="482"/>
        <w:jc w:val="center"/>
        <w:rPr>
          <w:b/>
          <w:color w:val="000000"/>
        </w:rPr>
      </w:pPr>
    </w:p>
    <w:p w14:paraId="137664AE" w14:textId="77777777" w:rsidR="005A1A44" w:rsidRDefault="0008059E">
      <w:pPr>
        <w:ind w:firstLine="480"/>
      </w:pPr>
      <w:r>
        <w:rPr>
          <w:rFonts w:hint="eastAsia"/>
        </w:rPr>
        <w:br w:type="page"/>
      </w:r>
    </w:p>
    <w:p w14:paraId="400131B1" w14:textId="77777777" w:rsidR="005A1A44" w:rsidRDefault="0008059E">
      <w:pPr>
        <w:pStyle w:val="1"/>
        <w:numPr>
          <w:ilvl w:val="0"/>
          <w:numId w:val="2"/>
        </w:numPr>
      </w:pPr>
      <w:bookmarkStart w:id="301" w:name="_Toc16737_WPSOffice_Level1"/>
      <w:bookmarkStart w:id="302" w:name="_Toc13129_WPSOffice_Level1"/>
      <w:bookmarkStart w:id="303" w:name="_Toc3663_WPSOffice_Level1"/>
      <w:r>
        <w:rPr>
          <w:rFonts w:hint="eastAsia"/>
        </w:rPr>
        <w:lastRenderedPageBreak/>
        <w:t xml:space="preserve"> </w:t>
      </w:r>
      <w:bookmarkStart w:id="304" w:name="_Toc7084_WPSOffice_Level1"/>
      <w:r>
        <w:rPr>
          <w:rFonts w:hint="eastAsia"/>
        </w:rPr>
        <w:t>环境影响评价结论</w:t>
      </w:r>
      <w:bookmarkEnd w:id="301"/>
      <w:bookmarkEnd w:id="302"/>
      <w:bookmarkEnd w:id="303"/>
      <w:bookmarkEnd w:id="304"/>
    </w:p>
    <w:p w14:paraId="08DC1BE9" w14:textId="77777777" w:rsidR="005A1A44" w:rsidRDefault="0008059E">
      <w:pPr>
        <w:pStyle w:val="2"/>
        <w:numPr>
          <w:ilvl w:val="1"/>
          <w:numId w:val="2"/>
        </w:numPr>
      </w:pPr>
      <w:bookmarkStart w:id="305" w:name="_Toc2664_WPSOffice_Level2"/>
      <w:bookmarkStart w:id="306" w:name="_Toc23041_WPSOffice_Level2"/>
      <w:bookmarkStart w:id="307" w:name="_Toc465790288"/>
      <w:r>
        <w:rPr>
          <w:rFonts w:hint="eastAsia"/>
        </w:rPr>
        <w:t xml:space="preserve"> </w:t>
      </w:r>
      <w:bookmarkStart w:id="308" w:name="_Toc23341_WPSOffice_Level2"/>
      <w:r>
        <w:rPr>
          <w:rFonts w:hint="eastAsia"/>
        </w:rPr>
        <w:t>拟建项目工程概况</w:t>
      </w:r>
      <w:bookmarkEnd w:id="305"/>
      <w:bookmarkEnd w:id="306"/>
      <w:bookmarkEnd w:id="307"/>
      <w:bookmarkEnd w:id="308"/>
    </w:p>
    <w:p w14:paraId="7F276D7E" w14:textId="77777777" w:rsidR="005A1A44" w:rsidRDefault="0008059E">
      <w:pPr>
        <w:ind w:firstLine="480"/>
      </w:pPr>
      <w:r>
        <w:rPr>
          <w:rFonts w:hint="eastAsia"/>
        </w:rPr>
        <w:t>玉龙喀什河河道治理及两岸生态修复项目</w:t>
      </w:r>
      <w:r>
        <w:t>由</w:t>
      </w:r>
      <w:r>
        <w:rPr>
          <w:rFonts w:hint="eastAsia"/>
        </w:rPr>
        <w:t>新疆健坤生态文旅有限公司</w:t>
      </w:r>
      <w:r>
        <w:t>投资建设，项目于</w:t>
      </w:r>
      <w:r>
        <w:rPr>
          <w:rFonts w:hint="eastAsia"/>
        </w:rPr>
        <w:t>2019</w:t>
      </w:r>
      <w:r>
        <w:rPr>
          <w:rFonts w:hint="eastAsia"/>
        </w:rPr>
        <w:t>年</w:t>
      </w:r>
      <w:r>
        <w:rPr>
          <w:rFonts w:hint="eastAsia"/>
        </w:rPr>
        <w:t>1</w:t>
      </w:r>
      <w:r>
        <w:rPr>
          <w:rFonts w:hint="eastAsia"/>
        </w:rPr>
        <w:t>月</w:t>
      </w:r>
      <w:r>
        <w:rPr>
          <w:rFonts w:hint="eastAsia"/>
        </w:rPr>
        <w:t>23</w:t>
      </w:r>
      <w:r>
        <w:rPr>
          <w:rFonts w:hint="eastAsia"/>
        </w:rPr>
        <w:t>日在和田市发展和改革委员会备案（和田市发改备案</w:t>
      </w:r>
      <w:r>
        <w:rPr>
          <w:rFonts w:hint="eastAsia"/>
        </w:rPr>
        <w:t>[2019]1</w:t>
      </w:r>
      <w:r>
        <w:rPr>
          <w:rFonts w:hint="eastAsia"/>
        </w:rPr>
        <w:t>号），前期工作于</w:t>
      </w:r>
      <w:r>
        <w:rPr>
          <w:rFonts w:hint="eastAsia"/>
        </w:rPr>
        <w:t>2019</w:t>
      </w:r>
      <w:r>
        <w:rPr>
          <w:rFonts w:hint="eastAsia"/>
        </w:rPr>
        <w:t>年</w:t>
      </w:r>
      <w:r>
        <w:rPr>
          <w:rFonts w:hint="eastAsia"/>
        </w:rPr>
        <w:t>1</w:t>
      </w:r>
      <w:r>
        <w:rPr>
          <w:rFonts w:hint="eastAsia"/>
        </w:rPr>
        <w:t>月</w:t>
      </w:r>
      <w:r>
        <w:rPr>
          <w:rFonts w:hint="eastAsia"/>
        </w:rPr>
        <w:t>24</w:t>
      </w:r>
      <w:r>
        <w:rPr>
          <w:rFonts w:hint="eastAsia"/>
        </w:rPr>
        <w:t>日获得批复（和发改产业</w:t>
      </w:r>
      <w:r>
        <w:rPr>
          <w:rFonts w:hint="eastAsia"/>
        </w:rPr>
        <w:t>[2019]4</w:t>
      </w:r>
      <w:r>
        <w:rPr>
          <w:rFonts w:hint="eastAsia"/>
        </w:rPr>
        <w:t>号），项目于</w:t>
      </w:r>
      <w:r>
        <w:t>201</w:t>
      </w:r>
      <w:r>
        <w:rPr>
          <w:rFonts w:hint="eastAsia"/>
        </w:rPr>
        <w:t>9</w:t>
      </w:r>
      <w:r>
        <w:rPr>
          <w:rFonts w:hint="eastAsia"/>
        </w:rPr>
        <w:t>已获得和田市发展和改革委员会的立项批复（和市发改</w:t>
      </w:r>
      <w:r>
        <w:rPr>
          <w:rFonts w:hint="eastAsia"/>
        </w:rPr>
        <w:t>[2019]8</w:t>
      </w:r>
      <w:r>
        <w:rPr>
          <w:rFonts w:hint="eastAsia"/>
        </w:rPr>
        <w:t>号）。</w:t>
      </w:r>
    </w:p>
    <w:p w14:paraId="26A06F4A" w14:textId="77777777" w:rsidR="005A1A44" w:rsidRDefault="0008059E">
      <w:pPr>
        <w:ind w:firstLine="480"/>
      </w:pPr>
      <w:r>
        <w:rPr>
          <w:rFonts w:hint="eastAsia"/>
        </w:rPr>
        <w:t>项</w:t>
      </w:r>
      <w:r>
        <w:t>目主要建设内容为：</w:t>
      </w:r>
      <w:r>
        <w:rPr>
          <w:rFonts w:hint="eastAsia"/>
        </w:rPr>
        <w:t>本工程玉龙喀什河河道治理及两岸生态修复长度</w:t>
      </w:r>
      <w:r>
        <w:rPr>
          <w:rFonts w:hint="eastAsia"/>
        </w:rPr>
        <w:t>27.125km</w:t>
      </w:r>
      <w:r>
        <w:rPr>
          <w:rFonts w:hint="eastAsia"/>
        </w:rPr>
        <w:t>，主要建设内容包括河道治理工程、两岸生态修复、堤顶路及景观配套工程等。</w:t>
      </w:r>
      <w:r>
        <w:t>总投资</w:t>
      </w:r>
      <w:r>
        <w:rPr>
          <w:rFonts w:hint="eastAsia"/>
        </w:rPr>
        <w:t>300000.00</w:t>
      </w:r>
      <w:r>
        <w:rPr>
          <w:rFonts w:hint="eastAsia"/>
        </w:rPr>
        <w:t>万元。</w:t>
      </w:r>
    </w:p>
    <w:p w14:paraId="73DA2EBD" w14:textId="77777777" w:rsidR="005A1A44" w:rsidRDefault="0008059E">
      <w:pPr>
        <w:pStyle w:val="2"/>
        <w:numPr>
          <w:ilvl w:val="1"/>
          <w:numId w:val="2"/>
        </w:numPr>
      </w:pPr>
      <w:bookmarkStart w:id="309" w:name="_Toc28882_WPSOffice_Level2"/>
      <w:bookmarkStart w:id="310" w:name="_Toc30820_WPSOffice_Level2"/>
      <w:bookmarkStart w:id="311" w:name="_Toc465790289"/>
      <w:r>
        <w:rPr>
          <w:rFonts w:hint="eastAsia"/>
        </w:rPr>
        <w:t xml:space="preserve"> </w:t>
      </w:r>
      <w:bookmarkStart w:id="312" w:name="_Toc827_WPSOffice_Level2"/>
      <w:r>
        <w:rPr>
          <w:rFonts w:hint="eastAsia"/>
        </w:rPr>
        <w:t>项目建设与产业政策、城市规划相符性</w:t>
      </w:r>
      <w:bookmarkEnd w:id="309"/>
      <w:bookmarkEnd w:id="310"/>
      <w:bookmarkEnd w:id="311"/>
      <w:bookmarkEnd w:id="312"/>
    </w:p>
    <w:p w14:paraId="14400618" w14:textId="77777777" w:rsidR="005A1A44" w:rsidRDefault="0008059E">
      <w:pPr>
        <w:ind w:firstLine="480"/>
      </w:pPr>
      <w:r>
        <w:rPr>
          <w:rFonts w:hint="eastAsia"/>
        </w:rPr>
        <w:t>该项目建设符合国家《产业结构调整指导目录（</w:t>
      </w:r>
      <w:r>
        <w:rPr>
          <w:rFonts w:hint="eastAsia"/>
        </w:rPr>
        <w:t>2013</w:t>
      </w:r>
      <w:r>
        <w:rPr>
          <w:rFonts w:hint="eastAsia"/>
        </w:rPr>
        <w:t>年本）》中鼓励类第二款“水利”第</w:t>
      </w:r>
      <w:r>
        <w:rPr>
          <w:rFonts w:hint="eastAsia"/>
        </w:rPr>
        <w:t>1</w:t>
      </w:r>
      <w:r>
        <w:rPr>
          <w:rFonts w:hint="eastAsia"/>
        </w:rPr>
        <w:t>条“江河堤防建设及河道、水库治理工程”和第</w:t>
      </w:r>
      <w:r>
        <w:rPr>
          <w:rFonts w:hint="eastAsia"/>
        </w:rPr>
        <w:t>7</w:t>
      </w:r>
      <w:r>
        <w:rPr>
          <w:rFonts w:hint="eastAsia"/>
        </w:rPr>
        <w:t>条“江河湖库清淤疏浚工程”中的相关规定。项目的建设是国家重点鼓励发展的项目，符合国家相关的产业政策。</w:t>
      </w:r>
      <w:r>
        <w:t>拟建项目与</w:t>
      </w:r>
      <w:r>
        <w:rPr>
          <w:rFonts w:hint="eastAsia"/>
        </w:rPr>
        <w:t>《关于加快水利改革发展的决定》、《新疆维吾尔自治区国民经济和社会发展第十三个五年规划纲要》、《和田市城市总体规划》</w:t>
      </w:r>
      <w:r>
        <w:t>相符，满足</w:t>
      </w:r>
      <w:r>
        <w:rPr>
          <w:rFonts w:hint="eastAsia"/>
        </w:rPr>
        <w:t>相关</w:t>
      </w:r>
      <w:r>
        <w:t>规划的要求。因此，拟建项目符合国家</w:t>
      </w:r>
      <w:r>
        <w:rPr>
          <w:rFonts w:hint="eastAsia"/>
        </w:rPr>
        <w:t>、地方</w:t>
      </w:r>
      <w:r>
        <w:t>产业政策及城市总体规划。</w:t>
      </w:r>
    </w:p>
    <w:p w14:paraId="77367CE4" w14:textId="77777777" w:rsidR="005A1A44" w:rsidRDefault="0008059E">
      <w:pPr>
        <w:pStyle w:val="2"/>
        <w:numPr>
          <w:ilvl w:val="1"/>
          <w:numId w:val="2"/>
        </w:numPr>
      </w:pPr>
      <w:bookmarkStart w:id="313" w:name="_Toc465790290"/>
      <w:bookmarkStart w:id="314" w:name="_Toc12095_WPSOffice_Level2"/>
      <w:bookmarkStart w:id="315" w:name="_Toc18978_WPSOffice_Level2"/>
      <w:r>
        <w:rPr>
          <w:rFonts w:hint="eastAsia"/>
        </w:rPr>
        <w:t xml:space="preserve"> </w:t>
      </w:r>
      <w:bookmarkStart w:id="316" w:name="_Toc26256_WPSOffice_Level2"/>
      <w:r>
        <w:rPr>
          <w:rFonts w:hint="eastAsia"/>
        </w:rPr>
        <w:t>环境质量现状</w:t>
      </w:r>
      <w:bookmarkEnd w:id="313"/>
      <w:bookmarkEnd w:id="314"/>
      <w:bookmarkEnd w:id="315"/>
      <w:bookmarkEnd w:id="316"/>
    </w:p>
    <w:p w14:paraId="00621D2F" w14:textId="77777777" w:rsidR="005A1A44" w:rsidRDefault="0008059E">
      <w:pPr>
        <w:ind w:firstLine="480"/>
      </w:pPr>
      <w:r>
        <w:t>（</w:t>
      </w:r>
      <w:r>
        <w:t>1</w:t>
      </w:r>
      <w:r>
        <w:t>）大气环境现状调查表明，工程区域内各测点</w:t>
      </w:r>
      <w:r>
        <w:t>SO</w:t>
      </w:r>
      <w:r>
        <w:rPr>
          <w:rFonts w:hint="eastAsia"/>
          <w:vertAlign w:val="subscript"/>
        </w:rPr>
        <w:t>2</w:t>
      </w:r>
      <w:r>
        <w:t>、</w:t>
      </w:r>
      <w:r>
        <w:t>NO</w:t>
      </w:r>
      <w:r>
        <w:rPr>
          <w:vertAlign w:val="subscript"/>
        </w:rPr>
        <w:t>2</w:t>
      </w:r>
      <w:r>
        <w:t xml:space="preserve"> </w:t>
      </w:r>
      <w:r>
        <w:rPr>
          <w:rFonts w:hint="eastAsia"/>
        </w:rPr>
        <w:t>、</w:t>
      </w:r>
      <w:r>
        <w:rPr>
          <w:rFonts w:hint="eastAsia"/>
        </w:rPr>
        <w:t>CO</w:t>
      </w:r>
      <w:r>
        <w:rPr>
          <w:rFonts w:hint="eastAsia"/>
        </w:rPr>
        <w:t>、</w:t>
      </w:r>
      <w:r>
        <w:rPr>
          <w:rFonts w:hint="eastAsia"/>
        </w:rPr>
        <w:t>O</w:t>
      </w:r>
      <w:r>
        <w:rPr>
          <w:rFonts w:hint="eastAsia"/>
          <w:vertAlign w:val="subscript"/>
        </w:rPr>
        <w:t>3</w:t>
      </w:r>
      <w:r>
        <w:t>达到《环境空气质量标准》（</w:t>
      </w:r>
      <w:r>
        <w:t>GB3095-2012</w:t>
      </w:r>
      <w:r>
        <w:t>）中二级标准</w:t>
      </w:r>
      <w:r>
        <w:rPr>
          <w:rFonts w:hint="eastAsia"/>
        </w:rPr>
        <w:t>，</w:t>
      </w:r>
      <w:r>
        <w:t>PM</w:t>
      </w:r>
      <w:r>
        <w:rPr>
          <w:vertAlign w:val="subscript"/>
        </w:rPr>
        <w:t>10</w:t>
      </w:r>
      <w:r>
        <w:t>及</w:t>
      </w:r>
      <w:r>
        <w:rPr>
          <w:rFonts w:hint="eastAsia"/>
        </w:rPr>
        <w:t>PM</w:t>
      </w:r>
      <w:r>
        <w:rPr>
          <w:rFonts w:hint="eastAsia"/>
          <w:vertAlign w:val="subscript"/>
        </w:rPr>
        <w:t>2.5</w:t>
      </w:r>
      <w:r>
        <w:rPr>
          <w:rFonts w:hint="eastAsia"/>
        </w:rPr>
        <w:t>超标</w:t>
      </w:r>
      <w:r>
        <w:t>。</w:t>
      </w:r>
    </w:p>
    <w:p w14:paraId="4F064C58" w14:textId="77777777" w:rsidR="005A1A44" w:rsidRDefault="0008059E">
      <w:pPr>
        <w:ind w:firstLine="480"/>
      </w:pPr>
      <w:r>
        <w:t>（</w:t>
      </w:r>
      <w:r>
        <w:t>2</w:t>
      </w:r>
      <w:r>
        <w:t>）地表水现状调查结果表明，</w:t>
      </w:r>
      <w:r>
        <w:rPr>
          <w:rFonts w:hint="eastAsia"/>
        </w:rPr>
        <w:t>玉龙喀什河水质满足《地表水环境质量标准》</w:t>
      </w:r>
      <w:r>
        <w:rPr>
          <w:rFonts w:hint="eastAsia"/>
        </w:rPr>
        <w:lastRenderedPageBreak/>
        <w:t>（</w:t>
      </w:r>
      <w:r>
        <w:rPr>
          <w:rFonts w:hint="eastAsia"/>
        </w:rPr>
        <w:t>GB3838-2002</w:t>
      </w:r>
      <w:r>
        <w:rPr>
          <w:rFonts w:hint="eastAsia"/>
        </w:rPr>
        <w:t>）中的Ⅱ类标准</w:t>
      </w:r>
    </w:p>
    <w:p w14:paraId="3FABB59F" w14:textId="77777777" w:rsidR="005A1A44" w:rsidRDefault="0008059E">
      <w:pPr>
        <w:ind w:firstLine="480"/>
      </w:pPr>
      <w:r>
        <w:t>（</w:t>
      </w:r>
      <w:r>
        <w:rPr>
          <w:rFonts w:hint="eastAsia"/>
        </w:rPr>
        <w:t>3</w:t>
      </w:r>
      <w:r>
        <w:t>）地</w:t>
      </w:r>
      <w:r>
        <w:rPr>
          <w:rFonts w:hint="eastAsia"/>
        </w:rPr>
        <w:t>下</w:t>
      </w:r>
      <w:r>
        <w:t>水现状调查结果表明，</w:t>
      </w:r>
      <w:r>
        <w:rPr>
          <w:rFonts w:hint="eastAsia"/>
        </w:rPr>
        <w:t>项目区地下水满足《地下质量标准》（</w:t>
      </w:r>
      <w:r>
        <w:rPr>
          <w:rFonts w:hint="eastAsia"/>
        </w:rPr>
        <w:t>GB/T 14848-2017</w:t>
      </w:r>
      <w:r>
        <w:rPr>
          <w:rFonts w:hint="eastAsia"/>
        </w:rPr>
        <w:t>）中的Ⅲ类标准</w:t>
      </w:r>
      <w:r>
        <w:t>。</w:t>
      </w:r>
    </w:p>
    <w:p w14:paraId="39635AF8" w14:textId="77777777" w:rsidR="005A1A44" w:rsidRDefault="0008059E">
      <w:pPr>
        <w:ind w:firstLine="480"/>
      </w:pPr>
      <w:r>
        <w:t>（</w:t>
      </w:r>
      <w:r>
        <w:rPr>
          <w:rFonts w:hint="eastAsia"/>
        </w:rPr>
        <w:t>4</w:t>
      </w:r>
      <w:r>
        <w:t>）工程区域内各测点昼间噪声满足《声环境质量标准》（</w:t>
      </w:r>
      <w:r>
        <w:t>GB3096-2008</w:t>
      </w:r>
      <w:r>
        <w:t>）</w:t>
      </w:r>
      <w:r>
        <w:t>2</w:t>
      </w:r>
      <w:r>
        <w:t>类</w:t>
      </w:r>
      <w:r>
        <w:rPr>
          <w:rFonts w:hint="eastAsia"/>
        </w:rPr>
        <w:t>、</w:t>
      </w:r>
      <w:r>
        <w:rPr>
          <w:rFonts w:hint="eastAsia"/>
        </w:rPr>
        <w:t>4a</w:t>
      </w:r>
      <w:r>
        <w:t>标准。</w:t>
      </w:r>
    </w:p>
    <w:p w14:paraId="33A5BD80" w14:textId="77777777" w:rsidR="005A1A44" w:rsidRDefault="0008059E">
      <w:pPr>
        <w:ind w:firstLine="480"/>
      </w:pPr>
      <w:r>
        <w:t>（</w:t>
      </w:r>
      <w:r>
        <w:rPr>
          <w:rFonts w:hint="eastAsia"/>
        </w:rPr>
        <w:t>5</w:t>
      </w:r>
      <w:r>
        <w:t>）</w:t>
      </w:r>
      <w:r>
        <w:rPr>
          <w:rFonts w:hint="eastAsia"/>
        </w:rPr>
        <w:t>河道底质未受到污染，质量较好</w:t>
      </w:r>
      <w:r>
        <w:t>。</w:t>
      </w:r>
    </w:p>
    <w:p w14:paraId="7863B66E" w14:textId="77777777" w:rsidR="005A1A44" w:rsidRDefault="0008059E">
      <w:pPr>
        <w:pStyle w:val="2"/>
        <w:numPr>
          <w:ilvl w:val="1"/>
          <w:numId w:val="2"/>
        </w:numPr>
      </w:pPr>
      <w:bookmarkStart w:id="317" w:name="_Toc465790291"/>
      <w:bookmarkStart w:id="318" w:name="_Toc6761_WPSOffice_Level2"/>
      <w:bookmarkStart w:id="319" w:name="_Toc32232_WPSOffice_Level2"/>
      <w:r>
        <w:rPr>
          <w:rFonts w:hint="eastAsia"/>
        </w:rPr>
        <w:t xml:space="preserve"> </w:t>
      </w:r>
      <w:bookmarkStart w:id="320" w:name="_Toc22088_WPSOffice_Level2"/>
      <w:r>
        <w:rPr>
          <w:rFonts w:hint="eastAsia"/>
        </w:rPr>
        <w:t>环境影响评价及拟采取的主要环保措施</w:t>
      </w:r>
      <w:bookmarkEnd w:id="317"/>
      <w:bookmarkEnd w:id="318"/>
      <w:bookmarkEnd w:id="319"/>
      <w:bookmarkEnd w:id="320"/>
    </w:p>
    <w:p w14:paraId="245A9F7C" w14:textId="77777777" w:rsidR="005A1A44" w:rsidRDefault="0008059E">
      <w:pPr>
        <w:ind w:firstLine="480"/>
      </w:pPr>
      <w:r>
        <w:rPr>
          <w:rFonts w:hint="eastAsia"/>
        </w:rPr>
        <w:t>（</w:t>
      </w:r>
      <w:r>
        <w:rPr>
          <w:rFonts w:hint="eastAsia"/>
        </w:rPr>
        <w:t>1</w:t>
      </w:r>
      <w:r>
        <w:rPr>
          <w:rFonts w:hint="eastAsia"/>
        </w:rPr>
        <w:t>）</w:t>
      </w:r>
      <w:r>
        <w:t>水环境影响评价及采取污染防治措施</w:t>
      </w:r>
    </w:p>
    <w:p w14:paraId="43A525E6" w14:textId="77777777" w:rsidR="005A1A44" w:rsidRDefault="0008059E">
      <w:pPr>
        <w:ind w:firstLine="480"/>
      </w:pPr>
      <w:r>
        <w:rPr>
          <w:rFonts w:hint="eastAsia"/>
        </w:rPr>
        <w:t>生活污水：尽量少设置临时生产生活区，且尽可能设置在已具备完善的排水管网的区域，该区域生活废水直接集中收集至城镇生活污水集中收集管网进行处理。</w:t>
      </w:r>
    </w:p>
    <w:p w14:paraId="31ABB7D4" w14:textId="77777777" w:rsidR="005A1A44" w:rsidRDefault="0008059E">
      <w:pPr>
        <w:ind w:firstLine="480"/>
      </w:pPr>
      <w:r>
        <w:rPr>
          <w:rFonts w:hint="eastAsia"/>
        </w:rPr>
        <w:t>在确实无法连接市政管网的情况下，在临时生产生活区设置环保厕所，定时进行收集处置；并在区域内设置絮凝沉淀池，将生活污水进行处理后后用于施工道路防尘洒水，不外排。</w:t>
      </w:r>
    </w:p>
    <w:p w14:paraId="23B8209A" w14:textId="77777777" w:rsidR="005A1A44" w:rsidRDefault="0008059E">
      <w:pPr>
        <w:ind w:firstLine="480"/>
      </w:pPr>
      <w:r>
        <w:t>施工机械含油废水：</w:t>
      </w:r>
      <w:bookmarkStart w:id="321" w:name="_Toc209767883"/>
      <w:r>
        <w:t>施工单位应加强对施工机械与车辆的维护与管理，防治漏油事故发生。机械或车辆的冲洗应定点，并修建临时隔油沉淀池对冲洗废水进行处理。</w:t>
      </w:r>
      <w:bookmarkEnd w:id="321"/>
    </w:p>
    <w:p w14:paraId="69C76C97" w14:textId="77777777" w:rsidR="005A1A44" w:rsidRDefault="0008059E">
      <w:pPr>
        <w:ind w:firstLine="480"/>
      </w:pPr>
      <w:r>
        <w:rPr>
          <w:rFonts w:hint="eastAsia"/>
        </w:rPr>
        <w:t>其它施工废水</w:t>
      </w:r>
      <w:r>
        <w:t>：在施工现场设置临时隔油废水沉淀池，收集施工中产生的各类冲洗废水、淋溶废水等，将冲洗废水沉淀处理后</w:t>
      </w:r>
      <w:r>
        <w:rPr>
          <w:rFonts w:hint="eastAsia"/>
        </w:rPr>
        <w:t>，达到《污水综合排放标准》的二级标准要求后，回用于施工拌合用水、降尘用水和绿化用水，禁止排河</w:t>
      </w:r>
      <w:r>
        <w:t>。上述措施的实施可有效地避免或减轻</w:t>
      </w:r>
      <w:r>
        <w:t>SS</w:t>
      </w:r>
      <w:r>
        <w:t>对地表水体的污染。</w:t>
      </w:r>
    </w:p>
    <w:p w14:paraId="229DC2FC" w14:textId="77777777" w:rsidR="005A1A44" w:rsidRDefault="0008059E">
      <w:pPr>
        <w:ind w:firstLine="480"/>
      </w:pPr>
      <w:r>
        <w:rPr>
          <w:rFonts w:hint="eastAsia"/>
        </w:rPr>
        <w:t>（</w:t>
      </w:r>
      <w:r>
        <w:rPr>
          <w:rFonts w:hint="eastAsia"/>
        </w:rPr>
        <w:t>2</w:t>
      </w:r>
      <w:r>
        <w:rPr>
          <w:rFonts w:hint="eastAsia"/>
        </w:rPr>
        <w:t>）</w:t>
      </w:r>
      <w:r>
        <w:t>大气环境影响评价及采取污染防治措施</w:t>
      </w:r>
    </w:p>
    <w:p w14:paraId="194E0721" w14:textId="77777777" w:rsidR="005A1A44" w:rsidRDefault="0008059E">
      <w:pPr>
        <w:ind w:firstLine="480"/>
      </w:pPr>
      <w:r>
        <w:t>施工扬尘严格按照</w:t>
      </w:r>
      <w:r>
        <w:rPr>
          <w:rFonts w:hint="eastAsia"/>
        </w:rPr>
        <w:t>《和田地区</w:t>
      </w:r>
      <w:r>
        <w:t>大气污染防治行动计划实施方案》及《防治城市扬尘污染技术规范》（</w:t>
      </w:r>
      <w:r>
        <w:t>HJ/T393-2007</w:t>
      </w:r>
      <w:r>
        <w:t>）的要求进行施工期的大气污染防护。</w:t>
      </w:r>
    </w:p>
    <w:p w14:paraId="61743EB3" w14:textId="77777777" w:rsidR="005A1A44" w:rsidRDefault="0008059E">
      <w:pPr>
        <w:ind w:firstLine="480"/>
      </w:pPr>
      <w:r>
        <w:rPr>
          <w:rFonts w:hint="eastAsia"/>
        </w:rPr>
        <w:t>对施工期大气环境保护措施主要包括：</w:t>
      </w:r>
    </w:p>
    <w:p w14:paraId="43963E55" w14:textId="77777777" w:rsidR="005A1A44" w:rsidRDefault="0008059E">
      <w:pPr>
        <w:ind w:firstLine="480"/>
        <w:rPr>
          <w:rFonts w:ascii="宋体" w:eastAsia="宋体" w:hAnsi="宋体" w:cs="宋体" w:hint="eastAsia"/>
          <w:kern w:val="0"/>
        </w:rPr>
      </w:pPr>
      <w:r>
        <w:t>对施工现</w:t>
      </w:r>
      <w:r>
        <w:rPr>
          <w:rFonts w:ascii="宋体" w:eastAsia="宋体" w:hAnsi="宋体" w:cs="宋体"/>
          <w:kern w:val="0"/>
        </w:rPr>
        <w:t>场进行科学管理</w:t>
      </w:r>
      <w:r>
        <w:rPr>
          <w:rFonts w:ascii="宋体" w:eastAsia="宋体" w:hAnsi="宋体" w:cs="宋体" w:hint="eastAsia"/>
          <w:kern w:val="0"/>
        </w:rPr>
        <w:t>，</w:t>
      </w:r>
      <w:r>
        <w:rPr>
          <w:rFonts w:ascii="宋体" w:eastAsia="宋体" w:hAnsi="宋体" w:cs="宋体"/>
          <w:kern w:val="0"/>
        </w:rPr>
        <w:t>砂石料应统一堆放</w:t>
      </w:r>
      <w:r>
        <w:rPr>
          <w:rFonts w:ascii="宋体" w:eastAsia="宋体" w:hAnsi="宋体" w:cs="宋体" w:hint="eastAsia"/>
          <w:kern w:val="0"/>
        </w:rPr>
        <w:t>，</w:t>
      </w:r>
      <w:r>
        <w:rPr>
          <w:rFonts w:ascii="宋体" w:eastAsia="宋体" w:hAnsi="宋体" w:cs="宋体"/>
          <w:kern w:val="0"/>
        </w:rPr>
        <w:t>水泥应设专门库房堆放</w:t>
      </w:r>
      <w:r>
        <w:rPr>
          <w:rFonts w:ascii="宋体" w:eastAsia="宋体" w:hAnsi="宋体" w:cs="宋体" w:hint="eastAsia"/>
          <w:kern w:val="0"/>
        </w:rPr>
        <w:t>，</w:t>
      </w:r>
      <w:r>
        <w:rPr>
          <w:rFonts w:ascii="宋体" w:eastAsia="宋体" w:hAnsi="宋体" w:cs="宋体"/>
          <w:kern w:val="0"/>
        </w:rPr>
        <w:t>尽量减少搬运环节</w:t>
      </w:r>
      <w:r>
        <w:rPr>
          <w:rFonts w:ascii="宋体" w:eastAsia="宋体" w:hAnsi="宋体" w:cs="宋体" w:hint="eastAsia"/>
          <w:kern w:val="0"/>
        </w:rPr>
        <w:t>，</w:t>
      </w:r>
      <w:r>
        <w:rPr>
          <w:rFonts w:ascii="宋体" w:eastAsia="宋体" w:hAnsi="宋体" w:cs="宋体"/>
          <w:kern w:val="0"/>
        </w:rPr>
        <w:t>并设集中混凝土搅拌站</w:t>
      </w:r>
      <w:r>
        <w:rPr>
          <w:rFonts w:ascii="宋体" w:eastAsia="宋体" w:hAnsi="宋体" w:cs="宋体" w:hint="eastAsia"/>
          <w:kern w:val="0"/>
        </w:rPr>
        <w:t>。</w:t>
      </w:r>
    </w:p>
    <w:p w14:paraId="75E20C88" w14:textId="77777777" w:rsidR="005A1A44" w:rsidRDefault="0008059E">
      <w:pPr>
        <w:ind w:firstLine="480"/>
        <w:rPr>
          <w:rFonts w:ascii="宋体" w:eastAsia="宋体" w:hAnsi="宋体" w:cs="宋体" w:hint="eastAsia"/>
          <w:kern w:val="0"/>
        </w:rPr>
      </w:pPr>
      <w:r>
        <w:rPr>
          <w:rFonts w:ascii="宋体" w:eastAsia="宋体" w:hAnsi="宋体" w:cs="宋体"/>
          <w:kern w:val="0"/>
        </w:rPr>
        <w:lastRenderedPageBreak/>
        <w:t>地面开挖时</w:t>
      </w:r>
      <w:r>
        <w:rPr>
          <w:rFonts w:ascii="宋体" w:eastAsia="宋体" w:hAnsi="宋体" w:cs="宋体" w:hint="eastAsia"/>
          <w:kern w:val="0"/>
        </w:rPr>
        <w:t>，</w:t>
      </w:r>
      <w:r>
        <w:rPr>
          <w:rFonts w:ascii="宋体" w:eastAsia="宋体" w:hAnsi="宋体" w:cs="宋体"/>
          <w:kern w:val="0"/>
        </w:rPr>
        <w:t>对作业面适当喷水</w:t>
      </w:r>
      <w:r>
        <w:rPr>
          <w:rFonts w:ascii="宋体" w:eastAsia="宋体" w:hAnsi="宋体" w:cs="宋体" w:hint="eastAsia"/>
          <w:kern w:val="0"/>
        </w:rPr>
        <w:t>，</w:t>
      </w:r>
      <w:r>
        <w:rPr>
          <w:rFonts w:ascii="宋体" w:eastAsia="宋体" w:hAnsi="宋体" w:cs="宋体"/>
          <w:kern w:val="0"/>
        </w:rPr>
        <w:t>使其保持一定湿度</w:t>
      </w:r>
      <w:r>
        <w:rPr>
          <w:rFonts w:ascii="宋体" w:eastAsia="宋体" w:hAnsi="宋体" w:cs="宋体" w:hint="eastAsia"/>
          <w:kern w:val="0"/>
        </w:rPr>
        <w:t>，</w:t>
      </w:r>
      <w:r>
        <w:rPr>
          <w:rFonts w:ascii="宋体" w:eastAsia="宋体" w:hAnsi="宋体" w:cs="宋体"/>
          <w:kern w:val="0"/>
        </w:rPr>
        <w:t>以减少扬尘产生量</w:t>
      </w:r>
      <w:r>
        <w:rPr>
          <w:rFonts w:ascii="宋体" w:eastAsia="宋体" w:hAnsi="宋体" w:cs="宋体" w:hint="eastAsia"/>
          <w:kern w:val="0"/>
        </w:rPr>
        <w:t>；</w:t>
      </w:r>
      <w:r>
        <w:rPr>
          <w:rFonts w:ascii="宋体" w:eastAsia="宋体" w:hAnsi="宋体" w:cs="宋体"/>
          <w:kern w:val="0"/>
        </w:rPr>
        <w:t>建筑材料和建筑垃圾应及时清运</w:t>
      </w:r>
      <w:r>
        <w:rPr>
          <w:rFonts w:ascii="宋体" w:eastAsia="宋体" w:hAnsi="宋体" w:cs="宋体" w:hint="eastAsia"/>
          <w:kern w:val="0"/>
        </w:rPr>
        <w:t>；</w:t>
      </w:r>
      <w:r>
        <w:rPr>
          <w:rFonts w:ascii="宋体" w:eastAsia="宋体" w:hAnsi="宋体" w:cs="宋体"/>
          <w:kern w:val="0"/>
        </w:rPr>
        <w:t>施工现场要设围挡</w:t>
      </w:r>
      <w:r>
        <w:rPr>
          <w:rFonts w:ascii="宋体" w:eastAsia="宋体" w:hAnsi="宋体" w:cs="宋体" w:hint="eastAsia"/>
          <w:kern w:val="0"/>
        </w:rPr>
        <w:t>，</w:t>
      </w:r>
      <w:r>
        <w:rPr>
          <w:rFonts w:ascii="宋体" w:eastAsia="宋体" w:hAnsi="宋体" w:cs="宋体"/>
          <w:kern w:val="0"/>
        </w:rPr>
        <w:t>减少施工扬尘扩散范围</w:t>
      </w:r>
      <w:r>
        <w:rPr>
          <w:rFonts w:ascii="宋体" w:eastAsia="宋体" w:hAnsi="宋体" w:cs="宋体" w:hint="eastAsia"/>
          <w:kern w:val="0"/>
        </w:rPr>
        <w:t>，</w:t>
      </w:r>
      <w:r>
        <w:rPr>
          <w:rFonts w:ascii="宋体" w:eastAsia="宋体" w:hAnsi="宋体" w:cs="宋体"/>
          <w:kern w:val="0"/>
        </w:rPr>
        <w:t>避免大风天气施工</w:t>
      </w:r>
      <w:r>
        <w:rPr>
          <w:rFonts w:ascii="宋体" w:eastAsia="宋体" w:hAnsi="宋体" w:cs="宋体" w:hint="eastAsia"/>
          <w:kern w:val="0"/>
        </w:rPr>
        <w:t>，</w:t>
      </w:r>
      <w:r>
        <w:rPr>
          <w:rFonts w:ascii="宋体" w:eastAsia="宋体" w:hAnsi="宋体" w:cs="宋体"/>
          <w:kern w:val="0"/>
        </w:rPr>
        <w:t>施工过程中风速过大时应停止施工作业</w:t>
      </w:r>
      <w:r>
        <w:rPr>
          <w:rFonts w:ascii="宋体" w:eastAsia="宋体" w:hAnsi="宋体" w:cs="宋体" w:hint="eastAsia"/>
          <w:kern w:val="0"/>
        </w:rPr>
        <w:t>，</w:t>
      </w:r>
      <w:r>
        <w:rPr>
          <w:rFonts w:ascii="宋体" w:eastAsia="宋体" w:hAnsi="宋体" w:cs="宋体"/>
          <w:kern w:val="0"/>
        </w:rPr>
        <w:t>并对堆放的砂石等建筑材料进行遮盖处理</w:t>
      </w:r>
      <w:r>
        <w:rPr>
          <w:rFonts w:ascii="宋体" w:eastAsia="宋体" w:hAnsi="宋体" w:cs="宋体" w:hint="eastAsia"/>
          <w:kern w:val="0"/>
        </w:rPr>
        <w:t>。</w:t>
      </w:r>
    </w:p>
    <w:p w14:paraId="7C07AC72" w14:textId="77777777" w:rsidR="005A1A44" w:rsidRDefault="0008059E">
      <w:pPr>
        <w:ind w:firstLine="480"/>
        <w:rPr>
          <w:rFonts w:ascii="宋体" w:eastAsia="宋体" w:hAnsi="宋体" w:cs="宋体" w:hint="eastAsia"/>
          <w:kern w:val="0"/>
        </w:rPr>
      </w:pPr>
      <w:r>
        <w:rPr>
          <w:rFonts w:ascii="宋体" w:eastAsia="宋体" w:hAnsi="宋体" w:cs="宋体"/>
          <w:kern w:val="0"/>
        </w:rPr>
        <w:t>物料装卸过程应在相对封闭的空间进行作业</w:t>
      </w:r>
      <w:r>
        <w:rPr>
          <w:rFonts w:ascii="宋体" w:eastAsia="宋体" w:hAnsi="宋体" w:cs="宋体" w:hint="eastAsia"/>
          <w:kern w:val="0"/>
        </w:rPr>
        <w:t>，</w:t>
      </w:r>
      <w:r>
        <w:rPr>
          <w:rFonts w:ascii="宋体" w:eastAsia="宋体" w:hAnsi="宋体" w:cs="宋体"/>
          <w:kern w:val="0"/>
        </w:rPr>
        <w:t>防止扬尘外泄</w:t>
      </w:r>
      <w:r>
        <w:rPr>
          <w:rFonts w:ascii="宋体" w:eastAsia="宋体" w:hAnsi="宋体" w:cs="宋体" w:hint="eastAsia"/>
          <w:kern w:val="0"/>
        </w:rPr>
        <w:t>，</w:t>
      </w:r>
      <w:r>
        <w:rPr>
          <w:rFonts w:ascii="宋体" w:eastAsia="宋体" w:hAnsi="宋体" w:cs="宋体"/>
          <w:kern w:val="0"/>
        </w:rPr>
        <w:t>无法在封闭空间进行的作业须采取对物料喷洒水雾或抑尘剂等方式防治扬尘污染。</w:t>
      </w:r>
    </w:p>
    <w:p w14:paraId="4D6F991C" w14:textId="77777777" w:rsidR="005A1A44" w:rsidRDefault="0008059E">
      <w:pPr>
        <w:ind w:firstLine="480"/>
        <w:rPr>
          <w:rFonts w:ascii="宋体" w:eastAsia="宋体" w:hAnsi="宋体" w:cs="宋体" w:hint="eastAsia"/>
          <w:kern w:val="0"/>
        </w:rPr>
      </w:pPr>
      <w:r>
        <w:rPr>
          <w:rFonts w:ascii="宋体" w:eastAsia="宋体" w:hAnsi="宋体" w:cs="宋体"/>
          <w:kern w:val="0"/>
        </w:rPr>
        <w:t>装载多尘物料时</w:t>
      </w:r>
      <w:r>
        <w:rPr>
          <w:rFonts w:ascii="宋体" w:eastAsia="宋体" w:hAnsi="宋体" w:cs="宋体" w:hint="eastAsia"/>
          <w:kern w:val="0"/>
        </w:rPr>
        <w:t>，</w:t>
      </w:r>
      <w:r>
        <w:rPr>
          <w:rFonts w:ascii="宋体" w:eastAsia="宋体" w:hAnsi="宋体" w:cs="宋体"/>
          <w:kern w:val="0"/>
        </w:rPr>
        <w:t>应对物料适当加湿或用篷布遮盖</w:t>
      </w:r>
      <w:r>
        <w:rPr>
          <w:rFonts w:ascii="宋体" w:eastAsia="宋体" w:hAnsi="宋体" w:cs="宋体" w:hint="eastAsia"/>
          <w:kern w:val="0"/>
        </w:rPr>
        <w:t>，</w:t>
      </w:r>
      <w:r>
        <w:rPr>
          <w:rFonts w:ascii="宋体" w:eastAsia="宋体" w:hAnsi="宋体" w:cs="宋体"/>
          <w:kern w:val="0"/>
        </w:rPr>
        <w:t>减少其沿途遗洒</w:t>
      </w:r>
      <w:r>
        <w:rPr>
          <w:rFonts w:ascii="宋体" w:eastAsia="宋体" w:hAnsi="宋体" w:cs="宋体" w:hint="eastAsia"/>
          <w:kern w:val="0"/>
        </w:rPr>
        <w:t>，</w:t>
      </w:r>
      <w:r>
        <w:rPr>
          <w:rFonts w:ascii="宋体" w:eastAsia="宋体" w:hAnsi="宋体" w:cs="宋体"/>
          <w:kern w:val="0"/>
        </w:rPr>
        <w:t>及时清扫散落在路面的泥土和灰尘</w:t>
      </w:r>
      <w:r>
        <w:rPr>
          <w:rFonts w:ascii="宋体" w:eastAsia="宋体" w:hAnsi="宋体" w:cs="宋体" w:hint="eastAsia"/>
          <w:kern w:val="0"/>
        </w:rPr>
        <w:t>；</w:t>
      </w:r>
      <w:r>
        <w:rPr>
          <w:rFonts w:ascii="宋体" w:eastAsia="宋体" w:hAnsi="宋体" w:cs="宋体"/>
          <w:kern w:val="0"/>
        </w:rPr>
        <w:t>定时洒水压尘</w:t>
      </w:r>
      <w:r>
        <w:rPr>
          <w:rFonts w:ascii="宋体" w:eastAsia="宋体" w:hAnsi="宋体" w:cs="宋体" w:hint="eastAsia"/>
          <w:kern w:val="0"/>
        </w:rPr>
        <w:t>，</w:t>
      </w:r>
      <w:r>
        <w:rPr>
          <w:rFonts w:ascii="宋体" w:eastAsia="宋体" w:hAnsi="宋体" w:cs="宋体"/>
          <w:kern w:val="0"/>
        </w:rPr>
        <w:t>减少运输过程中的扬尘</w:t>
      </w:r>
      <w:r>
        <w:rPr>
          <w:rFonts w:ascii="宋体" w:eastAsia="宋体" w:hAnsi="宋体" w:cs="宋体" w:hint="eastAsia"/>
          <w:kern w:val="0"/>
        </w:rPr>
        <w:t>；</w:t>
      </w:r>
      <w:r>
        <w:rPr>
          <w:rFonts w:ascii="宋体" w:eastAsia="宋体" w:hAnsi="宋体" w:cs="宋体"/>
          <w:kern w:val="0"/>
        </w:rPr>
        <w:t>运送水泥等细颗粒材料的车辆应采用密封储罐车</w:t>
      </w:r>
      <w:r>
        <w:rPr>
          <w:rFonts w:ascii="宋体" w:eastAsia="宋体" w:hAnsi="宋体" w:cs="宋体" w:hint="eastAsia"/>
          <w:kern w:val="0"/>
        </w:rPr>
        <w:t>；</w:t>
      </w:r>
      <w:r>
        <w:rPr>
          <w:rFonts w:ascii="宋体" w:eastAsia="宋体" w:hAnsi="宋体" w:cs="宋体"/>
          <w:kern w:val="0"/>
        </w:rPr>
        <w:t>装卸、堆放中应防止物料流散并经常清洗运输车辆</w:t>
      </w:r>
      <w:r>
        <w:rPr>
          <w:rFonts w:ascii="宋体" w:eastAsia="宋体" w:hAnsi="宋体" w:cs="宋体" w:hint="eastAsia"/>
          <w:kern w:val="0"/>
        </w:rPr>
        <w:t>；</w:t>
      </w:r>
      <w:r>
        <w:rPr>
          <w:rFonts w:ascii="宋体" w:eastAsia="宋体" w:hAnsi="宋体" w:cs="宋体"/>
          <w:kern w:val="0"/>
        </w:rPr>
        <w:t>谨防运输车辆装载过满</w:t>
      </w:r>
      <w:r>
        <w:rPr>
          <w:rFonts w:ascii="宋体" w:eastAsia="宋体" w:hAnsi="宋体" w:cs="宋体" w:hint="eastAsia"/>
          <w:kern w:val="0"/>
        </w:rPr>
        <w:t>；</w:t>
      </w:r>
      <w:r>
        <w:rPr>
          <w:rFonts w:ascii="宋体" w:eastAsia="宋体" w:hAnsi="宋体" w:cs="宋体"/>
          <w:kern w:val="0"/>
        </w:rPr>
        <w:t>,并尽量采取遮盖、密闭措施。</w:t>
      </w:r>
    </w:p>
    <w:p w14:paraId="4D519F36" w14:textId="77777777" w:rsidR="005A1A44" w:rsidRDefault="0008059E">
      <w:pPr>
        <w:ind w:firstLine="480"/>
        <w:rPr>
          <w:rFonts w:ascii="宋体" w:eastAsia="宋体" w:hAnsi="宋体" w:cs="宋体" w:hint="eastAsia"/>
          <w:kern w:val="0"/>
        </w:rPr>
      </w:pPr>
      <w:r>
        <w:rPr>
          <w:rFonts w:ascii="宋体" w:eastAsia="宋体" w:hAnsi="宋体" w:cs="宋体"/>
          <w:kern w:val="0"/>
        </w:rPr>
        <w:t>在施工道路区</w:t>
      </w:r>
      <w:r>
        <w:rPr>
          <w:rFonts w:ascii="宋体" w:eastAsia="宋体" w:hAnsi="宋体" w:cs="宋体" w:hint="eastAsia"/>
          <w:kern w:val="0"/>
        </w:rPr>
        <w:t>每天</w:t>
      </w:r>
      <w:r>
        <w:rPr>
          <w:rFonts w:ascii="宋体" w:eastAsia="宋体" w:hAnsi="宋体" w:cs="宋体"/>
          <w:kern w:val="0"/>
        </w:rPr>
        <w:t>至少洒水</w:t>
      </w:r>
      <w:r>
        <w:rPr>
          <w:rFonts w:ascii="宋体" w:eastAsia="宋体" w:hAnsi="宋体" w:cs="宋体" w:hint="eastAsia"/>
          <w:kern w:val="0"/>
        </w:rPr>
        <w:t>5</w:t>
      </w:r>
      <w:r>
        <w:rPr>
          <w:rFonts w:ascii="宋体" w:eastAsia="宋体" w:hAnsi="宋体" w:cs="宋体"/>
          <w:kern w:val="0"/>
        </w:rPr>
        <w:t>次</w:t>
      </w:r>
      <w:r>
        <w:rPr>
          <w:rFonts w:ascii="宋体" w:eastAsia="宋体" w:hAnsi="宋体" w:cs="宋体" w:hint="eastAsia"/>
          <w:kern w:val="0"/>
        </w:rPr>
        <w:t>，</w:t>
      </w:r>
      <w:r>
        <w:rPr>
          <w:rFonts w:ascii="宋体" w:eastAsia="宋体" w:hAnsi="宋体" w:cs="宋体"/>
          <w:kern w:val="0"/>
        </w:rPr>
        <w:t>还应据天气情况酌情增洒</w:t>
      </w:r>
      <w:r>
        <w:rPr>
          <w:rFonts w:ascii="宋体" w:eastAsia="宋体" w:hAnsi="宋体" w:cs="宋体" w:hint="eastAsia"/>
          <w:kern w:val="0"/>
        </w:rPr>
        <w:t>加</w:t>
      </w:r>
      <w:r>
        <w:rPr>
          <w:rFonts w:ascii="宋体" w:eastAsia="宋体" w:hAnsi="宋体" w:cs="宋体"/>
          <w:kern w:val="0"/>
        </w:rPr>
        <w:t>水次数</w:t>
      </w:r>
      <w:r>
        <w:rPr>
          <w:rFonts w:ascii="宋体" w:eastAsia="宋体" w:hAnsi="宋体" w:cs="宋体" w:hint="eastAsia"/>
          <w:kern w:val="0"/>
        </w:rPr>
        <w:t>，如高温天气、风沙天地等。</w:t>
      </w:r>
    </w:p>
    <w:p w14:paraId="4F55C4DD" w14:textId="77777777" w:rsidR="005A1A44" w:rsidRDefault="0008059E">
      <w:pPr>
        <w:widowControl/>
        <w:spacing w:after="240"/>
        <w:ind w:firstLine="480"/>
        <w:jc w:val="left"/>
        <w:rPr>
          <w:rFonts w:ascii="宋体" w:eastAsia="宋体" w:hAnsi="宋体" w:cs="宋体" w:hint="eastAsia"/>
          <w:kern w:val="0"/>
        </w:rPr>
      </w:pPr>
      <w:r>
        <w:rPr>
          <w:rFonts w:ascii="宋体" w:eastAsia="宋体" w:hAnsi="宋体" w:cs="宋体"/>
          <w:kern w:val="0"/>
        </w:rPr>
        <w:t>在煮食及烹饪等产生热力及油烟的地方设置油烟罩及空气过滤器</w:t>
      </w:r>
      <w:r>
        <w:rPr>
          <w:rFonts w:ascii="宋体" w:eastAsia="宋体" w:hAnsi="宋体" w:cs="宋体" w:hint="eastAsia"/>
          <w:kern w:val="0"/>
        </w:rPr>
        <w:t>，</w:t>
      </w:r>
      <w:r>
        <w:rPr>
          <w:rFonts w:ascii="宋体" w:eastAsia="宋体" w:hAnsi="宋体" w:cs="宋体"/>
          <w:kern w:val="0"/>
        </w:rPr>
        <w:t>处理后排入大气。选用符合国家有关机械</w:t>
      </w:r>
      <w:r>
        <w:rPr>
          <w:rFonts w:ascii="宋体" w:eastAsia="宋体" w:hAnsi="宋体" w:cs="宋体" w:hint="eastAsia"/>
          <w:kern w:val="0"/>
        </w:rPr>
        <w:t>、</w:t>
      </w:r>
      <w:r>
        <w:rPr>
          <w:rFonts w:ascii="宋体" w:eastAsia="宋体" w:hAnsi="宋体" w:cs="宋体"/>
          <w:kern w:val="0"/>
        </w:rPr>
        <w:t>机动车标准的施工机械和运输工具</w:t>
      </w:r>
      <w:r>
        <w:rPr>
          <w:rFonts w:ascii="宋体" w:eastAsia="宋体" w:hAnsi="宋体" w:cs="宋体" w:hint="eastAsia"/>
          <w:kern w:val="0"/>
        </w:rPr>
        <w:t>，</w:t>
      </w:r>
      <w:r>
        <w:rPr>
          <w:rFonts w:ascii="宋体" w:eastAsia="宋体" w:hAnsi="宋体" w:cs="宋体"/>
          <w:kern w:val="0"/>
        </w:rPr>
        <w:t>使用符合标准的柴油或清洁能源</w:t>
      </w:r>
      <w:r>
        <w:rPr>
          <w:rFonts w:ascii="宋体" w:eastAsia="宋体" w:hAnsi="宋体" w:cs="宋体" w:hint="eastAsia"/>
          <w:kern w:val="0"/>
        </w:rPr>
        <w:t>，</w:t>
      </w:r>
      <w:r>
        <w:rPr>
          <w:rFonts w:ascii="宋体" w:eastAsia="宋体" w:hAnsi="宋体" w:cs="宋体"/>
          <w:kern w:val="0"/>
        </w:rPr>
        <w:t>使其排放的废气能够达到国家标准。</w:t>
      </w:r>
    </w:p>
    <w:p w14:paraId="286E41DB" w14:textId="77777777" w:rsidR="005A1A44" w:rsidRDefault="0008059E">
      <w:pPr>
        <w:ind w:firstLine="480"/>
      </w:pPr>
      <w:r>
        <w:rPr>
          <w:rFonts w:hint="eastAsia"/>
        </w:rPr>
        <w:t>（</w:t>
      </w:r>
      <w:r>
        <w:rPr>
          <w:rFonts w:hint="eastAsia"/>
        </w:rPr>
        <w:t>3</w:t>
      </w:r>
      <w:r>
        <w:rPr>
          <w:rFonts w:hint="eastAsia"/>
        </w:rPr>
        <w:t>）</w:t>
      </w:r>
      <w:r>
        <w:t>声环境影响评价及采取污染防治措施</w:t>
      </w:r>
    </w:p>
    <w:p w14:paraId="28E133CB" w14:textId="77777777" w:rsidR="005A1A44" w:rsidRDefault="0008059E">
      <w:pPr>
        <w:ind w:firstLine="480"/>
      </w:pPr>
      <w:r>
        <w:t>施工场地远离环境保护目标；施工中选用效率高、噪声低的机械设备，并注意维修养护和正确使用，使之保持最佳工作状态；合理安排施工时间，避免高噪声施工机械在同一区域内使用，设置简易声屏障，减少施工噪声对居民生活的影响。</w:t>
      </w:r>
    </w:p>
    <w:p w14:paraId="628CC64A" w14:textId="77777777" w:rsidR="005A1A44" w:rsidRDefault="0008059E">
      <w:pPr>
        <w:ind w:firstLine="480"/>
      </w:pPr>
      <w:r>
        <w:rPr>
          <w:rFonts w:hint="eastAsia"/>
        </w:rPr>
        <w:t>（</w:t>
      </w:r>
      <w:r>
        <w:rPr>
          <w:rFonts w:hint="eastAsia"/>
        </w:rPr>
        <w:t>4</w:t>
      </w:r>
      <w:r>
        <w:rPr>
          <w:rFonts w:hint="eastAsia"/>
        </w:rPr>
        <w:t>）</w:t>
      </w:r>
      <w:r>
        <w:t>固体废弃物环境影响分析及采取污染防治措施</w:t>
      </w:r>
    </w:p>
    <w:p w14:paraId="4D9FF307" w14:textId="77777777" w:rsidR="005A1A44" w:rsidRDefault="0008059E">
      <w:pPr>
        <w:tabs>
          <w:tab w:val="left" w:pos="1227"/>
        </w:tabs>
        <w:ind w:firstLine="480"/>
      </w:pPr>
      <w:r>
        <w:rPr>
          <w:rFonts w:hint="eastAsia"/>
        </w:rPr>
        <w:t>施工及运营期生活垃圾全部集中收集后运往和田市垃圾填埋场进行无害化处理。</w:t>
      </w:r>
    </w:p>
    <w:p w14:paraId="0C3B2DD6" w14:textId="77777777" w:rsidR="005A1A44" w:rsidRDefault="0008059E">
      <w:pPr>
        <w:ind w:firstLine="480"/>
      </w:pPr>
      <w:r>
        <w:t>施工期弃土</w:t>
      </w:r>
      <w:r>
        <w:rPr>
          <w:rFonts w:hint="eastAsia"/>
        </w:rPr>
        <w:t>、弃石全部</w:t>
      </w:r>
      <w:r>
        <w:t>综合利用，主要利用方式为自身利用和</w:t>
      </w:r>
      <w:r>
        <w:rPr>
          <w:rFonts w:hint="eastAsia"/>
        </w:rPr>
        <w:t>河道平整，禁止</w:t>
      </w:r>
      <w:r>
        <w:t>外运</w:t>
      </w:r>
      <w:r>
        <w:rPr>
          <w:rFonts w:hint="eastAsia"/>
        </w:rPr>
        <w:t>到项目区外。</w:t>
      </w:r>
    </w:p>
    <w:p w14:paraId="555A197F" w14:textId="77777777" w:rsidR="005A1A44" w:rsidRDefault="0008059E">
      <w:pPr>
        <w:ind w:firstLine="480"/>
      </w:pPr>
      <w:r>
        <w:t>建筑垃圾回收利用的价值进行回收，不能回收利用的垃圾应运至政府指定的建筑垃圾处理场处理，严禁乱丢乱弃，对环境影响较小。</w:t>
      </w:r>
    </w:p>
    <w:p w14:paraId="7C910429" w14:textId="77777777" w:rsidR="005A1A44" w:rsidRDefault="0008059E">
      <w:pPr>
        <w:ind w:firstLine="480"/>
      </w:pPr>
      <w:r>
        <w:rPr>
          <w:rFonts w:hint="eastAsia"/>
        </w:rPr>
        <w:t>施工期生活垃圾交由环卫部门统一清运。</w:t>
      </w:r>
    </w:p>
    <w:p w14:paraId="62598FBB" w14:textId="77777777" w:rsidR="005A1A44" w:rsidRDefault="0008059E">
      <w:pPr>
        <w:ind w:firstLine="480"/>
      </w:pPr>
      <w:r>
        <w:rPr>
          <w:rFonts w:hint="eastAsia"/>
        </w:rPr>
        <w:lastRenderedPageBreak/>
        <w:t>（</w:t>
      </w:r>
      <w:r>
        <w:rPr>
          <w:rFonts w:hint="eastAsia"/>
        </w:rPr>
        <w:t>5</w:t>
      </w:r>
      <w:r>
        <w:rPr>
          <w:rFonts w:hint="eastAsia"/>
        </w:rPr>
        <w:t>）</w:t>
      </w:r>
      <w:r>
        <w:t>地下水环境影响分析及采取污染防治措施</w:t>
      </w:r>
    </w:p>
    <w:p w14:paraId="20EBD612" w14:textId="77777777" w:rsidR="005A1A44" w:rsidRDefault="0008059E">
      <w:pPr>
        <w:ind w:firstLine="480"/>
      </w:pPr>
      <w:r>
        <w:rPr>
          <w:rFonts w:hint="eastAsia"/>
        </w:rPr>
        <w:t>考虑到玉龙喀什河堤防、玉龙喀什河疏浚段有部分段部分位于</w:t>
      </w:r>
      <w:r>
        <w:rPr>
          <w:rFonts w:hint="eastAsia"/>
        </w:rPr>
        <w:t>4</w:t>
      </w:r>
      <w:r>
        <w:rPr>
          <w:rFonts w:hint="eastAsia"/>
        </w:rPr>
        <w:t>个集中式饮用水水源二级保护区范围内，因此在施工过程应特别注意施工对玉龙喀什河水质及水环境的影响，项目</w:t>
      </w:r>
      <w:r>
        <w:t>施工</w:t>
      </w:r>
      <w:r>
        <w:rPr>
          <w:rFonts w:hint="eastAsia"/>
        </w:rPr>
        <w:t>及运营期禁止在水源保护区内设置临时施工场地，禁止任何排污活动。</w:t>
      </w:r>
    </w:p>
    <w:p w14:paraId="128041EA" w14:textId="77777777" w:rsidR="005A1A44" w:rsidRDefault="0008059E">
      <w:pPr>
        <w:ind w:firstLine="480"/>
      </w:pPr>
      <w:r>
        <w:rPr>
          <w:rFonts w:hint="eastAsia"/>
        </w:rPr>
        <w:t>（</w:t>
      </w:r>
      <w:r>
        <w:rPr>
          <w:rFonts w:hint="eastAsia"/>
        </w:rPr>
        <w:t>6</w:t>
      </w:r>
      <w:r>
        <w:rPr>
          <w:rFonts w:hint="eastAsia"/>
        </w:rPr>
        <w:t>）</w:t>
      </w:r>
      <w:r>
        <w:t>生态环境影响分析</w:t>
      </w:r>
    </w:p>
    <w:p w14:paraId="5D6D6B86" w14:textId="77777777" w:rsidR="005A1A44" w:rsidRDefault="0008059E">
      <w:pPr>
        <w:ind w:firstLine="480"/>
      </w:pPr>
      <w:r>
        <w:rPr>
          <w:rFonts w:hint="eastAsia"/>
        </w:rPr>
        <w:t>1</w:t>
      </w:r>
      <w:r>
        <w:rPr>
          <w:rFonts w:hint="eastAsia"/>
        </w:rPr>
        <w:t>）</w:t>
      </w:r>
      <w:r>
        <w:t>植被保护和恢复措施</w:t>
      </w:r>
    </w:p>
    <w:p w14:paraId="49C2D264" w14:textId="77777777" w:rsidR="005A1A44" w:rsidRDefault="0008059E">
      <w:pPr>
        <w:ind w:firstLine="480"/>
      </w:pPr>
      <w:r>
        <w:t>开工前，对施工范围临时设施的规划要进行严格审查，</w:t>
      </w:r>
      <w:r>
        <w:rPr>
          <w:rFonts w:hint="eastAsia"/>
        </w:rPr>
        <w:t>要求设置在内陆滩涂、沙地、裸地等河漫滩地，禁止占用林草地、</w:t>
      </w:r>
      <w:r>
        <w:t>耕地</w:t>
      </w:r>
      <w:r>
        <w:rPr>
          <w:rFonts w:hint="eastAsia"/>
        </w:rPr>
        <w:t>等。</w:t>
      </w:r>
      <w:r>
        <w:t>施工区等临时建筑尽可能采取成品或简易拼装方式，尽量减轻对土壤及植被的破坏；严格规定施工车辆的行使便道，防止施工车辆任意行驶破坏植被；工程施工过程中，要严格按设计规定的临时堆土场进行堆土，多余弃土</w:t>
      </w:r>
      <w:r>
        <w:rPr>
          <w:rFonts w:hint="eastAsia"/>
        </w:rPr>
        <w:t>全部用于河道平整中，禁止外运出项目区</w:t>
      </w:r>
      <w:r>
        <w:t>。</w:t>
      </w:r>
    </w:p>
    <w:p w14:paraId="520E1095" w14:textId="77777777" w:rsidR="005A1A44" w:rsidRDefault="0008059E">
      <w:pPr>
        <w:ind w:firstLine="480"/>
      </w:pPr>
      <w:r>
        <w:t>2</w:t>
      </w:r>
      <w:r>
        <w:t>）临时工程用地设置及恢复措施</w:t>
      </w:r>
    </w:p>
    <w:p w14:paraId="009EFE32" w14:textId="77777777" w:rsidR="005A1A44" w:rsidRDefault="0008059E">
      <w:pPr>
        <w:ind w:firstLine="480"/>
      </w:pPr>
      <w:r>
        <w:t>临时工程用地应</w:t>
      </w:r>
      <w:r>
        <w:rPr>
          <w:rFonts w:hint="eastAsia"/>
        </w:rPr>
        <w:t>在内陆滩涂、沙地、裸地等河漫滩地内设置，禁止占用林草地、</w:t>
      </w:r>
      <w:r>
        <w:t>耕地</w:t>
      </w:r>
      <w:r>
        <w:rPr>
          <w:rFonts w:hint="eastAsia"/>
        </w:rPr>
        <w:t>等，</w:t>
      </w:r>
      <w:r>
        <w:t>临时占地结束后，应尽早进行土地平整和恢复工作。</w:t>
      </w:r>
    </w:p>
    <w:p w14:paraId="6E8A8460" w14:textId="77777777" w:rsidR="005A1A44" w:rsidRDefault="0008059E">
      <w:pPr>
        <w:ind w:firstLine="480"/>
      </w:pPr>
      <w:r>
        <w:t>3</w:t>
      </w:r>
      <w:r>
        <w:t>）水生生态保护措施</w:t>
      </w:r>
    </w:p>
    <w:p w14:paraId="53054A44" w14:textId="77777777" w:rsidR="005A1A44" w:rsidRDefault="0008059E">
      <w:pPr>
        <w:ind w:firstLine="480"/>
      </w:pPr>
      <w:r>
        <w:t>为减少施工</w:t>
      </w:r>
      <w:r>
        <w:rPr>
          <w:rFonts w:hint="eastAsia"/>
        </w:rPr>
        <w:t>废水</w:t>
      </w:r>
      <w:r>
        <w:t>对周围水体的影响，建议采用较为坚固、不易渗漏的袋装填土等做围堰。河道</w:t>
      </w:r>
      <w:r>
        <w:rPr>
          <w:rFonts w:hint="eastAsia"/>
        </w:rPr>
        <w:t>疏浚</w:t>
      </w:r>
      <w:r>
        <w:t>采取枯水期基本无水的条件下施工，采用明挖施工。</w:t>
      </w:r>
    </w:p>
    <w:p w14:paraId="0CFEED98" w14:textId="77777777" w:rsidR="005A1A44" w:rsidRDefault="0008059E">
      <w:pPr>
        <w:ind w:firstLine="480"/>
      </w:pPr>
      <w:r>
        <w:t>4</w:t>
      </w:r>
      <w:r>
        <w:t>）加强生态保护宣传教育工作</w:t>
      </w:r>
    </w:p>
    <w:p w14:paraId="2AEDA05C" w14:textId="77777777" w:rsidR="005A1A44" w:rsidRDefault="0008059E">
      <w:pPr>
        <w:ind w:firstLine="480"/>
      </w:pPr>
      <w:r>
        <w:t>施工前后应加强沿线生态环境保护的宣传教育工作，在工地及周边，特别是环境较为敏感的路段，设立与环境保护相关的科普性宣传牌，包括生态保护的科普知识、相关法规、拟建项目采取的生态保护措施及意义等。此外，为了加强沿线生态环境的保护及实施力度，建议建设单位与施工单位共同协商制订相应环境保护奖惩制度，明确环保职责，提高施工主体的环保主人翁责任感。</w:t>
      </w:r>
    </w:p>
    <w:p w14:paraId="792DAF7A" w14:textId="77777777" w:rsidR="005A1A44" w:rsidRDefault="0008059E">
      <w:pPr>
        <w:ind w:firstLine="480"/>
      </w:pPr>
      <w:r>
        <w:t>5</w:t>
      </w:r>
      <w:r>
        <w:t>）实施施工监理等管理措施</w:t>
      </w:r>
    </w:p>
    <w:p w14:paraId="68B1D527" w14:textId="77777777" w:rsidR="005A1A44" w:rsidRDefault="0008059E">
      <w:pPr>
        <w:ind w:firstLine="480"/>
      </w:pPr>
      <w:r>
        <w:t>采取适当的管理措施对施工期生态保护具有事半功倍的效用，施工监理是施工期最好的管理措施。在整个施工期内，采用巡检监理的方式，检查生态保护措施的落实及施工人员的生态保护行为。</w:t>
      </w:r>
    </w:p>
    <w:p w14:paraId="094B207F" w14:textId="77777777" w:rsidR="005A1A44" w:rsidRDefault="0008059E">
      <w:pPr>
        <w:pStyle w:val="2"/>
        <w:numPr>
          <w:ilvl w:val="1"/>
          <w:numId w:val="2"/>
        </w:numPr>
      </w:pPr>
      <w:bookmarkStart w:id="322" w:name="_Toc465790294"/>
      <w:bookmarkStart w:id="323" w:name="_Toc5968_WPSOffice_Level2"/>
      <w:bookmarkStart w:id="324" w:name="_Toc29459_WPSOffice_Level2"/>
      <w:r>
        <w:rPr>
          <w:rFonts w:hint="eastAsia"/>
        </w:rPr>
        <w:lastRenderedPageBreak/>
        <w:t xml:space="preserve"> </w:t>
      </w:r>
      <w:bookmarkStart w:id="325" w:name="_Toc30056_WPSOffice_Level2"/>
      <w:r>
        <w:rPr>
          <w:rFonts w:hint="eastAsia"/>
        </w:rPr>
        <w:t>评价总结论</w:t>
      </w:r>
      <w:bookmarkEnd w:id="322"/>
      <w:bookmarkEnd w:id="323"/>
      <w:bookmarkEnd w:id="324"/>
      <w:bookmarkEnd w:id="325"/>
    </w:p>
    <w:p w14:paraId="222A6E1F" w14:textId="77777777" w:rsidR="005A1A44" w:rsidRDefault="0008059E">
      <w:pPr>
        <w:ind w:firstLine="480"/>
      </w:pPr>
      <w:r>
        <w:t>本项目的建设符合国家产业政策，符合区域防洪规划，符合</w:t>
      </w:r>
      <w:r>
        <w:rPr>
          <w:rFonts w:hint="eastAsia"/>
        </w:rPr>
        <w:t>和田市</w:t>
      </w:r>
      <w:r>
        <w:t>城市总体规划，</w:t>
      </w:r>
      <w:r>
        <w:rPr>
          <w:rFonts w:hint="eastAsia"/>
        </w:rPr>
        <w:t>符合中华人民共和国污水污染防治法，</w:t>
      </w:r>
      <w:r>
        <w:t>项目实施后对</w:t>
      </w:r>
      <w:r>
        <w:rPr>
          <w:rFonts w:hint="eastAsia"/>
        </w:rPr>
        <w:t>可提高玉龙喀什河的防洪标准</w:t>
      </w:r>
      <w:r>
        <w:t>，社会经济</w:t>
      </w:r>
      <w:r>
        <w:rPr>
          <w:rFonts w:hint="eastAsia"/>
        </w:rPr>
        <w:t>和生态</w:t>
      </w:r>
      <w:r>
        <w:t>环境效益</w:t>
      </w:r>
      <w:r>
        <w:rPr>
          <w:rFonts w:hint="eastAsia"/>
        </w:rPr>
        <w:t>大</w:t>
      </w:r>
      <w:r>
        <w:t>；被调查公众均支持项目建设；工程拟采取的污染治理措施总体可行，在落实报告书提出的各项污染防治措施的基础上，对环境的影响较小；从环境影响角度分析项目建设可行。</w:t>
      </w:r>
    </w:p>
    <w:p w14:paraId="50CF67C3" w14:textId="77777777" w:rsidR="005A1A44" w:rsidRDefault="005A1A44">
      <w:pPr>
        <w:ind w:firstLine="480"/>
      </w:pPr>
    </w:p>
    <w:sectPr w:rsidR="005A1A44" w:rsidSect="00BE76A0">
      <w:pgSz w:w="12240" w:h="15840"/>
      <w:pgMar w:top="1440" w:right="1803" w:bottom="1440" w:left="1803" w:header="720" w:footer="720" w:gutter="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A1C01" w14:textId="77777777" w:rsidR="00E95ACE" w:rsidRDefault="00E95ACE">
      <w:pPr>
        <w:spacing w:line="240" w:lineRule="auto"/>
        <w:ind w:firstLine="480"/>
      </w:pPr>
      <w:r>
        <w:separator/>
      </w:r>
    </w:p>
  </w:endnote>
  <w:endnote w:type="continuationSeparator" w:id="0">
    <w:p w14:paraId="769A4CC0" w14:textId="77777777" w:rsidR="00E95ACE" w:rsidRDefault="00E95AC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长城黑体">
    <w:altName w:val="宋体"/>
    <w:charset w:val="86"/>
    <w:family w:val="modern"/>
    <w:pitch w:val="default"/>
    <w:sig w:usb0="00000000" w:usb1="00000000" w:usb2="00000010" w:usb3="00000000" w:csb0="00040000" w:csb1="00000000"/>
  </w:font>
  <w:font w:name="MingLiU">
    <w:altName w:val="細明體"/>
    <w:panose1 w:val="02010609000101010101"/>
    <w:charset w:val="88"/>
    <w:family w:val="modern"/>
    <w:pitch w:val="fixed"/>
    <w:sig w:usb0="A00002FF" w:usb1="28CFFCFA" w:usb2="00000016" w:usb3="00000000" w:csb0="00100001"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瀹嬩綋">
    <w:altName w:val="宋体"/>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4BFB7" w14:textId="77777777" w:rsidR="005A1A44" w:rsidRDefault="005A1A44">
    <w:pPr>
      <w:pStyle w:val="a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7AC15" w14:textId="77777777" w:rsidR="005A1A44" w:rsidRDefault="00000000">
    <w:pPr>
      <w:pStyle w:val="aa"/>
      <w:ind w:firstLine="360"/>
    </w:pPr>
    <w:r>
      <w:rPr>
        <w:noProof/>
      </w:rPr>
      <w:pict w14:anchorId="7F40AA04">
        <v:shapetype id="_x0000_t202" coordsize="21600,21600" o:spt="202" path="m,l,21600r21600,l21600,xe">
          <v:stroke joinstyle="miter"/>
          <v:path gradientshapeok="t" o:connecttype="rect"/>
        </v:shapetype>
        <v:shape id="文本框 20" o:spid="_x0000_s1026" type="#_x0000_t202" style="position:absolute;left:0;text-align:left;margin-left:0;margin-top:0;width:2in;height:2in;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0lYwIAAAwFAAAOAAAAZHJzL2Uyb0RvYy54bWysVM1uEzEQviPxDpbvdNMgqijqpgqtipAq&#10;WlEQZ8drNyv8J3ua3fAA8AacuPTOc/U5+OzNpqhwKeLinfXMfDPzzYyPT3pr2EbF1HpX88ODCWfK&#10;Sd+07qbmHz+cv5hxlki4RhjvVM23KvGTxfNnx12Yq6lfe9OoyADi0rwLNV8ThXlVJblWVqQDH5SD&#10;UvtoBeE33lRNFB3Qrammk8lR1fnYhOilSgm3Z4OSLwq+1krSpdZJETM1R25UzljOVT6rxbGY30QR&#10;1q3cpSH+IQsrWoege6gzQYLdxvYPKNvK6JPXdCC9rbzWrVSlBlRzOHlUzfVaBFVqATkp7GlK/w9W&#10;vttcRdY2NZ+CHicsenT//dv9j5/3d18Z7kBQF9IcdtcBltS/9j0aPd4nXOa6ex1t/qIiBj2wtnt6&#10;VU9MZqfZdDabQCWhG3+AXz24h5jojfKWZaHmEf0rtIrNRaLBdDTJ0Zw/b40pPTSOdTU/evlqUhz2&#10;GoAbhxi5iCHZItHWqIxg3HulUX/JOV+UyVOnJrKNwMwIKZWjUm5BgnW20gj7FMedfXZVZSqf4rz3&#10;KJG9o72zbZ2Ppd5HaTefx5T1YD8yMNSdKaB+1e+au/LNFr2NfliPFOR5C/4vRKIrEbEP6Bl2nC5x&#10;aOPBs99JnK19/PK3+2yPMYWWsw77VXOHB4Az89ZhfAFIoxBHYTUK7taeepB/iLcjyCLCIZIZRR29&#10;/YTFX+YYUAknEanmNIqnNOw4Hg6plstihIULgi7cdZAZujQ7LG8JM1RGK5MyMLEjCytXhnP3POSd&#10;/v2/WD08Yotf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WNQ9JWMCAAAMBQAADgAAAAAAAAAAAAAAAAAuAgAAZHJzL2Uyb0RvYy54&#10;bWxQSwECLQAUAAYACAAAACEAcarRudcAAAAFAQAADwAAAAAAAAAAAAAAAAC9BAAAZHJzL2Rvd25y&#10;ZXYueG1sUEsFBgAAAAAEAAQA8wAAAMEFAAAAAA==&#10;" filled="f" stroked="f" strokeweight=".5pt">
          <v:textbox style="mso-fit-shape-to-text:t" inset="0,0,0,0">
            <w:txbxContent>
              <w:p w14:paraId="2DA306CC" w14:textId="77777777" w:rsidR="005A1A44" w:rsidRDefault="005A1A44">
                <w:pPr>
                  <w:ind w:firstLine="480"/>
                </w:pP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960FD" w14:textId="77777777" w:rsidR="005A1A44" w:rsidRDefault="005A1A44">
    <w:pPr>
      <w:pStyle w:val="aa"/>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55B78" w14:textId="77777777" w:rsidR="005A1A44" w:rsidRDefault="005A1A44">
    <w:pPr>
      <w:pStyle w:val="aa"/>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3DE3E" w14:textId="77777777" w:rsidR="005A1A44" w:rsidRDefault="00000000">
    <w:pPr>
      <w:pStyle w:val="aa"/>
      <w:ind w:firstLine="360"/>
    </w:pPr>
    <w:r>
      <w:rPr>
        <w:noProof/>
      </w:rPr>
      <w:pict w14:anchorId="6EC76ADD">
        <v:shapetype id="_x0000_t202" coordsize="21600,21600" o:spt="202" path="m,l,21600r21600,l21600,xe">
          <v:stroke joinstyle="miter"/>
          <v:path gradientshapeok="t" o:connecttype="rect"/>
        </v:shapetype>
        <v:shape id="文本框 42" o:spid="_x0000_s1025" type="#_x0000_t202" style="position:absolute;left:0;text-align:left;margin-left:204.25pt;margin-top:.1pt;width:42.8pt;height:13.6pt;z-index:2516613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ycbgIAABMFAAAOAAAAZHJzL2Uyb0RvYy54bWysVM1uEzEQviPxDpbvdJP0D0XdVKFVEVJF&#10;Kwri7HjtZoXXY2wnm/AA9A04ceHOc/U5+OzNblHhUsTFOzvzzXjmmxmfnG4aw9bKh5psycd7I86U&#10;lVTV9rbkH95fvHjJWYjCVsKQVSXfqsBPZ8+fnbRuqia0JFMpzxDEhmnrSr6M0U2LIsilakTYI6cs&#10;jJp8IyJ+/W1RedEiemOKyWh0VLTkK+dJqhCgPe+MfJbja61kvNI6qMhMyZFbzKfP5yKdxexETG+9&#10;cMta7tIQ/5BFI2qLS4dQ5yIKtvL1H6GaWnoKpOOepKYgrWupcg2oZjx6VM3NUjiVawE5wQ00hf8X&#10;Vr5dX3tWVyU/mHBmRYMe3X+7u//+8/7HVwYdCGpdmAJ344CMm1e0QaN7fYAy1b3RvklfVMRgB9Xb&#10;gV61iUxCeXiwf3gEi4RpfDw5nmT6iwdn50N8rahhSSi5R/cyqWJ9GSISAbSHpLssXdTG5A4ay9qS&#10;H+0fjrLDYIGHsXBMJXSpZilujUoRjH2nNKrPGSdFnjt1ZjxbC0yMkFLZmIvNkYBOKI1rn+K4wydX&#10;lWfyKc6DR76ZbBycm9qSz/U+Srv61KesO3zPQFd3oiBuFpvc9qGTC6q2aLCnbkeCkxc12nApQrwW&#10;HkuBzmHR4xUObQh0007ibEn+y9/0CY9ZhZWzFktW8vB5JbzizLyxmOK0kb3ge2HRC3bVnBG6MMYT&#10;4mQW4eCj6UXtqfmI/Z+nW2ASVuKuksdePIvdquP9kGo+zyDsnRPx0t44mUInVi3NV5F0nWcssdNx&#10;sWMNm5dHb/dKpNX+/T+jHt6y2S8AAAD//wMAUEsDBBQABgAIAAAAIQA+AJJw3AAAAAcBAAAPAAAA&#10;ZHJzL2Rvd25yZXYueG1sTI7LTsMwFET3SPyDdZHYUTtVgBLiVIjHDgptQYKdE1+SCPs6sp00/D1m&#10;BcvRjM6ccj1bwyb0oXckIVsIYEiN0z21El73D2crYCEq0so4QgnfGGBdHR+VqtDuQFucdrFlCUKh&#10;UBK6GIeC89B0aFVYuAEpdZ/OWxVT9C3XXh0S3Bq+FOKCW9VTeujUgLcdNl+70Uow78E/1iJ+THft&#10;U3x55uPbfbaR8vRkvrkGFnGOf2P41U/qUCWn2o2kAzMScrE6T1MJS2Cpzq/yDFid4mUOvCr5f//q&#10;BwAA//8DAFBLAQItABQABgAIAAAAIQC2gziS/gAAAOEBAAATAAAAAAAAAAAAAAAAAAAAAABbQ29u&#10;dGVudF9UeXBlc10ueG1sUEsBAi0AFAAGAAgAAAAhADj9If/WAAAAlAEAAAsAAAAAAAAAAAAAAAAA&#10;LwEAAF9yZWxzLy5yZWxzUEsBAi0AFAAGAAgAAAAhAEFSPJxuAgAAEwUAAA4AAAAAAAAAAAAAAAAA&#10;LgIAAGRycy9lMm9Eb2MueG1sUEsBAi0AFAAGAAgAAAAhAD4AknDcAAAABwEAAA8AAAAAAAAAAAAA&#10;AAAAyAQAAGRycy9kb3ducmV2LnhtbFBLBQYAAAAABAAEAPMAAADRBQAAAAA=&#10;" filled="f" stroked="f" strokeweight=".5pt">
          <v:textbox inset="0,0,0,0">
            <w:txbxContent>
              <w:p w14:paraId="14F3A036" w14:textId="77777777" w:rsidR="005A1A44" w:rsidRDefault="00BE76A0">
                <w:pPr>
                  <w:pStyle w:val="aa"/>
                  <w:ind w:firstLine="360"/>
                  <w:rPr>
                    <w:rFonts w:eastAsiaTheme="minorEastAsia"/>
                  </w:rPr>
                </w:pPr>
                <w:r>
                  <w:rPr>
                    <w:rFonts w:hint="eastAsia"/>
                  </w:rPr>
                  <w:fldChar w:fldCharType="begin"/>
                </w:r>
                <w:r w:rsidR="0008059E">
                  <w:rPr>
                    <w:rFonts w:hint="eastAsia"/>
                  </w:rPr>
                  <w:instrText xml:space="preserve"> PAGE  \* MERGEFORMAT </w:instrText>
                </w:r>
                <w:r>
                  <w:rPr>
                    <w:rFonts w:hint="eastAsia"/>
                  </w:rPr>
                  <w:fldChar w:fldCharType="separate"/>
                </w:r>
                <w:r w:rsidR="002D114E">
                  <w:rPr>
                    <w:noProof/>
                  </w:rPr>
                  <w:t>165</w:t>
                </w:r>
                <w:r>
                  <w:rPr>
                    <w:rFonts w:hint="eastAsia"/>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60419" w14:textId="77777777" w:rsidR="00E95ACE" w:rsidRDefault="00E95ACE">
      <w:pPr>
        <w:spacing w:line="240" w:lineRule="auto"/>
        <w:ind w:firstLine="480"/>
      </w:pPr>
      <w:r>
        <w:separator/>
      </w:r>
    </w:p>
  </w:footnote>
  <w:footnote w:type="continuationSeparator" w:id="0">
    <w:p w14:paraId="393AFD84" w14:textId="77777777" w:rsidR="00E95ACE" w:rsidRDefault="00E95ACE">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AD675" w14:textId="77777777" w:rsidR="005A1A44" w:rsidRDefault="005A1A44">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1AE43" w14:textId="77777777" w:rsidR="005A1A44" w:rsidRDefault="005A1A44">
    <w:pPr>
      <w:pStyle w:val="ab"/>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35C44" w14:textId="77777777" w:rsidR="005A1A44" w:rsidRDefault="005A1A44">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84FB06"/>
    <w:multiLevelType w:val="multilevel"/>
    <w:tmpl w:val="8884FB06"/>
    <w:lvl w:ilvl="0">
      <w:start w:val="1"/>
      <w:numFmt w:val="decimal"/>
      <w:pStyle w:val="1"/>
      <w:lvlText w:val="%1"/>
      <w:lvlJc w:val="left"/>
      <w:pPr>
        <w:ind w:left="432" w:hanging="432"/>
      </w:pPr>
      <w:rPr>
        <w:rFonts w:ascii="宋体" w:eastAsia="宋体" w:hAnsi="宋体" w:cs="宋体" w:hint="default"/>
      </w:rPr>
    </w:lvl>
    <w:lvl w:ilvl="1">
      <w:start w:val="1"/>
      <w:numFmt w:val="decimal"/>
      <w:pStyle w:val="2"/>
      <w:lvlText w:val="%1.%2"/>
      <w:lvlJc w:val="left"/>
      <w:pPr>
        <w:ind w:left="575" w:hanging="575"/>
      </w:pPr>
      <w:rPr>
        <w:rFonts w:ascii="宋体" w:eastAsia="宋体" w:hAnsi="宋体" w:cs="宋体" w:hint="default"/>
      </w:rPr>
    </w:lvl>
    <w:lvl w:ilvl="2">
      <w:start w:val="1"/>
      <w:numFmt w:val="decimal"/>
      <w:pStyle w:val="3"/>
      <w:lvlText w:val="%1.%2.%3"/>
      <w:lvlJc w:val="left"/>
      <w:pPr>
        <w:ind w:left="720" w:hanging="720"/>
      </w:pPr>
      <w:rPr>
        <w:rFonts w:ascii="宋体" w:eastAsia="宋体" w:hAnsi="宋体" w:cs="宋体" w:hint="default"/>
      </w:rPr>
    </w:lvl>
    <w:lvl w:ilvl="3">
      <w:start w:val="1"/>
      <w:numFmt w:val="decimal"/>
      <w:pStyle w:val="4"/>
      <w:lvlText w:val="%1.%2.%3.%4"/>
      <w:lvlJc w:val="left"/>
      <w:pPr>
        <w:ind w:left="864" w:hanging="864"/>
      </w:pPr>
      <w:rPr>
        <w:rFonts w:ascii="宋体" w:eastAsia="宋体" w:hAnsi="宋体" w:cs="宋体"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1" w15:restartNumberingAfterBreak="0">
    <w:nsid w:val="9C208F56"/>
    <w:multiLevelType w:val="multilevel"/>
    <w:tmpl w:val="9C208F56"/>
    <w:lvl w:ilvl="0">
      <w:start w:val="1"/>
      <w:numFmt w:val="decimal"/>
      <w:lvlText w:val="%1"/>
      <w:lvlJc w:val="left"/>
      <w:pPr>
        <w:ind w:left="425" w:hanging="425"/>
      </w:pPr>
      <w:rPr>
        <w:rFonts w:ascii="宋体" w:eastAsia="宋体" w:hAnsi="宋体" w:cs="宋体" w:hint="default"/>
      </w:rPr>
    </w:lvl>
    <w:lvl w:ilvl="1">
      <w:start w:val="1"/>
      <w:numFmt w:val="decimal"/>
      <w:lvlText w:val="%1.%2"/>
      <w:lvlJc w:val="left"/>
      <w:pPr>
        <w:ind w:left="567" w:hanging="567"/>
      </w:pPr>
      <w:rPr>
        <w:rFonts w:ascii="宋体" w:eastAsia="宋体" w:hAnsi="宋体" w:cs="宋体" w:hint="default"/>
      </w:rPr>
    </w:lvl>
    <w:lvl w:ilvl="2">
      <w:start w:val="1"/>
      <w:numFmt w:val="decimal"/>
      <w:lvlText w:val="%1.%2.%3"/>
      <w:lvlJc w:val="left"/>
      <w:pPr>
        <w:ind w:left="709" w:hanging="709"/>
      </w:pPr>
      <w:rPr>
        <w:rFonts w:ascii="宋体" w:eastAsia="宋体" w:hAnsi="宋体" w:cs="宋体" w:hint="default"/>
      </w:rPr>
    </w:lvl>
    <w:lvl w:ilvl="3">
      <w:start w:val="1"/>
      <w:numFmt w:val="decimal"/>
      <w:lvlText w:val="%1.%2.%3.%4"/>
      <w:lvlJc w:val="left"/>
      <w:pPr>
        <w:ind w:left="850" w:hanging="850"/>
      </w:pPr>
      <w:rPr>
        <w:rFonts w:ascii="宋体" w:eastAsia="宋体" w:hAnsi="宋体" w:cs="宋体"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 w15:restartNumberingAfterBreak="0">
    <w:nsid w:val="A4FB406E"/>
    <w:multiLevelType w:val="singleLevel"/>
    <w:tmpl w:val="A4FB406E"/>
    <w:lvl w:ilvl="0">
      <w:start w:val="1"/>
      <w:numFmt w:val="decimal"/>
      <w:suff w:val="nothing"/>
      <w:lvlText w:val="（%1）"/>
      <w:lvlJc w:val="left"/>
    </w:lvl>
  </w:abstractNum>
  <w:abstractNum w:abstractNumId="3" w15:restartNumberingAfterBreak="0">
    <w:nsid w:val="BE7976A6"/>
    <w:multiLevelType w:val="singleLevel"/>
    <w:tmpl w:val="BE7976A6"/>
    <w:lvl w:ilvl="0">
      <w:start w:val="1"/>
      <w:numFmt w:val="decimal"/>
      <w:suff w:val="nothing"/>
      <w:lvlText w:val="（%1）"/>
      <w:lvlJc w:val="left"/>
    </w:lvl>
  </w:abstractNum>
  <w:abstractNum w:abstractNumId="4" w15:restartNumberingAfterBreak="0">
    <w:nsid w:val="CF0CAF57"/>
    <w:multiLevelType w:val="singleLevel"/>
    <w:tmpl w:val="CF0CAF57"/>
    <w:lvl w:ilvl="0">
      <w:start w:val="1"/>
      <w:numFmt w:val="decimal"/>
      <w:suff w:val="nothing"/>
      <w:lvlText w:val="（%1）"/>
      <w:lvlJc w:val="left"/>
    </w:lvl>
  </w:abstractNum>
  <w:abstractNum w:abstractNumId="5" w15:restartNumberingAfterBreak="0">
    <w:nsid w:val="DE5B5C49"/>
    <w:multiLevelType w:val="singleLevel"/>
    <w:tmpl w:val="DE5B5C49"/>
    <w:lvl w:ilvl="0">
      <w:start w:val="1"/>
      <w:numFmt w:val="decimal"/>
      <w:suff w:val="nothing"/>
      <w:lvlText w:val="（%1）"/>
      <w:lvlJc w:val="left"/>
    </w:lvl>
  </w:abstractNum>
  <w:abstractNum w:abstractNumId="6" w15:restartNumberingAfterBreak="0">
    <w:nsid w:val="F2823FF9"/>
    <w:multiLevelType w:val="singleLevel"/>
    <w:tmpl w:val="F2823FF9"/>
    <w:lvl w:ilvl="0">
      <w:start w:val="1"/>
      <w:numFmt w:val="decimal"/>
      <w:suff w:val="nothing"/>
      <w:lvlText w:val="（%1）"/>
      <w:lvlJc w:val="left"/>
    </w:lvl>
  </w:abstractNum>
  <w:abstractNum w:abstractNumId="7" w15:restartNumberingAfterBreak="0">
    <w:nsid w:val="F4EEC358"/>
    <w:multiLevelType w:val="singleLevel"/>
    <w:tmpl w:val="F4EEC358"/>
    <w:lvl w:ilvl="0">
      <w:start w:val="5"/>
      <w:numFmt w:val="decimal"/>
      <w:suff w:val="nothing"/>
      <w:lvlText w:val="（%1）"/>
      <w:lvlJc w:val="left"/>
    </w:lvl>
  </w:abstractNum>
  <w:abstractNum w:abstractNumId="8" w15:restartNumberingAfterBreak="0">
    <w:nsid w:val="21F7A3FB"/>
    <w:multiLevelType w:val="singleLevel"/>
    <w:tmpl w:val="21F7A3FB"/>
    <w:lvl w:ilvl="0">
      <w:start w:val="1"/>
      <w:numFmt w:val="decimal"/>
      <w:suff w:val="nothing"/>
      <w:lvlText w:val="（%1）"/>
      <w:lvlJc w:val="left"/>
    </w:lvl>
  </w:abstractNum>
  <w:abstractNum w:abstractNumId="9" w15:restartNumberingAfterBreak="0">
    <w:nsid w:val="46D11E0F"/>
    <w:multiLevelType w:val="singleLevel"/>
    <w:tmpl w:val="46D11E0F"/>
    <w:lvl w:ilvl="0">
      <w:start w:val="1"/>
      <w:numFmt w:val="decimal"/>
      <w:suff w:val="nothing"/>
      <w:lvlText w:val="（%1）"/>
      <w:lvlJc w:val="left"/>
    </w:lvl>
  </w:abstractNum>
  <w:abstractNum w:abstractNumId="10" w15:restartNumberingAfterBreak="0">
    <w:nsid w:val="60614394"/>
    <w:multiLevelType w:val="singleLevel"/>
    <w:tmpl w:val="60614394"/>
    <w:lvl w:ilvl="0">
      <w:start w:val="1"/>
      <w:numFmt w:val="decimal"/>
      <w:suff w:val="nothing"/>
      <w:lvlText w:val="（%1）"/>
      <w:lvlJc w:val="left"/>
    </w:lvl>
  </w:abstractNum>
  <w:abstractNum w:abstractNumId="11" w15:restartNumberingAfterBreak="0">
    <w:nsid w:val="6352F210"/>
    <w:multiLevelType w:val="singleLevel"/>
    <w:tmpl w:val="6352F210"/>
    <w:lvl w:ilvl="0">
      <w:start w:val="1"/>
      <w:numFmt w:val="decimal"/>
      <w:suff w:val="nothing"/>
      <w:lvlText w:val="（%1）"/>
      <w:lvlJc w:val="left"/>
    </w:lvl>
  </w:abstractNum>
  <w:abstractNum w:abstractNumId="12" w15:restartNumberingAfterBreak="0">
    <w:nsid w:val="69D2AD3D"/>
    <w:multiLevelType w:val="singleLevel"/>
    <w:tmpl w:val="69D2AD3D"/>
    <w:lvl w:ilvl="0">
      <w:start w:val="1"/>
      <w:numFmt w:val="decimal"/>
      <w:suff w:val="nothing"/>
      <w:lvlText w:val="（%1）"/>
      <w:lvlJc w:val="left"/>
    </w:lvl>
  </w:abstractNum>
  <w:abstractNum w:abstractNumId="13" w15:restartNumberingAfterBreak="0">
    <w:nsid w:val="6FB3FDA9"/>
    <w:multiLevelType w:val="singleLevel"/>
    <w:tmpl w:val="6FB3FDA9"/>
    <w:lvl w:ilvl="0">
      <w:start w:val="1"/>
      <w:numFmt w:val="decimal"/>
      <w:suff w:val="nothing"/>
      <w:lvlText w:val="（%1）"/>
      <w:lvlJc w:val="left"/>
    </w:lvl>
  </w:abstractNum>
  <w:abstractNum w:abstractNumId="14" w15:restartNumberingAfterBreak="0">
    <w:nsid w:val="763728A7"/>
    <w:multiLevelType w:val="singleLevel"/>
    <w:tmpl w:val="763728A7"/>
    <w:lvl w:ilvl="0">
      <w:start w:val="1"/>
      <w:numFmt w:val="decimal"/>
      <w:suff w:val="nothing"/>
      <w:lvlText w:val="（%1）"/>
      <w:lvlJc w:val="left"/>
    </w:lvl>
  </w:abstractNum>
  <w:abstractNum w:abstractNumId="15" w15:restartNumberingAfterBreak="0">
    <w:nsid w:val="7C074B8F"/>
    <w:multiLevelType w:val="singleLevel"/>
    <w:tmpl w:val="7C074B8F"/>
    <w:lvl w:ilvl="0">
      <w:start w:val="1"/>
      <w:numFmt w:val="decimal"/>
      <w:suff w:val="nothing"/>
      <w:lvlText w:val="（%1）"/>
      <w:lvlJc w:val="left"/>
    </w:lvl>
  </w:abstractNum>
  <w:num w:numId="1" w16cid:durableId="165634091">
    <w:abstractNumId w:val="0"/>
  </w:num>
  <w:num w:numId="2" w16cid:durableId="1947419434">
    <w:abstractNumId w:val="1"/>
  </w:num>
  <w:num w:numId="3" w16cid:durableId="1225995350">
    <w:abstractNumId w:val="5"/>
  </w:num>
  <w:num w:numId="4" w16cid:durableId="374740174">
    <w:abstractNumId w:val="9"/>
  </w:num>
  <w:num w:numId="5" w16cid:durableId="1363168606">
    <w:abstractNumId w:val="7"/>
  </w:num>
  <w:num w:numId="6" w16cid:durableId="2826850">
    <w:abstractNumId w:val="4"/>
  </w:num>
  <w:num w:numId="7" w16cid:durableId="1082406828">
    <w:abstractNumId w:val="8"/>
  </w:num>
  <w:num w:numId="8" w16cid:durableId="1384331211">
    <w:abstractNumId w:val="2"/>
  </w:num>
  <w:num w:numId="9" w16cid:durableId="1743790036">
    <w:abstractNumId w:val="10"/>
  </w:num>
  <w:num w:numId="10" w16cid:durableId="1243681214">
    <w:abstractNumId w:val="15"/>
  </w:num>
  <w:num w:numId="11" w16cid:durableId="952052464">
    <w:abstractNumId w:val="13"/>
  </w:num>
  <w:num w:numId="12" w16cid:durableId="644314661">
    <w:abstractNumId w:val="3"/>
  </w:num>
  <w:num w:numId="13" w16cid:durableId="671953802">
    <w:abstractNumId w:val="11"/>
  </w:num>
  <w:num w:numId="14" w16cid:durableId="296955695">
    <w:abstractNumId w:val="14"/>
  </w:num>
  <w:num w:numId="15" w16cid:durableId="1043292612">
    <w:abstractNumId w:val="6"/>
  </w:num>
  <w:num w:numId="16" w16cid:durableId="2370594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240"/>
  <w:drawingGridVerticalSpacing w:val="156"/>
  <w:noPunctuationKerning/>
  <w:characterSpacingControl w:val="compressPunctuation"/>
  <w:hdrShapeDefaults>
    <o:shapedefaults v:ext="edit" spidmax="2113"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51877"/>
    <w:rsid w:val="00057A65"/>
    <w:rsid w:val="0008059E"/>
    <w:rsid w:val="000D67A5"/>
    <w:rsid w:val="000F2DCD"/>
    <w:rsid w:val="001117F0"/>
    <w:rsid w:val="00131D0B"/>
    <w:rsid w:val="00172A27"/>
    <w:rsid w:val="0019242B"/>
    <w:rsid w:val="00197358"/>
    <w:rsid w:val="001A08E9"/>
    <w:rsid w:val="001B53C1"/>
    <w:rsid w:val="00252E53"/>
    <w:rsid w:val="00282313"/>
    <w:rsid w:val="002D114E"/>
    <w:rsid w:val="00307522"/>
    <w:rsid w:val="003A120E"/>
    <w:rsid w:val="003E1FDF"/>
    <w:rsid w:val="004579BA"/>
    <w:rsid w:val="00470B7D"/>
    <w:rsid w:val="004A1C9E"/>
    <w:rsid w:val="0051672D"/>
    <w:rsid w:val="005A1A44"/>
    <w:rsid w:val="005C2D9C"/>
    <w:rsid w:val="005F0580"/>
    <w:rsid w:val="00622A65"/>
    <w:rsid w:val="0062799E"/>
    <w:rsid w:val="006C01F2"/>
    <w:rsid w:val="006D5EB3"/>
    <w:rsid w:val="006E1C94"/>
    <w:rsid w:val="0070179D"/>
    <w:rsid w:val="007D366D"/>
    <w:rsid w:val="007D5AD0"/>
    <w:rsid w:val="0083152E"/>
    <w:rsid w:val="008526E8"/>
    <w:rsid w:val="00855E6A"/>
    <w:rsid w:val="0089242E"/>
    <w:rsid w:val="009644BF"/>
    <w:rsid w:val="009649E3"/>
    <w:rsid w:val="009A22AA"/>
    <w:rsid w:val="009A6D43"/>
    <w:rsid w:val="009E2431"/>
    <w:rsid w:val="00A30E0A"/>
    <w:rsid w:val="00A61FC0"/>
    <w:rsid w:val="00A64B11"/>
    <w:rsid w:val="00AC3CC3"/>
    <w:rsid w:val="00AF6E28"/>
    <w:rsid w:val="00B17E4E"/>
    <w:rsid w:val="00B96C52"/>
    <w:rsid w:val="00BB5A67"/>
    <w:rsid w:val="00BC475B"/>
    <w:rsid w:val="00BE76A0"/>
    <w:rsid w:val="00CC3A5E"/>
    <w:rsid w:val="00D107D6"/>
    <w:rsid w:val="00DB0923"/>
    <w:rsid w:val="00DC2B44"/>
    <w:rsid w:val="00DD671A"/>
    <w:rsid w:val="00DE1D35"/>
    <w:rsid w:val="00E04AE1"/>
    <w:rsid w:val="00E1204F"/>
    <w:rsid w:val="00E458C2"/>
    <w:rsid w:val="00E63779"/>
    <w:rsid w:val="00E846D9"/>
    <w:rsid w:val="00E95ACE"/>
    <w:rsid w:val="00ED02DC"/>
    <w:rsid w:val="00EE1C39"/>
    <w:rsid w:val="00F06F4A"/>
    <w:rsid w:val="00FA4550"/>
    <w:rsid w:val="00FA51B8"/>
    <w:rsid w:val="00FB3151"/>
    <w:rsid w:val="016B5664"/>
    <w:rsid w:val="01E8798D"/>
    <w:rsid w:val="02684B3C"/>
    <w:rsid w:val="038D3455"/>
    <w:rsid w:val="03B26384"/>
    <w:rsid w:val="03FC5B9C"/>
    <w:rsid w:val="04056354"/>
    <w:rsid w:val="04A70E7D"/>
    <w:rsid w:val="04EB3580"/>
    <w:rsid w:val="051719C5"/>
    <w:rsid w:val="052C35F5"/>
    <w:rsid w:val="05637C3B"/>
    <w:rsid w:val="05735615"/>
    <w:rsid w:val="05851B4E"/>
    <w:rsid w:val="05B21A64"/>
    <w:rsid w:val="05F40121"/>
    <w:rsid w:val="063712FF"/>
    <w:rsid w:val="063A2211"/>
    <w:rsid w:val="06E76E1A"/>
    <w:rsid w:val="07472B48"/>
    <w:rsid w:val="07544D86"/>
    <w:rsid w:val="07844511"/>
    <w:rsid w:val="07CA4195"/>
    <w:rsid w:val="082747BF"/>
    <w:rsid w:val="08362DE5"/>
    <w:rsid w:val="08367980"/>
    <w:rsid w:val="08C710F5"/>
    <w:rsid w:val="09395A74"/>
    <w:rsid w:val="0985575C"/>
    <w:rsid w:val="09AB4359"/>
    <w:rsid w:val="09AD41E1"/>
    <w:rsid w:val="09CD4A7D"/>
    <w:rsid w:val="09EA3B54"/>
    <w:rsid w:val="0A7117DD"/>
    <w:rsid w:val="0B01667B"/>
    <w:rsid w:val="0B3A3AAD"/>
    <w:rsid w:val="0B793A60"/>
    <w:rsid w:val="0C011403"/>
    <w:rsid w:val="0C0F70CD"/>
    <w:rsid w:val="0C622BF7"/>
    <w:rsid w:val="0C664B8E"/>
    <w:rsid w:val="0D3A71ED"/>
    <w:rsid w:val="0D607BB8"/>
    <w:rsid w:val="0D892114"/>
    <w:rsid w:val="0DD52620"/>
    <w:rsid w:val="0DF82D2B"/>
    <w:rsid w:val="0E760959"/>
    <w:rsid w:val="0E9E5275"/>
    <w:rsid w:val="0EBF7D9A"/>
    <w:rsid w:val="10233475"/>
    <w:rsid w:val="1033028B"/>
    <w:rsid w:val="10852C03"/>
    <w:rsid w:val="10A322B5"/>
    <w:rsid w:val="10D2294E"/>
    <w:rsid w:val="10DE08B1"/>
    <w:rsid w:val="114873B8"/>
    <w:rsid w:val="114E29DF"/>
    <w:rsid w:val="11B36349"/>
    <w:rsid w:val="11D407B6"/>
    <w:rsid w:val="124F31DC"/>
    <w:rsid w:val="12575902"/>
    <w:rsid w:val="12863217"/>
    <w:rsid w:val="130E42F3"/>
    <w:rsid w:val="139A3C55"/>
    <w:rsid w:val="13AD48FF"/>
    <w:rsid w:val="142C1D1C"/>
    <w:rsid w:val="14D24594"/>
    <w:rsid w:val="15B820C7"/>
    <w:rsid w:val="15D864FD"/>
    <w:rsid w:val="16264EC3"/>
    <w:rsid w:val="168C12C9"/>
    <w:rsid w:val="16D33A74"/>
    <w:rsid w:val="16F6419B"/>
    <w:rsid w:val="17081A1D"/>
    <w:rsid w:val="170928B8"/>
    <w:rsid w:val="17263193"/>
    <w:rsid w:val="17CC1AE0"/>
    <w:rsid w:val="17E81A84"/>
    <w:rsid w:val="17FD30DA"/>
    <w:rsid w:val="18352423"/>
    <w:rsid w:val="183C50EB"/>
    <w:rsid w:val="18533EA3"/>
    <w:rsid w:val="18706833"/>
    <w:rsid w:val="196E72F6"/>
    <w:rsid w:val="19CF7807"/>
    <w:rsid w:val="1A404783"/>
    <w:rsid w:val="1B1E77B9"/>
    <w:rsid w:val="1C596BFF"/>
    <w:rsid w:val="1C6832F7"/>
    <w:rsid w:val="1CF42B07"/>
    <w:rsid w:val="1D105D5E"/>
    <w:rsid w:val="1D3139E2"/>
    <w:rsid w:val="1D35462E"/>
    <w:rsid w:val="1D360328"/>
    <w:rsid w:val="1D477EBE"/>
    <w:rsid w:val="1DA77646"/>
    <w:rsid w:val="1DB33AEB"/>
    <w:rsid w:val="1DB714AB"/>
    <w:rsid w:val="1E4A3AB0"/>
    <w:rsid w:val="1E7054A8"/>
    <w:rsid w:val="1EF34371"/>
    <w:rsid w:val="1F5702D1"/>
    <w:rsid w:val="20373764"/>
    <w:rsid w:val="20847E52"/>
    <w:rsid w:val="215B63CF"/>
    <w:rsid w:val="21716B5B"/>
    <w:rsid w:val="219D1EDA"/>
    <w:rsid w:val="21CC15B2"/>
    <w:rsid w:val="21EC755E"/>
    <w:rsid w:val="222F09F2"/>
    <w:rsid w:val="229F5F99"/>
    <w:rsid w:val="22F50061"/>
    <w:rsid w:val="23FD02FB"/>
    <w:rsid w:val="24981D87"/>
    <w:rsid w:val="24C93AC5"/>
    <w:rsid w:val="25777F60"/>
    <w:rsid w:val="25F926ED"/>
    <w:rsid w:val="26010A74"/>
    <w:rsid w:val="26065F82"/>
    <w:rsid w:val="26255E2C"/>
    <w:rsid w:val="262C0F08"/>
    <w:rsid w:val="267C1090"/>
    <w:rsid w:val="26D616C4"/>
    <w:rsid w:val="274873AE"/>
    <w:rsid w:val="274A1B6C"/>
    <w:rsid w:val="27645321"/>
    <w:rsid w:val="27D4639C"/>
    <w:rsid w:val="27E027B5"/>
    <w:rsid w:val="28001E08"/>
    <w:rsid w:val="282C79CD"/>
    <w:rsid w:val="283037BC"/>
    <w:rsid w:val="286D115F"/>
    <w:rsid w:val="28D61183"/>
    <w:rsid w:val="29716577"/>
    <w:rsid w:val="29770742"/>
    <w:rsid w:val="297B740F"/>
    <w:rsid w:val="29F45180"/>
    <w:rsid w:val="2A1C4F8B"/>
    <w:rsid w:val="2A295CB5"/>
    <w:rsid w:val="2A5A6BEC"/>
    <w:rsid w:val="2A793FDB"/>
    <w:rsid w:val="2AF7199E"/>
    <w:rsid w:val="2B4F4435"/>
    <w:rsid w:val="2B663F2C"/>
    <w:rsid w:val="2C077E9A"/>
    <w:rsid w:val="2C087C79"/>
    <w:rsid w:val="2C654468"/>
    <w:rsid w:val="2C904D91"/>
    <w:rsid w:val="2C9F0AD4"/>
    <w:rsid w:val="2CAE4110"/>
    <w:rsid w:val="2CD33868"/>
    <w:rsid w:val="2D0A43F2"/>
    <w:rsid w:val="2D125596"/>
    <w:rsid w:val="2D276D50"/>
    <w:rsid w:val="2D7C10A3"/>
    <w:rsid w:val="2D916A25"/>
    <w:rsid w:val="2D9466D6"/>
    <w:rsid w:val="2E0A1B47"/>
    <w:rsid w:val="2E0C141F"/>
    <w:rsid w:val="2F6C0FAE"/>
    <w:rsid w:val="2F827538"/>
    <w:rsid w:val="2FFB285D"/>
    <w:rsid w:val="301C6CFC"/>
    <w:rsid w:val="30B43229"/>
    <w:rsid w:val="315F0EA4"/>
    <w:rsid w:val="317551FC"/>
    <w:rsid w:val="319F2F34"/>
    <w:rsid w:val="326A0AEA"/>
    <w:rsid w:val="32BC2893"/>
    <w:rsid w:val="32BE3EC9"/>
    <w:rsid w:val="32BF006B"/>
    <w:rsid w:val="332B356B"/>
    <w:rsid w:val="3398233A"/>
    <w:rsid w:val="33E86D07"/>
    <w:rsid w:val="34994051"/>
    <w:rsid w:val="34AF0322"/>
    <w:rsid w:val="35884451"/>
    <w:rsid w:val="35993D2A"/>
    <w:rsid w:val="361551B1"/>
    <w:rsid w:val="36F27457"/>
    <w:rsid w:val="370A51B6"/>
    <w:rsid w:val="3722734B"/>
    <w:rsid w:val="37334FD9"/>
    <w:rsid w:val="373750C2"/>
    <w:rsid w:val="374F5D82"/>
    <w:rsid w:val="37CE12B2"/>
    <w:rsid w:val="37E63674"/>
    <w:rsid w:val="37F339E4"/>
    <w:rsid w:val="382D3C54"/>
    <w:rsid w:val="38AC6EA0"/>
    <w:rsid w:val="393E53F1"/>
    <w:rsid w:val="39614819"/>
    <w:rsid w:val="396B6003"/>
    <w:rsid w:val="39BB7B31"/>
    <w:rsid w:val="39D15429"/>
    <w:rsid w:val="3A1B7E9B"/>
    <w:rsid w:val="3A2A0704"/>
    <w:rsid w:val="3A4D02E2"/>
    <w:rsid w:val="3AB476D3"/>
    <w:rsid w:val="3B0604E9"/>
    <w:rsid w:val="3B602B0E"/>
    <w:rsid w:val="3B7A12C8"/>
    <w:rsid w:val="3BC003DB"/>
    <w:rsid w:val="3BC635EC"/>
    <w:rsid w:val="3BD7675C"/>
    <w:rsid w:val="3BF15723"/>
    <w:rsid w:val="3BFA40F1"/>
    <w:rsid w:val="3BFB726C"/>
    <w:rsid w:val="3C5A6C66"/>
    <w:rsid w:val="3CE669D9"/>
    <w:rsid w:val="3D7C47C4"/>
    <w:rsid w:val="3E4720D1"/>
    <w:rsid w:val="3E9F615A"/>
    <w:rsid w:val="3EA27C39"/>
    <w:rsid w:val="3EAD5B11"/>
    <w:rsid w:val="3ECA6BFF"/>
    <w:rsid w:val="3F5A18E8"/>
    <w:rsid w:val="40B46769"/>
    <w:rsid w:val="40BE30C0"/>
    <w:rsid w:val="42321C1E"/>
    <w:rsid w:val="42A73996"/>
    <w:rsid w:val="42AD23EB"/>
    <w:rsid w:val="42C07070"/>
    <w:rsid w:val="42C83F9C"/>
    <w:rsid w:val="431A3981"/>
    <w:rsid w:val="4368196E"/>
    <w:rsid w:val="43BC50A8"/>
    <w:rsid w:val="43C1486E"/>
    <w:rsid w:val="44A87C01"/>
    <w:rsid w:val="44E95E3E"/>
    <w:rsid w:val="45F529BA"/>
    <w:rsid w:val="465D7BAD"/>
    <w:rsid w:val="47207BCC"/>
    <w:rsid w:val="47492123"/>
    <w:rsid w:val="47B41859"/>
    <w:rsid w:val="485E3C6F"/>
    <w:rsid w:val="48861524"/>
    <w:rsid w:val="48AF7251"/>
    <w:rsid w:val="49276ABE"/>
    <w:rsid w:val="494C3C7E"/>
    <w:rsid w:val="495D6428"/>
    <w:rsid w:val="49921C33"/>
    <w:rsid w:val="49A267E5"/>
    <w:rsid w:val="49D52D1C"/>
    <w:rsid w:val="4AA01157"/>
    <w:rsid w:val="4ABF19D8"/>
    <w:rsid w:val="4AF247D2"/>
    <w:rsid w:val="4B10102C"/>
    <w:rsid w:val="4B265D24"/>
    <w:rsid w:val="4B2C1A1B"/>
    <w:rsid w:val="4C3E7BCB"/>
    <w:rsid w:val="4C482ED3"/>
    <w:rsid w:val="4CAD062C"/>
    <w:rsid w:val="4D2B2BA3"/>
    <w:rsid w:val="4DAE32BE"/>
    <w:rsid w:val="4E5A017E"/>
    <w:rsid w:val="4E742CD5"/>
    <w:rsid w:val="4EAC7772"/>
    <w:rsid w:val="4EC84D9C"/>
    <w:rsid w:val="4F39042D"/>
    <w:rsid w:val="4F551CE7"/>
    <w:rsid w:val="4F853576"/>
    <w:rsid w:val="4FEE5C87"/>
    <w:rsid w:val="50A040B5"/>
    <w:rsid w:val="50D617D2"/>
    <w:rsid w:val="50F059DC"/>
    <w:rsid w:val="51102E22"/>
    <w:rsid w:val="5159263E"/>
    <w:rsid w:val="51973C00"/>
    <w:rsid w:val="524467C9"/>
    <w:rsid w:val="5257049D"/>
    <w:rsid w:val="525E634D"/>
    <w:rsid w:val="52942091"/>
    <w:rsid w:val="529B184C"/>
    <w:rsid w:val="52F77CB7"/>
    <w:rsid w:val="5358353B"/>
    <w:rsid w:val="53652342"/>
    <w:rsid w:val="536D407A"/>
    <w:rsid w:val="544E51A2"/>
    <w:rsid w:val="545D0DE2"/>
    <w:rsid w:val="5486108E"/>
    <w:rsid w:val="54936375"/>
    <w:rsid w:val="54A52404"/>
    <w:rsid w:val="54C0440A"/>
    <w:rsid w:val="54D9390C"/>
    <w:rsid w:val="550A7178"/>
    <w:rsid w:val="555235E5"/>
    <w:rsid w:val="55617305"/>
    <w:rsid w:val="560C2A91"/>
    <w:rsid w:val="569D5730"/>
    <w:rsid w:val="578B75A9"/>
    <w:rsid w:val="57EA0475"/>
    <w:rsid w:val="583C771D"/>
    <w:rsid w:val="58B24968"/>
    <w:rsid w:val="58CC0CF8"/>
    <w:rsid w:val="59800099"/>
    <w:rsid w:val="59A470D5"/>
    <w:rsid w:val="59D50DF6"/>
    <w:rsid w:val="5A964AEB"/>
    <w:rsid w:val="5A975A8F"/>
    <w:rsid w:val="5A9832B2"/>
    <w:rsid w:val="5ABB2A12"/>
    <w:rsid w:val="5AE05899"/>
    <w:rsid w:val="5AF637C0"/>
    <w:rsid w:val="5B48015A"/>
    <w:rsid w:val="5B632C90"/>
    <w:rsid w:val="5BC5380B"/>
    <w:rsid w:val="5BC96582"/>
    <w:rsid w:val="5C9D60DC"/>
    <w:rsid w:val="5D7A4816"/>
    <w:rsid w:val="5D8E33B2"/>
    <w:rsid w:val="5DC860B7"/>
    <w:rsid w:val="5DC920D2"/>
    <w:rsid w:val="5E1052DA"/>
    <w:rsid w:val="5E391F64"/>
    <w:rsid w:val="5E6B0954"/>
    <w:rsid w:val="5E7715ED"/>
    <w:rsid w:val="5EA95609"/>
    <w:rsid w:val="5EB75B18"/>
    <w:rsid w:val="5ECC434F"/>
    <w:rsid w:val="5ED33D5D"/>
    <w:rsid w:val="5ED832D9"/>
    <w:rsid w:val="5ED97D7B"/>
    <w:rsid w:val="5F073C73"/>
    <w:rsid w:val="60086695"/>
    <w:rsid w:val="609D7D0A"/>
    <w:rsid w:val="60AD40EB"/>
    <w:rsid w:val="60EC4392"/>
    <w:rsid w:val="610B6558"/>
    <w:rsid w:val="61423B6E"/>
    <w:rsid w:val="615A010E"/>
    <w:rsid w:val="61B16DCA"/>
    <w:rsid w:val="61BF7F28"/>
    <w:rsid w:val="61FA406C"/>
    <w:rsid w:val="62052A8A"/>
    <w:rsid w:val="622027AF"/>
    <w:rsid w:val="627506ED"/>
    <w:rsid w:val="62F75527"/>
    <w:rsid w:val="63442EDB"/>
    <w:rsid w:val="63F16E25"/>
    <w:rsid w:val="642C1F6D"/>
    <w:rsid w:val="644259A8"/>
    <w:rsid w:val="64BE1217"/>
    <w:rsid w:val="64E55C3D"/>
    <w:rsid w:val="657269AC"/>
    <w:rsid w:val="65A11702"/>
    <w:rsid w:val="65EF1E27"/>
    <w:rsid w:val="664520CD"/>
    <w:rsid w:val="66945BF4"/>
    <w:rsid w:val="66C3795B"/>
    <w:rsid w:val="6706769D"/>
    <w:rsid w:val="673A4CB7"/>
    <w:rsid w:val="6785605D"/>
    <w:rsid w:val="67E939FF"/>
    <w:rsid w:val="68091571"/>
    <w:rsid w:val="68175046"/>
    <w:rsid w:val="686D1C9E"/>
    <w:rsid w:val="68C90AE5"/>
    <w:rsid w:val="69A11A52"/>
    <w:rsid w:val="69AF32C6"/>
    <w:rsid w:val="6A174F13"/>
    <w:rsid w:val="6A2E6449"/>
    <w:rsid w:val="6A3570F8"/>
    <w:rsid w:val="6A543406"/>
    <w:rsid w:val="6B1250BA"/>
    <w:rsid w:val="6B7947D2"/>
    <w:rsid w:val="6B85230D"/>
    <w:rsid w:val="6B9B3257"/>
    <w:rsid w:val="6BE25A01"/>
    <w:rsid w:val="6C514A15"/>
    <w:rsid w:val="6CE23B3D"/>
    <w:rsid w:val="6D4A7A82"/>
    <w:rsid w:val="6D5415DC"/>
    <w:rsid w:val="6D683DC6"/>
    <w:rsid w:val="6DD259E4"/>
    <w:rsid w:val="6E305014"/>
    <w:rsid w:val="6E6D3AB3"/>
    <w:rsid w:val="6EA835A6"/>
    <w:rsid w:val="6EC929EE"/>
    <w:rsid w:val="6F214D14"/>
    <w:rsid w:val="6F216E5D"/>
    <w:rsid w:val="6FDE0957"/>
    <w:rsid w:val="706A1845"/>
    <w:rsid w:val="70A30942"/>
    <w:rsid w:val="70E35612"/>
    <w:rsid w:val="719F1BA6"/>
    <w:rsid w:val="71D81734"/>
    <w:rsid w:val="71DE1183"/>
    <w:rsid w:val="722065DC"/>
    <w:rsid w:val="72423B1C"/>
    <w:rsid w:val="72666FA4"/>
    <w:rsid w:val="73113FB8"/>
    <w:rsid w:val="73346403"/>
    <w:rsid w:val="73445229"/>
    <w:rsid w:val="738507EB"/>
    <w:rsid w:val="73C474D1"/>
    <w:rsid w:val="73F054A4"/>
    <w:rsid w:val="74113987"/>
    <w:rsid w:val="743365DD"/>
    <w:rsid w:val="74654B18"/>
    <w:rsid w:val="74AA21ED"/>
    <w:rsid w:val="7503611B"/>
    <w:rsid w:val="751F5930"/>
    <w:rsid w:val="75211A92"/>
    <w:rsid w:val="752F2E62"/>
    <w:rsid w:val="75303406"/>
    <w:rsid w:val="75454E14"/>
    <w:rsid w:val="757C0D69"/>
    <w:rsid w:val="764918BB"/>
    <w:rsid w:val="77883090"/>
    <w:rsid w:val="781B5A4C"/>
    <w:rsid w:val="78313BDE"/>
    <w:rsid w:val="78570186"/>
    <w:rsid w:val="787340D6"/>
    <w:rsid w:val="7882144D"/>
    <w:rsid w:val="78A33E52"/>
    <w:rsid w:val="7908112F"/>
    <w:rsid w:val="798331EB"/>
    <w:rsid w:val="79FF4BAB"/>
    <w:rsid w:val="7A3E7B3A"/>
    <w:rsid w:val="7A8F3C6D"/>
    <w:rsid w:val="7ACB4651"/>
    <w:rsid w:val="7B2426B6"/>
    <w:rsid w:val="7B51781F"/>
    <w:rsid w:val="7B53100D"/>
    <w:rsid w:val="7B8F6926"/>
    <w:rsid w:val="7BFC4018"/>
    <w:rsid w:val="7C73305C"/>
    <w:rsid w:val="7C802C23"/>
    <w:rsid w:val="7D6752B9"/>
    <w:rsid w:val="7D713BDE"/>
    <w:rsid w:val="7D996975"/>
    <w:rsid w:val="7D9F2CB2"/>
    <w:rsid w:val="7DD15113"/>
    <w:rsid w:val="7E7C6C10"/>
    <w:rsid w:val="7EA8172B"/>
    <w:rsid w:val="7F2A40AA"/>
    <w:rsid w:val="7F393652"/>
    <w:rsid w:val="7F3E1A0D"/>
    <w:rsid w:val="7F6D1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3" fillcolor="white">
      <v:fill color="white"/>
    </o:shapedefaults>
    <o:shapelayout v:ext="edit">
      <o:idmap v:ext="edit" data="2"/>
      <o:rules v:ext="edit">
        <o:r id="V:Rule1" type="connector" idref="#直接箭头连接符 139"/>
        <o:r id="V:Rule2" type="connector" idref="#直接箭头连接符 133"/>
        <o:r id="V:Rule3" type="connector" idref="#直接箭头连接符 137"/>
        <o:r id="V:Rule4" type="connector" idref="#直接箭头连接符 132"/>
        <o:r id="V:Rule5" type="connector" idref="#直接箭头连接符 130"/>
        <o:r id="V:Rule6" type="connector" idref="#直接箭头连接符 131"/>
        <o:r id="V:Rule7" type="connector" idref="#直接箭头连接符 129"/>
        <o:r id="V:Rule8" type="connector" idref="#直接箭头连接符 136"/>
      </o:rules>
    </o:shapelayout>
  </w:shapeDefaults>
  <w:decimalSymbol w:val="."/>
  <w:listSeparator w:val=","/>
  <w14:docId w14:val="22A81803"/>
  <w15:docId w15:val="{81764DCC-C181-4070-AC09-0ADD2DF6D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annotation text" w:semiHidden="1" w:qFormat="1"/>
    <w:lsdException w:name="header" w:qFormat="1"/>
    <w:lsdException w:name="footer" w:qFormat="1"/>
    <w:lsdException w:name="caption" w:semiHidden="1" w:unhideWhenUsed="1" w:qFormat="1"/>
    <w:lsdException w:name="annotation reference" w:semiHidden="1" w:qFormat="1"/>
    <w:lsdException w:name="page number" w:qFormat="1"/>
    <w:lsdException w:name="Title" w:qFormat="1"/>
    <w:lsdException w:name="Default Paragraph Font" w:semiHidden="1" w:uiPriority="1" w:unhideWhenUsed="1"/>
    <w:lsdException w:name="Body Text Indent" w:qFormat="1"/>
    <w:lsdException w:name="Subtitle" w:qFormat="1"/>
    <w:lsdException w:name="Body Text Indent 2"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3"/>
    <w:qFormat/>
    <w:rsid w:val="00BE76A0"/>
    <w:pPr>
      <w:widowControl w:val="0"/>
      <w:spacing w:line="360" w:lineRule="auto"/>
      <w:ind w:firstLineChars="200" w:firstLine="964"/>
      <w:jc w:val="both"/>
    </w:pPr>
    <w:rPr>
      <w:rFonts w:asciiTheme="minorHAnsi" w:eastAsiaTheme="minorEastAsia" w:hAnsiTheme="minorHAnsi" w:cstheme="minorBidi"/>
      <w:kern w:val="2"/>
      <w:sz w:val="24"/>
      <w:szCs w:val="24"/>
    </w:rPr>
  </w:style>
  <w:style w:type="paragraph" w:styleId="1">
    <w:name w:val="heading 1"/>
    <w:basedOn w:val="a"/>
    <w:next w:val="a"/>
    <w:link w:val="10"/>
    <w:qFormat/>
    <w:rsid w:val="00BE76A0"/>
    <w:pPr>
      <w:keepNext/>
      <w:keepLines/>
      <w:numPr>
        <w:numId w:val="1"/>
      </w:numPr>
      <w:spacing w:before="340" w:after="330" w:line="576" w:lineRule="auto"/>
      <w:ind w:left="0" w:firstLineChars="0" w:firstLine="0"/>
      <w:outlineLvl w:val="0"/>
    </w:pPr>
    <w:rPr>
      <w:rFonts w:ascii="Times New Roman" w:eastAsia="宋体" w:hAnsi="Times New Roman" w:cs="Times New Roman"/>
      <w:b/>
      <w:kern w:val="44"/>
      <w:sz w:val="48"/>
    </w:rPr>
  </w:style>
  <w:style w:type="paragraph" w:styleId="2">
    <w:name w:val="heading 2"/>
    <w:basedOn w:val="a"/>
    <w:next w:val="a"/>
    <w:link w:val="20"/>
    <w:unhideWhenUsed/>
    <w:qFormat/>
    <w:rsid w:val="00BE76A0"/>
    <w:pPr>
      <w:keepNext/>
      <w:keepLines/>
      <w:numPr>
        <w:ilvl w:val="1"/>
        <w:numId w:val="1"/>
      </w:numPr>
      <w:spacing w:before="260" w:after="260" w:line="413" w:lineRule="auto"/>
      <w:ind w:left="0" w:firstLineChars="0" w:firstLine="0"/>
      <w:outlineLvl w:val="1"/>
    </w:pPr>
    <w:rPr>
      <w:rFonts w:ascii="Arial" w:eastAsia="黑体" w:hAnsi="Arial"/>
      <w:b/>
      <w:sz w:val="32"/>
    </w:rPr>
  </w:style>
  <w:style w:type="paragraph" w:styleId="3">
    <w:name w:val="heading 3"/>
    <w:basedOn w:val="a"/>
    <w:next w:val="a"/>
    <w:link w:val="30"/>
    <w:unhideWhenUsed/>
    <w:qFormat/>
    <w:rsid w:val="00BE76A0"/>
    <w:pPr>
      <w:keepNext/>
      <w:keepLines/>
      <w:numPr>
        <w:ilvl w:val="2"/>
        <w:numId w:val="1"/>
      </w:numPr>
      <w:spacing w:before="260" w:after="260" w:line="413" w:lineRule="auto"/>
      <w:ind w:left="0" w:firstLineChars="0" w:firstLine="0"/>
      <w:outlineLvl w:val="2"/>
    </w:pPr>
    <w:rPr>
      <w:b/>
      <w:sz w:val="28"/>
    </w:rPr>
  </w:style>
  <w:style w:type="paragraph" w:styleId="4">
    <w:name w:val="heading 4"/>
    <w:basedOn w:val="a"/>
    <w:next w:val="a"/>
    <w:unhideWhenUsed/>
    <w:qFormat/>
    <w:rsid w:val="00BE76A0"/>
    <w:pPr>
      <w:keepNext/>
      <w:keepLines/>
      <w:numPr>
        <w:ilvl w:val="3"/>
        <w:numId w:val="1"/>
      </w:numPr>
      <w:spacing w:before="280" w:after="290" w:line="372" w:lineRule="auto"/>
      <w:ind w:left="0" w:firstLineChars="0" w:firstLine="0"/>
      <w:outlineLvl w:val="3"/>
    </w:pPr>
    <w:rPr>
      <w:rFonts w:ascii="Arial" w:eastAsia="黑体" w:hAnsi="Arial"/>
      <w:b/>
      <w:sz w:val="28"/>
    </w:rPr>
  </w:style>
  <w:style w:type="paragraph" w:styleId="5">
    <w:name w:val="heading 5"/>
    <w:basedOn w:val="a"/>
    <w:next w:val="a"/>
    <w:semiHidden/>
    <w:unhideWhenUsed/>
    <w:qFormat/>
    <w:rsid w:val="00BE76A0"/>
    <w:pPr>
      <w:keepNext/>
      <w:keepLines/>
      <w:numPr>
        <w:ilvl w:val="4"/>
        <w:numId w:val="1"/>
      </w:numPr>
      <w:spacing w:before="280" w:after="290" w:line="372" w:lineRule="auto"/>
      <w:ind w:firstLineChars="0" w:firstLine="0"/>
      <w:outlineLvl w:val="4"/>
    </w:pPr>
    <w:rPr>
      <w:b/>
      <w:sz w:val="28"/>
    </w:rPr>
  </w:style>
  <w:style w:type="paragraph" w:styleId="6">
    <w:name w:val="heading 6"/>
    <w:basedOn w:val="a"/>
    <w:next w:val="a"/>
    <w:semiHidden/>
    <w:unhideWhenUsed/>
    <w:qFormat/>
    <w:rsid w:val="00BE76A0"/>
    <w:pPr>
      <w:keepNext/>
      <w:keepLines/>
      <w:numPr>
        <w:ilvl w:val="5"/>
        <w:numId w:val="1"/>
      </w:numPr>
      <w:spacing w:before="240" w:after="64" w:line="317" w:lineRule="auto"/>
      <w:ind w:firstLineChars="0" w:firstLine="0"/>
      <w:outlineLvl w:val="5"/>
    </w:pPr>
    <w:rPr>
      <w:rFonts w:ascii="Arial" w:eastAsia="黑体" w:hAnsi="Arial"/>
      <w:b/>
    </w:rPr>
  </w:style>
  <w:style w:type="paragraph" w:styleId="7">
    <w:name w:val="heading 7"/>
    <w:basedOn w:val="a"/>
    <w:next w:val="a"/>
    <w:semiHidden/>
    <w:unhideWhenUsed/>
    <w:qFormat/>
    <w:rsid w:val="00BE76A0"/>
    <w:pPr>
      <w:keepNext/>
      <w:keepLines/>
      <w:numPr>
        <w:ilvl w:val="6"/>
        <w:numId w:val="1"/>
      </w:numPr>
      <w:spacing w:before="240" w:after="64" w:line="317" w:lineRule="auto"/>
      <w:ind w:firstLineChars="0" w:firstLine="0"/>
      <w:outlineLvl w:val="6"/>
    </w:pPr>
    <w:rPr>
      <w:b/>
    </w:rPr>
  </w:style>
  <w:style w:type="paragraph" w:styleId="8">
    <w:name w:val="heading 8"/>
    <w:basedOn w:val="a"/>
    <w:next w:val="a"/>
    <w:semiHidden/>
    <w:unhideWhenUsed/>
    <w:qFormat/>
    <w:rsid w:val="00BE76A0"/>
    <w:pPr>
      <w:keepNext/>
      <w:keepLines/>
      <w:numPr>
        <w:ilvl w:val="7"/>
        <w:numId w:val="1"/>
      </w:numPr>
      <w:spacing w:before="240" w:after="64" w:line="317" w:lineRule="auto"/>
      <w:ind w:firstLineChars="0" w:firstLine="0"/>
      <w:outlineLvl w:val="7"/>
    </w:pPr>
    <w:rPr>
      <w:rFonts w:ascii="Arial" w:eastAsia="黑体" w:hAnsi="Arial"/>
    </w:rPr>
  </w:style>
  <w:style w:type="paragraph" w:styleId="9">
    <w:name w:val="heading 9"/>
    <w:basedOn w:val="a"/>
    <w:next w:val="a"/>
    <w:semiHidden/>
    <w:unhideWhenUsed/>
    <w:qFormat/>
    <w:rsid w:val="00BE76A0"/>
    <w:pPr>
      <w:keepNext/>
      <w:keepLines/>
      <w:numPr>
        <w:ilvl w:val="8"/>
        <w:numId w:val="1"/>
      </w:numPr>
      <w:spacing w:before="240" w:after="64" w:line="317" w:lineRule="auto"/>
      <w:ind w:firstLineChars="0" w:firstLine="0"/>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rsid w:val="00BE76A0"/>
    <w:pPr>
      <w:adjustRightInd w:val="0"/>
      <w:spacing w:line="312" w:lineRule="auto"/>
      <w:ind w:firstLine="539"/>
      <w:textAlignment w:val="baseline"/>
    </w:pPr>
    <w:rPr>
      <w:rFonts w:eastAsia="仿宋_GB2312"/>
      <w:sz w:val="28"/>
      <w:szCs w:val="20"/>
    </w:rPr>
  </w:style>
  <w:style w:type="paragraph" w:styleId="a4">
    <w:name w:val="annotation text"/>
    <w:basedOn w:val="a"/>
    <w:link w:val="a5"/>
    <w:semiHidden/>
    <w:qFormat/>
    <w:rsid w:val="00BE76A0"/>
    <w:pPr>
      <w:jc w:val="left"/>
    </w:pPr>
  </w:style>
  <w:style w:type="paragraph" w:styleId="a6">
    <w:name w:val="Body Text Indent"/>
    <w:basedOn w:val="a"/>
    <w:qFormat/>
    <w:rsid w:val="00BE76A0"/>
    <w:pPr>
      <w:spacing w:afterLines="100" w:line="560" w:lineRule="atLeast"/>
      <w:ind w:firstLineChars="192" w:firstLine="538"/>
    </w:pPr>
    <w:rPr>
      <w:sz w:val="28"/>
    </w:rPr>
  </w:style>
  <w:style w:type="paragraph" w:styleId="a7">
    <w:name w:val="Plain Text"/>
    <w:basedOn w:val="a"/>
    <w:uiPriority w:val="99"/>
    <w:qFormat/>
    <w:rsid w:val="00BE76A0"/>
    <w:rPr>
      <w:spacing w:val="8"/>
      <w:szCs w:val="20"/>
    </w:rPr>
  </w:style>
  <w:style w:type="paragraph" w:styleId="21">
    <w:name w:val="Body Text Indent 2"/>
    <w:basedOn w:val="a"/>
    <w:qFormat/>
    <w:rsid w:val="00BE76A0"/>
    <w:pPr>
      <w:spacing w:after="120" w:line="480" w:lineRule="auto"/>
      <w:ind w:leftChars="200" w:left="420"/>
    </w:pPr>
  </w:style>
  <w:style w:type="paragraph" w:styleId="a8">
    <w:name w:val="Balloon Text"/>
    <w:basedOn w:val="a"/>
    <w:link w:val="a9"/>
    <w:qFormat/>
    <w:rsid w:val="00BE76A0"/>
    <w:pPr>
      <w:spacing w:line="240" w:lineRule="auto"/>
    </w:pPr>
    <w:rPr>
      <w:sz w:val="18"/>
      <w:szCs w:val="18"/>
    </w:rPr>
  </w:style>
  <w:style w:type="paragraph" w:styleId="aa">
    <w:name w:val="footer"/>
    <w:basedOn w:val="a"/>
    <w:qFormat/>
    <w:rsid w:val="00BE76A0"/>
    <w:pPr>
      <w:tabs>
        <w:tab w:val="center" w:pos="4153"/>
        <w:tab w:val="right" w:pos="8306"/>
      </w:tabs>
      <w:snapToGrid w:val="0"/>
      <w:jc w:val="left"/>
    </w:pPr>
    <w:rPr>
      <w:rFonts w:eastAsia="宋体"/>
      <w:sz w:val="18"/>
      <w:szCs w:val="18"/>
    </w:rPr>
  </w:style>
  <w:style w:type="paragraph" w:styleId="ab">
    <w:name w:val="header"/>
    <w:basedOn w:val="a"/>
    <w:qFormat/>
    <w:rsid w:val="00BE76A0"/>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c">
    <w:name w:val="Normal (Web)"/>
    <w:basedOn w:val="a"/>
    <w:qFormat/>
    <w:rsid w:val="00BE76A0"/>
    <w:pPr>
      <w:spacing w:beforeAutospacing="1" w:afterAutospacing="1"/>
      <w:jc w:val="left"/>
    </w:pPr>
    <w:rPr>
      <w:rFonts w:cs="Times New Roman"/>
      <w:kern w:val="0"/>
    </w:rPr>
  </w:style>
  <w:style w:type="paragraph" w:styleId="ad">
    <w:name w:val="annotation subject"/>
    <w:basedOn w:val="a4"/>
    <w:next w:val="a4"/>
    <w:link w:val="ae"/>
    <w:qFormat/>
    <w:rsid w:val="00BE76A0"/>
    <w:rPr>
      <w:b/>
      <w:bCs/>
    </w:rPr>
  </w:style>
  <w:style w:type="table" w:styleId="af">
    <w:name w:val="Table Grid"/>
    <w:basedOn w:val="a1"/>
    <w:qFormat/>
    <w:rsid w:val="00BE76A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rsid w:val="00BE76A0"/>
  </w:style>
  <w:style w:type="character" w:styleId="af1">
    <w:name w:val="annotation reference"/>
    <w:basedOn w:val="a0"/>
    <w:semiHidden/>
    <w:qFormat/>
    <w:rsid w:val="00BE76A0"/>
    <w:rPr>
      <w:sz w:val="21"/>
      <w:szCs w:val="21"/>
    </w:rPr>
  </w:style>
  <w:style w:type="paragraph" w:customStyle="1" w:styleId="Char">
    <w:name w:val="Char"/>
    <w:basedOn w:val="a"/>
    <w:qFormat/>
    <w:rsid w:val="00BE76A0"/>
    <w:pPr>
      <w:keepNext/>
      <w:keepLines/>
      <w:jc w:val="left"/>
    </w:pPr>
    <w:rPr>
      <w:rFonts w:ascii="Tahoma" w:hAnsi="Tahoma"/>
      <w:b/>
      <w:sz w:val="30"/>
      <w:szCs w:val="20"/>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
    <w:qFormat/>
    <w:rsid w:val="00BE76A0"/>
    <w:pPr>
      <w:widowControl/>
      <w:ind w:firstLine="200"/>
      <w:jc w:val="left"/>
    </w:pPr>
  </w:style>
  <w:style w:type="paragraph" w:customStyle="1" w:styleId="Default">
    <w:name w:val="Default"/>
    <w:uiPriority w:val="99"/>
    <w:unhideWhenUsed/>
    <w:qFormat/>
    <w:rsid w:val="00BE76A0"/>
    <w:pPr>
      <w:widowControl w:val="0"/>
      <w:autoSpaceDE w:val="0"/>
      <w:autoSpaceDN w:val="0"/>
      <w:adjustRightInd w:val="0"/>
    </w:pPr>
    <w:rPr>
      <w:rFonts w:ascii="宋体" w:hAnsi="宋体" w:hint="eastAsia"/>
      <w:color w:val="000000"/>
      <w:sz w:val="24"/>
    </w:rPr>
  </w:style>
  <w:style w:type="character" w:customStyle="1" w:styleId="20">
    <w:name w:val="标题 2 字符"/>
    <w:link w:val="2"/>
    <w:qFormat/>
    <w:rsid w:val="00BE76A0"/>
    <w:rPr>
      <w:rFonts w:ascii="Arial" w:eastAsia="黑体" w:hAnsi="Arial"/>
      <w:b/>
      <w:sz w:val="32"/>
    </w:rPr>
  </w:style>
  <w:style w:type="character" w:customStyle="1" w:styleId="10">
    <w:name w:val="标题 1 字符"/>
    <w:link w:val="1"/>
    <w:qFormat/>
    <w:rsid w:val="00BE76A0"/>
    <w:rPr>
      <w:rFonts w:ascii="Times New Roman" w:eastAsia="宋体" w:hAnsi="Times New Roman" w:cs="Times New Roman"/>
      <w:b/>
      <w:kern w:val="44"/>
      <w:sz w:val="48"/>
    </w:rPr>
  </w:style>
  <w:style w:type="character" w:customStyle="1" w:styleId="30">
    <w:name w:val="标题 3 字符"/>
    <w:link w:val="3"/>
    <w:qFormat/>
    <w:rsid w:val="00BE76A0"/>
    <w:rPr>
      <w:rFonts w:asciiTheme="minorHAnsi" w:eastAsiaTheme="minorEastAsia" w:hAnsiTheme="minorHAnsi"/>
      <w:b/>
      <w:sz w:val="28"/>
    </w:rPr>
  </w:style>
  <w:style w:type="paragraph" w:customStyle="1" w:styleId="L4">
    <w:name w:val="L标题4"/>
    <w:basedOn w:val="a"/>
    <w:next w:val="a"/>
    <w:qFormat/>
    <w:rsid w:val="00BE76A0"/>
    <w:pPr>
      <w:keepNext/>
      <w:adjustRightInd w:val="0"/>
      <w:snapToGrid w:val="0"/>
      <w:spacing w:beforeLines="10" w:afterLines="10"/>
      <w:ind w:firstLine="562"/>
      <w:jc w:val="left"/>
      <w:outlineLvl w:val="3"/>
    </w:pPr>
    <w:rPr>
      <w:rFonts w:eastAsia="黑体"/>
      <w:b/>
      <w:bCs/>
      <w:snapToGrid w:val="0"/>
      <w:kern w:val="0"/>
      <w:sz w:val="28"/>
      <w:szCs w:val="28"/>
    </w:rPr>
  </w:style>
  <w:style w:type="paragraph" w:customStyle="1" w:styleId="22">
    <w:name w:val="样式 报告书正文 + 首行缩进:  2 字符"/>
    <w:basedOn w:val="a"/>
    <w:qFormat/>
    <w:rsid w:val="00BE76A0"/>
    <w:pPr>
      <w:ind w:firstLine="480"/>
    </w:pPr>
    <w:rPr>
      <w:rFonts w:cs="宋体"/>
      <w:szCs w:val="20"/>
    </w:rPr>
  </w:style>
  <w:style w:type="paragraph" w:customStyle="1" w:styleId="p0">
    <w:name w:val="p0"/>
    <w:basedOn w:val="a"/>
    <w:qFormat/>
    <w:rsid w:val="00BE76A0"/>
    <w:pPr>
      <w:widowControl/>
      <w:spacing w:line="500" w:lineRule="atLeast"/>
      <w:ind w:firstLine="420"/>
    </w:pPr>
    <w:rPr>
      <w:rFonts w:ascii="长城黑体" w:eastAsia="长城黑体" w:hAnsi="宋体" w:cs="宋体"/>
      <w:kern w:val="0"/>
    </w:rPr>
  </w:style>
  <w:style w:type="paragraph" w:customStyle="1" w:styleId="af2">
    <w:name w:val="表格五号"/>
    <w:basedOn w:val="a"/>
    <w:qFormat/>
    <w:rsid w:val="00BE76A0"/>
    <w:pPr>
      <w:tabs>
        <w:tab w:val="right" w:pos="8814"/>
      </w:tabs>
      <w:suppressAutoHyphens/>
      <w:snapToGrid w:val="0"/>
      <w:jc w:val="center"/>
    </w:pPr>
    <w:rPr>
      <w:color w:val="000000"/>
      <w:kern w:val="0"/>
      <w:szCs w:val="21"/>
    </w:rPr>
  </w:style>
  <w:style w:type="character" w:customStyle="1" w:styleId="font51">
    <w:name w:val="font51"/>
    <w:basedOn w:val="a0"/>
    <w:qFormat/>
    <w:rsid w:val="00BE76A0"/>
    <w:rPr>
      <w:rFonts w:ascii="宋体" w:eastAsia="宋体" w:hAnsi="宋体" w:cs="宋体" w:hint="eastAsia"/>
      <w:color w:val="000000"/>
      <w:sz w:val="21"/>
      <w:szCs w:val="21"/>
      <w:u w:val="none"/>
    </w:rPr>
  </w:style>
  <w:style w:type="character" w:customStyle="1" w:styleId="font61">
    <w:name w:val="font61"/>
    <w:basedOn w:val="a0"/>
    <w:qFormat/>
    <w:rsid w:val="00BE76A0"/>
    <w:rPr>
      <w:rFonts w:ascii="宋体" w:eastAsia="宋体" w:hAnsi="宋体" w:cs="宋体" w:hint="eastAsia"/>
      <w:color w:val="000000"/>
      <w:sz w:val="21"/>
      <w:szCs w:val="21"/>
      <w:u w:val="none"/>
    </w:rPr>
  </w:style>
  <w:style w:type="character" w:customStyle="1" w:styleId="font81">
    <w:name w:val="font81"/>
    <w:basedOn w:val="a0"/>
    <w:qFormat/>
    <w:rsid w:val="00BE76A0"/>
    <w:rPr>
      <w:rFonts w:ascii="Calibri" w:hAnsi="Calibri" w:cs="Calibri" w:hint="default"/>
      <w:color w:val="000000"/>
      <w:sz w:val="21"/>
      <w:szCs w:val="21"/>
      <w:u w:val="none"/>
    </w:rPr>
  </w:style>
  <w:style w:type="character" w:customStyle="1" w:styleId="font71">
    <w:name w:val="font71"/>
    <w:basedOn w:val="a0"/>
    <w:qFormat/>
    <w:rsid w:val="00BE76A0"/>
    <w:rPr>
      <w:rFonts w:ascii="宋体" w:eastAsia="宋体" w:hAnsi="宋体" w:cs="宋体" w:hint="eastAsia"/>
      <w:color w:val="000000"/>
      <w:sz w:val="21"/>
      <w:szCs w:val="21"/>
      <w:u w:val="none"/>
    </w:rPr>
  </w:style>
  <w:style w:type="character" w:customStyle="1" w:styleId="font101">
    <w:name w:val="font101"/>
    <w:basedOn w:val="a0"/>
    <w:qFormat/>
    <w:rsid w:val="00BE76A0"/>
    <w:rPr>
      <w:rFonts w:ascii="Calibri" w:hAnsi="Calibri" w:cs="Calibri" w:hint="default"/>
      <w:color w:val="FF0000"/>
      <w:sz w:val="21"/>
      <w:szCs w:val="21"/>
      <w:u w:val="none"/>
    </w:rPr>
  </w:style>
  <w:style w:type="character" w:customStyle="1" w:styleId="font91">
    <w:name w:val="font91"/>
    <w:basedOn w:val="a0"/>
    <w:qFormat/>
    <w:rsid w:val="00BE76A0"/>
    <w:rPr>
      <w:rFonts w:ascii="宋体" w:eastAsia="宋体" w:hAnsi="宋体" w:cs="宋体" w:hint="eastAsia"/>
      <w:color w:val="FF0000"/>
      <w:sz w:val="21"/>
      <w:szCs w:val="21"/>
      <w:u w:val="none"/>
    </w:rPr>
  </w:style>
  <w:style w:type="paragraph" w:customStyle="1" w:styleId="50">
    <w:name w:val="样式5"/>
    <w:basedOn w:val="a"/>
    <w:qFormat/>
    <w:rsid w:val="00BE76A0"/>
    <w:pPr>
      <w:snapToGrid w:val="0"/>
      <w:ind w:firstLine="510"/>
    </w:pPr>
  </w:style>
  <w:style w:type="paragraph" w:customStyle="1" w:styleId="af3">
    <w:name w:val="表"/>
    <w:basedOn w:val="a"/>
    <w:next w:val="a3"/>
    <w:qFormat/>
    <w:rsid w:val="00BE76A0"/>
    <w:pPr>
      <w:adjustRightInd w:val="0"/>
      <w:spacing w:before="120"/>
      <w:jc w:val="center"/>
    </w:pPr>
    <w:rPr>
      <w:rFonts w:ascii="宋体"/>
      <w:szCs w:val="20"/>
    </w:rPr>
  </w:style>
  <w:style w:type="character" w:customStyle="1" w:styleId="font21">
    <w:name w:val="font21"/>
    <w:basedOn w:val="a0"/>
    <w:qFormat/>
    <w:rsid w:val="00BE76A0"/>
    <w:rPr>
      <w:rFonts w:ascii="Times New Roman" w:hAnsi="Times New Roman" w:cs="Times New Roman" w:hint="default"/>
      <w:color w:val="000000"/>
      <w:sz w:val="20"/>
      <w:szCs w:val="20"/>
      <w:u w:val="none"/>
    </w:rPr>
  </w:style>
  <w:style w:type="paragraph" w:customStyle="1" w:styleId="WPSOffice1">
    <w:name w:val="WPSOffice手动目录 1"/>
    <w:qFormat/>
    <w:rsid w:val="00BE76A0"/>
  </w:style>
  <w:style w:type="paragraph" w:customStyle="1" w:styleId="WPSOffice2">
    <w:name w:val="WPSOffice手动目录 2"/>
    <w:qFormat/>
    <w:rsid w:val="00BE76A0"/>
    <w:pPr>
      <w:ind w:leftChars="200" w:left="200"/>
    </w:pPr>
  </w:style>
  <w:style w:type="paragraph" w:customStyle="1" w:styleId="WPSOffice3">
    <w:name w:val="WPSOffice手动目录 3"/>
    <w:qFormat/>
    <w:rsid w:val="00BE76A0"/>
    <w:pPr>
      <w:ind w:leftChars="400" w:left="400"/>
    </w:pPr>
  </w:style>
  <w:style w:type="paragraph" w:customStyle="1" w:styleId="01">
    <w:name w:val="正文01"/>
    <w:basedOn w:val="a"/>
    <w:qFormat/>
    <w:rsid w:val="00BE76A0"/>
    <w:pPr>
      <w:spacing w:before="60" w:line="460" w:lineRule="exact"/>
    </w:pPr>
    <w:rPr>
      <w:bCs/>
    </w:rPr>
  </w:style>
  <w:style w:type="paragraph" w:customStyle="1" w:styleId="51">
    <w:name w:val="正文文本5"/>
    <w:basedOn w:val="a"/>
    <w:qFormat/>
    <w:rsid w:val="00BE76A0"/>
    <w:pPr>
      <w:widowControl/>
      <w:shd w:val="clear" w:color="auto" w:fill="FFFFFF"/>
      <w:spacing w:before="480" w:line="466" w:lineRule="exact"/>
    </w:pPr>
    <w:rPr>
      <w:rFonts w:ascii="MingLiU" w:eastAsia="MingLiU" w:hAnsi="MingLiU"/>
      <w:spacing w:val="10"/>
      <w:kern w:val="0"/>
      <w:sz w:val="21"/>
      <w:szCs w:val="21"/>
    </w:rPr>
  </w:style>
  <w:style w:type="table" w:customStyle="1" w:styleId="11">
    <w:name w:val="网格型1"/>
    <w:basedOn w:val="a1"/>
    <w:uiPriority w:val="99"/>
    <w:unhideWhenUsed/>
    <w:qFormat/>
    <w:rsid w:val="00BE76A0"/>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批注框文本 字符"/>
    <w:basedOn w:val="a0"/>
    <w:link w:val="a8"/>
    <w:qFormat/>
    <w:rsid w:val="00BE76A0"/>
    <w:rPr>
      <w:rFonts w:asciiTheme="minorHAnsi" w:eastAsiaTheme="minorEastAsia" w:hAnsiTheme="minorHAnsi" w:cstheme="minorBidi"/>
      <w:kern w:val="2"/>
      <w:sz w:val="18"/>
      <w:szCs w:val="18"/>
    </w:rPr>
  </w:style>
  <w:style w:type="character" w:customStyle="1" w:styleId="a5">
    <w:name w:val="批注文字 字符"/>
    <w:basedOn w:val="a0"/>
    <w:link w:val="a4"/>
    <w:semiHidden/>
    <w:qFormat/>
    <w:rsid w:val="00BE76A0"/>
    <w:rPr>
      <w:rFonts w:asciiTheme="minorHAnsi" w:eastAsiaTheme="minorEastAsia" w:hAnsiTheme="minorHAnsi" w:cstheme="minorBidi"/>
      <w:kern w:val="2"/>
      <w:sz w:val="24"/>
      <w:szCs w:val="24"/>
    </w:rPr>
  </w:style>
  <w:style w:type="character" w:customStyle="1" w:styleId="ae">
    <w:name w:val="批注主题 字符"/>
    <w:basedOn w:val="a5"/>
    <w:link w:val="ad"/>
    <w:qFormat/>
    <w:rsid w:val="00BE76A0"/>
    <w:rPr>
      <w:rFonts w:asciiTheme="minorHAnsi" w:eastAsiaTheme="minorEastAsia" w:hAnsiTheme="minorHAnsi" w:cstheme="minorBidi"/>
      <w:b/>
      <w:bCs/>
      <w:kern w:val="2"/>
      <w:sz w:val="24"/>
      <w:szCs w:val="24"/>
    </w:rPr>
  </w:style>
  <w:style w:type="paragraph" w:customStyle="1" w:styleId="af4">
    <w:name w:val="！正文"/>
    <w:basedOn w:val="a"/>
    <w:qFormat/>
    <w:rsid w:val="00BE76A0"/>
    <w:pPr>
      <w:spacing w:line="500" w:lineRule="exact"/>
      <w:ind w:firstLine="200"/>
    </w:pPr>
  </w:style>
  <w:style w:type="paragraph" w:customStyle="1" w:styleId="1111">
    <w:name w:val="1.1.1.1二级标题"/>
    <w:basedOn w:val="a"/>
    <w:qFormat/>
    <w:rsid w:val="00BE76A0"/>
    <w:pPr>
      <w:spacing w:beforeLines="50"/>
      <w:outlineLvl w:val="3"/>
    </w:pPr>
    <w:rPr>
      <w:rFonts w:ascii="宋体" w:hAnsi="宋体"/>
      <w:b/>
      <w:szCs w:val="20"/>
    </w:rPr>
  </w:style>
  <w:style w:type="paragraph" w:customStyle="1" w:styleId="B">
    <w:name w:val="B图表标题"/>
    <w:basedOn w:val="a"/>
    <w:next w:val="21"/>
    <w:qFormat/>
    <w:rsid w:val="00BE76A0"/>
    <w:pPr>
      <w:widowControl/>
      <w:adjustRightInd w:val="0"/>
      <w:snapToGrid w:val="0"/>
      <w:jc w:val="center"/>
    </w:pPr>
    <w:rPr>
      <w:b/>
      <w:snapToGrid w:val="0"/>
      <w:color w:val="000000"/>
      <w:kern w:val="0"/>
      <w:szCs w:val="28"/>
    </w:rPr>
  </w:style>
  <w:style w:type="paragraph" w:customStyle="1" w:styleId="B0">
    <w:name w:val="B表内字"/>
    <w:basedOn w:val="a"/>
    <w:qFormat/>
    <w:rsid w:val="00BE76A0"/>
    <w:pPr>
      <w:widowControl/>
      <w:jc w:val="center"/>
    </w:pPr>
    <w:rPr>
      <w:rFonts w:cs="宋体"/>
      <w:kern w:val="0"/>
    </w:rPr>
  </w:style>
  <w:style w:type="character" w:customStyle="1" w:styleId="font41">
    <w:name w:val="font41"/>
    <w:basedOn w:val="a0"/>
    <w:qFormat/>
    <w:rsid w:val="00BE76A0"/>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3.wmf"/><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oleObject" Target="embeddings/oleObject3.bin"/><Relationship Id="rId47" Type="http://schemas.openxmlformats.org/officeDocument/2006/relationships/oleObject" Target="embeddings/oleObject6.bin"/><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w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1.bin"/><Relationship Id="rId46" Type="http://schemas.openxmlformats.org/officeDocument/2006/relationships/image" Target="media/image26.wm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oleObject" Target="embeddings/oleObject2.bin"/><Relationship Id="rId45"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wmf"/><Relationship Id="rId48" Type="http://schemas.openxmlformats.org/officeDocument/2006/relationships/fontTable" Target="fontTable.xml"/><Relationship Id="rId8"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1d43d7d-185c-4a58-9018-253aabc6766e}"/>
        <w:category>
          <w:name w:val="常规"/>
          <w:gallery w:val="placeholder"/>
        </w:category>
        <w:types>
          <w:type w:val="bbPlcHdr"/>
        </w:types>
        <w:behaviors>
          <w:behavior w:val="content"/>
        </w:behaviors>
        <w:guid w:val="{81D43D7D-185C-4A58-9018-253AABC6766E}"/>
      </w:docPartPr>
      <w:docPartBody>
        <w:p w:rsidR="00F71315" w:rsidRDefault="00A82D09">
          <w:pPr>
            <w:rPr>
              <w:rFonts w:hint="eastAsia"/>
            </w:rPr>
          </w:pPr>
          <w:r>
            <w:rPr>
              <w:color w:val="808080"/>
            </w:rPr>
            <w:t>单击此处输入文字。</w:t>
          </w:r>
        </w:p>
      </w:docPartBody>
    </w:docPart>
    <w:docPart>
      <w:docPartPr>
        <w:name w:val="{3986b766-d04c-4b7c-bd0f-a1af59c9fe08}"/>
        <w:category>
          <w:name w:val="常规"/>
          <w:gallery w:val="placeholder"/>
        </w:category>
        <w:types>
          <w:type w:val="bbPlcHdr"/>
        </w:types>
        <w:behaviors>
          <w:behavior w:val="content"/>
        </w:behaviors>
        <w:guid w:val="{3986B766-D04C-4B7C-BD0F-A1AF59C9FE08}"/>
      </w:docPartPr>
      <w:docPartBody>
        <w:p w:rsidR="00F71315" w:rsidRDefault="00A82D09">
          <w:pPr>
            <w:rPr>
              <w:rFonts w:hint="eastAsia"/>
            </w:rPr>
          </w:pPr>
          <w:r>
            <w:rPr>
              <w:color w:val="808080"/>
            </w:rPr>
            <w:t>单击此处输入文字。</w:t>
          </w:r>
        </w:p>
      </w:docPartBody>
    </w:docPart>
    <w:docPart>
      <w:docPartPr>
        <w:name w:val="{7058412c-cec1-4967-a9a8-56c285dc31b5}"/>
        <w:category>
          <w:name w:val="常规"/>
          <w:gallery w:val="placeholder"/>
        </w:category>
        <w:types>
          <w:type w:val="bbPlcHdr"/>
        </w:types>
        <w:behaviors>
          <w:behavior w:val="content"/>
        </w:behaviors>
        <w:guid w:val="{7058412C-CEC1-4967-A9A8-56C285DC31B5}"/>
      </w:docPartPr>
      <w:docPartBody>
        <w:p w:rsidR="00F71315" w:rsidRDefault="00A82D09">
          <w:pPr>
            <w:rPr>
              <w:rFonts w:hint="eastAsia"/>
            </w:rPr>
          </w:pPr>
          <w:r>
            <w:rPr>
              <w:color w:val="808080"/>
            </w:rPr>
            <w:t>单击此处输入文字。</w:t>
          </w:r>
        </w:p>
      </w:docPartBody>
    </w:docPart>
    <w:docPart>
      <w:docPartPr>
        <w:name w:val="{555c3755-d2dd-4cfb-b71f-62a28c8ffc39}"/>
        <w:category>
          <w:name w:val="常规"/>
          <w:gallery w:val="placeholder"/>
        </w:category>
        <w:types>
          <w:type w:val="bbPlcHdr"/>
        </w:types>
        <w:behaviors>
          <w:behavior w:val="content"/>
        </w:behaviors>
        <w:guid w:val="{555C3755-D2DD-4CFB-B71F-62A28C8FFC39}"/>
      </w:docPartPr>
      <w:docPartBody>
        <w:p w:rsidR="00F71315" w:rsidRDefault="00A82D09">
          <w:pPr>
            <w:rPr>
              <w:rFonts w:hint="eastAsia"/>
            </w:rPr>
          </w:pPr>
          <w:r>
            <w:rPr>
              <w:color w:val="808080"/>
            </w:rPr>
            <w:t>单击此处输入文字。</w:t>
          </w:r>
        </w:p>
      </w:docPartBody>
    </w:docPart>
    <w:docPart>
      <w:docPartPr>
        <w:name w:val="{eb12392d-f516-42ff-9bd2-f9d12238d5d8}"/>
        <w:category>
          <w:name w:val="常规"/>
          <w:gallery w:val="placeholder"/>
        </w:category>
        <w:types>
          <w:type w:val="bbPlcHdr"/>
        </w:types>
        <w:behaviors>
          <w:behavior w:val="content"/>
        </w:behaviors>
        <w:guid w:val="{EB12392D-F516-42FF-9BD2-F9D12238D5D8}"/>
      </w:docPartPr>
      <w:docPartBody>
        <w:p w:rsidR="00F71315" w:rsidRDefault="00A82D09">
          <w:pPr>
            <w:rPr>
              <w:rFonts w:hint="eastAsia"/>
            </w:rPr>
          </w:pPr>
          <w:r>
            <w:rPr>
              <w:color w:val="808080"/>
            </w:rPr>
            <w:t>单击此处输入文字。</w:t>
          </w:r>
        </w:p>
      </w:docPartBody>
    </w:docPart>
    <w:docPart>
      <w:docPartPr>
        <w:name w:val="{0908ca7e-45fc-4ffb-a531-bcd6310e5be7}"/>
        <w:category>
          <w:name w:val="常规"/>
          <w:gallery w:val="placeholder"/>
        </w:category>
        <w:types>
          <w:type w:val="bbPlcHdr"/>
        </w:types>
        <w:behaviors>
          <w:behavior w:val="content"/>
        </w:behaviors>
        <w:guid w:val="{0908CA7E-45FC-4FFB-A531-BCD6310E5BE7}"/>
      </w:docPartPr>
      <w:docPartBody>
        <w:p w:rsidR="00F71315" w:rsidRDefault="00A82D09">
          <w:pPr>
            <w:rPr>
              <w:rFonts w:hint="eastAsia"/>
            </w:rPr>
          </w:pPr>
          <w:r>
            <w:rPr>
              <w:color w:val="808080"/>
            </w:rPr>
            <w:t>单击此处输入文字。</w:t>
          </w:r>
        </w:p>
      </w:docPartBody>
    </w:docPart>
    <w:docPart>
      <w:docPartPr>
        <w:name w:val="{8cd39ddb-fe13-447a-a155-ca33af4595aa}"/>
        <w:category>
          <w:name w:val="常规"/>
          <w:gallery w:val="placeholder"/>
        </w:category>
        <w:types>
          <w:type w:val="bbPlcHdr"/>
        </w:types>
        <w:behaviors>
          <w:behavior w:val="content"/>
        </w:behaviors>
        <w:guid w:val="{8CD39DDB-FE13-447A-A155-CA33AF4595AA}"/>
      </w:docPartPr>
      <w:docPartBody>
        <w:p w:rsidR="00F71315" w:rsidRDefault="00A82D09">
          <w:pPr>
            <w:rPr>
              <w:rFonts w:hint="eastAsia"/>
            </w:rPr>
          </w:pPr>
          <w:r>
            <w:rPr>
              <w:color w:val="808080"/>
            </w:rPr>
            <w:t>单击此处输入文字。</w:t>
          </w:r>
        </w:p>
      </w:docPartBody>
    </w:docPart>
    <w:docPart>
      <w:docPartPr>
        <w:name w:val="{e29eed1a-f00a-4f50-b1cc-baec2e7eedfe}"/>
        <w:category>
          <w:name w:val="常规"/>
          <w:gallery w:val="placeholder"/>
        </w:category>
        <w:types>
          <w:type w:val="bbPlcHdr"/>
        </w:types>
        <w:behaviors>
          <w:behavior w:val="content"/>
        </w:behaviors>
        <w:guid w:val="{E29EED1A-F00A-4F50-B1CC-BAEC2E7EEDFE}"/>
      </w:docPartPr>
      <w:docPartBody>
        <w:p w:rsidR="00F71315" w:rsidRDefault="00A82D09">
          <w:pPr>
            <w:rPr>
              <w:rFonts w:hint="eastAsia"/>
            </w:rPr>
          </w:pPr>
          <w:r>
            <w:rPr>
              <w:color w:val="808080"/>
            </w:rPr>
            <w:t>单击此处输入文字。</w:t>
          </w:r>
        </w:p>
      </w:docPartBody>
    </w:docPart>
    <w:docPart>
      <w:docPartPr>
        <w:name w:val="{9732fc75-d2d7-4f34-9629-9eae44121f4b}"/>
        <w:category>
          <w:name w:val="常规"/>
          <w:gallery w:val="placeholder"/>
        </w:category>
        <w:types>
          <w:type w:val="bbPlcHdr"/>
        </w:types>
        <w:behaviors>
          <w:behavior w:val="content"/>
        </w:behaviors>
        <w:guid w:val="{9732FC75-D2D7-4F34-9629-9EAE44121F4B}"/>
      </w:docPartPr>
      <w:docPartBody>
        <w:p w:rsidR="00F71315" w:rsidRDefault="00A82D09">
          <w:pPr>
            <w:rPr>
              <w:rFonts w:hint="eastAsia"/>
            </w:rPr>
          </w:pPr>
          <w:r>
            <w:rPr>
              <w:color w:val="808080"/>
            </w:rPr>
            <w:t>单击此处输入文字。</w:t>
          </w:r>
        </w:p>
      </w:docPartBody>
    </w:docPart>
    <w:docPart>
      <w:docPartPr>
        <w:name w:val="{c8a51639-01dd-4e15-9fa6-3c4aecd99547}"/>
        <w:category>
          <w:name w:val="常规"/>
          <w:gallery w:val="placeholder"/>
        </w:category>
        <w:types>
          <w:type w:val="bbPlcHdr"/>
        </w:types>
        <w:behaviors>
          <w:behavior w:val="content"/>
        </w:behaviors>
        <w:guid w:val="{C8A51639-01DD-4E15-9FA6-3C4AECD99547}"/>
      </w:docPartPr>
      <w:docPartBody>
        <w:p w:rsidR="00F71315" w:rsidRDefault="00A82D09">
          <w:pPr>
            <w:rPr>
              <w:rFonts w:hint="eastAsia"/>
            </w:rPr>
          </w:pPr>
          <w:r>
            <w:rPr>
              <w:color w:val="808080"/>
            </w:rPr>
            <w:t>单击此处输入文字。</w:t>
          </w:r>
        </w:p>
      </w:docPartBody>
    </w:docPart>
    <w:docPart>
      <w:docPartPr>
        <w:name w:val="{094eef9c-4b9c-4313-83b7-47605d0abe82}"/>
        <w:category>
          <w:name w:val="常规"/>
          <w:gallery w:val="placeholder"/>
        </w:category>
        <w:types>
          <w:type w:val="bbPlcHdr"/>
        </w:types>
        <w:behaviors>
          <w:behavior w:val="content"/>
        </w:behaviors>
        <w:guid w:val="{094EEF9C-4B9C-4313-83B7-47605D0ABE82}"/>
      </w:docPartPr>
      <w:docPartBody>
        <w:p w:rsidR="00F71315" w:rsidRDefault="00A82D09">
          <w:pPr>
            <w:rPr>
              <w:rFonts w:hint="eastAsia"/>
            </w:rPr>
          </w:pPr>
          <w:r>
            <w:rPr>
              <w:color w:val="808080"/>
            </w:rPr>
            <w:t>单击此处输入文字。</w:t>
          </w:r>
        </w:p>
      </w:docPartBody>
    </w:docPart>
    <w:docPart>
      <w:docPartPr>
        <w:name w:val="{d66c418a-9c05-4e04-a596-c608efae587f}"/>
        <w:category>
          <w:name w:val="常规"/>
          <w:gallery w:val="placeholder"/>
        </w:category>
        <w:types>
          <w:type w:val="bbPlcHdr"/>
        </w:types>
        <w:behaviors>
          <w:behavior w:val="content"/>
        </w:behaviors>
        <w:guid w:val="{D66C418A-9C05-4E04-A596-C608EFAE587F}"/>
      </w:docPartPr>
      <w:docPartBody>
        <w:p w:rsidR="00F71315" w:rsidRDefault="00A82D09">
          <w:pPr>
            <w:rPr>
              <w:rFonts w:hint="eastAsia"/>
            </w:rPr>
          </w:pPr>
          <w:r>
            <w:rPr>
              <w:color w:val="808080"/>
            </w:rPr>
            <w:t>单击此处输入文字。</w:t>
          </w:r>
        </w:p>
      </w:docPartBody>
    </w:docPart>
    <w:docPart>
      <w:docPartPr>
        <w:name w:val="{4a32ed3c-fc75-46d0-8db8-55f424a7a846}"/>
        <w:category>
          <w:name w:val="常规"/>
          <w:gallery w:val="placeholder"/>
        </w:category>
        <w:types>
          <w:type w:val="bbPlcHdr"/>
        </w:types>
        <w:behaviors>
          <w:behavior w:val="content"/>
        </w:behaviors>
        <w:guid w:val="{4A32ED3C-FC75-46D0-8DB8-55F424A7A846}"/>
      </w:docPartPr>
      <w:docPartBody>
        <w:p w:rsidR="00F71315" w:rsidRDefault="00A82D09">
          <w:pPr>
            <w:rPr>
              <w:rFonts w:hint="eastAsia"/>
            </w:rPr>
          </w:pPr>
          <w:r>
            <w:rPr>
              <w:color w:val="808080"/>
            </w:rPr>
            <w:t>单击此处输入文字。</w:t>
          </w:r>
        </w:p>
      </w:docPartBody>
    </w:docPart>
    <w:docPart>
      <w:docPartPr>
        <w:name w:val="{7213f473-152a-444d-a664-572d47a95d48}"/>
        <w:category>
          <w:name w:val="常规"/>
          <w:gallery w:val="placeholder"/>
        </w:category>
        <w:types>
          <w:type w:val="bbPlcHdr"/>
        </w:types>
        <w:behaviors>
          <w:behavior w:val="content"/>
        </w:behaviors>
        <w:guid w:val="{7213F473-152A-444D-A664-572D47A95D48}"/>
      </w:docPartPr>
      <w:docPartBody>
        <w:p w:rsidR="00F71315" w:rsidRDefault="00A82D09">
          <w:pPr>
            <w:rPr>
              <w:rFonts w:hint="eastAsia"/>
            </w:rPr>
          </w:pPr>
          <w:r>
            <w:rPr>
              <w:color w:val="808080"/>
            </w:rPr>
            <w:t>单击此处输入文字。</w:t>
          </w:r>
        </w:p>
      </w:docPartBody>
    </w:docPart>
    <w:docPart>
      <w:docPartPr>
        <w:name w:val="{8c5a5df5-5a2e-4359-a874-8f6224d92276}"/>
        <w:category>
          <w:name w:val="常规"/>
          <w:gallery w:val="placeholder"/>
        </w:category>
        <w:types>
          <w:type w:val="bbPlcHdr"/>
        </w:types>
        <w:behaviors>
          <w:behavior w:val="content"/>
        </w:behaviors>
        <w:guid w:val="{8C5A5DF5-5A2E-4359-A874-8F6224D92276}"/>
      </w:docPartPr>
      <w:docPartBody>
        <w:p w:rsidR="00F71315" w:rsidRDefault="00A82D09">
          <w:pPr>
            <w:rPr>
              <w:rFonts w:hint="eastAsia"/>
            </w:rPr>
          </w:pPr>
          <w:r>
            <w:rPr>
              <w:color w:val="808080"/>
            </w:rPr>
            <w:t>单击此处输入文字。</w:t>
          </w:r>
        </w:p>
      </w:docPartBody>
    </w:docPart>
    <w:docPart>
      <w:docPartPr>
        <w:name w:val="{5781a864-e9c9-4ff5-885a-3398b957fa85}"/>
        <w:category>
          <w:name w:val="常规"/>
          <w:gallery w:val="placeholder"/>
        </w:category>
        <w:types>
          <w:type w:val="bbPlcHdr"/>
        </w:types>
        <w:behaviors>
          <w:behavior w:val="content"/>
        </w:behaviors>
        <w:guid w:val="{5781A864-E9C9-4FF5-885A-3398B957FA85}"/>
      </w:docPartPr>
      <w:docPartBody>
        <w:p w:rsidR="00F71315" w:rsidRDefault="00A82D09">
          <w:pPr>
            <w:rPr>
              <w:rFonts w:hint="eastAsia"/>
            </w:rPr>
          </w:pPr>
          <w:r>
            <w:rPr>
              <w:color w:val="808080"/>
            </w:rPr>
            <w:t>单击此处输入文字。</w:t>
          </w:r>
        </w:p>
      </w:docPartBody>
    </w:docPart>
    <w:docPart>
      <w:docPartPr>
        <w:name w:val="{2cb90962-49a4-406a-870e-7ca892ed2ea9}"/>
        <w:category>
          <w:name w:val="常规"/>
          <w:gallery w:val="placeholder"/>
        </w:category>
        <w:types>
          <w:type w:val="bbPlcHdr"/>
        </w:types>
        <w:behaviors>
          <w:behavior w:val="content"/>
        </w:behaviors>
        <w:guid w:val="{2CB90962-49A4-406A-870E-7CA892ED2EA9}"/>
      </w:docPartPr>
      <w:docPartBody>
        <w:p w:rsidR="00F71315" w:rsidRDefault="00A82D09">
          <w:pPr>
            <w:rPr>
              <w:rFonts w:hint="eastAsia"/>
            </w:rPr>
          </w:pPr>
          <w:r>
            <w:rPr>
              <w:color w:val="808080"/>
            </w:rPr>
            <w:t>单击此处输入文字。</w:t>
          </w:r>
        </w:p>
      </w:docPartBody>
    </w:docPart>
    <w:docPart>
      <w:docPartPr>
        <w:name w:val="{99de5723-b5f1-4e26-a691-37de9ae544d2}"/>
        <w:category>
          <w:name w:val="常规"/>
          <w:gallery w:val="placeholder"/>
        </w:category>
        <w:types>
          <w:type w:val="bbPlcHdr"/>
        </w:types>
        <w:behaviors>
          <w:behavior w:val="content"/>
        </w:behaviors>
        <w:guid w:val="{99DE5723-B5F1-4E26-A691-37DE9AE544D2}"/>
      </w:docPartPr>
      <w:docPartBody>
        <w:p w:rsidR="00F71315" w:rsidRDefault="00A82D09">
          <w:pPr>
            <w:rPr>
              <w:rFonts w:hint="eastAsia"/>
            </w:rPr>
          </w:pPr>
          <w:r>
            <w:rPr>
              <w:color w:val="808080"/>
            </w:rPr>
            <w:t>单击此处输入文字。</w:t>
          </w:r>
        </w:p>
      </w:docPartBody>
    </w:docPart>
    <w:docPart>
      <w:docPartPr>
        <w:name w:val="{2d6d49f7-f46f-414a-ba84-927a1a6e7cc8}"/>
        <w:category>
          <w:name w:val="常规"/>
          <w:gallery w:val="placeholder"/>
        </w:category>
        <w:types>
          <w:type w:val="bbPlcHdr"/>
        </w:types>
        <w:behaviors>
          <w:behavior w:val="content"/>
        </w:behaviors>
        <w:guid w:val="{2D6D49F7-F46F-414A-BA84-927A1A6E7CC8}"/>
      </w:docPartPr>
      <w:docPartBody>
        <w:p w:rsidR="00F71315" w:rsidRDefault="00A82D09">
          <w:pPr>
            <w:rPr>
              <w:rFonts w:hint="eastAsia"/>
            </w:rPr>
          </w:pPr>
          <w:r>
            <w:rPr>
              <w:color w:val="808080"/>
            </w:rPr>
            <w:t>单击此处输入文字。</w:t>
          </w:r>
        </w:p>
      </w:docPartBody>
    </w:docPart>
    <w:docPart>
      <w:docPartPr>
        <w:name w:val="{841ecbf8-78be-4ba1-8cbd-abde91255142}"/>
        <w:category>
          <w:name w:val="常规"/>
          <w:gallery w:val="placeholder"/>
        </w:category>
        <w:types>
          <w:type w:val="bbPlcHdr"/>
        </w:types>
        <w:behaviors>
          <w:behavior w:val="content"/>
        </w:behaviors>
        <w:guid w:val="{841ECBF8-78BE-4BA1-8CBD-ABDE91255142}"/>
      </w:docPartPr>
      <w:docPartBody>
        <w:p w:rsidR="00F71315" w:rsidRDefault="00A82D09">
          <w:pPr>
            <w:rPr>
              <w:rFonts w:hint="eastAsia"/>
            </w:rPr>
          </w:pPr>
          <w:r>
            <w:rPr>
              <w:color w:val="808080"/>
            </w:rPr>
            <w:t>单击此处输入文字。</w:t>
          </w:r>
        </w:p>
      </w:docPartBody>
    </w:docPart>
    <w:docPart>
      <w:docPartPr>
        <w:name w:val="{f4a8fb6a-b30e-42c9-97c8-9cffc1d8e079}"/>
        <w:category>
          <w:name w:val="常规"/>
          <w:gallery w:val="placeholder"/>
        </w:category>
        <w:types>
          <w:type w:val="bbPlcHdr"/>
        </w:types>
        <w:behaviors>
          <w:behavior w:val="content"/>
        </w:behaviors>
        <w:guid w:val="{F4A8FB6A-B30E-42C9-97C8-9CFFC1D8E079}"/>
      </w:docPartPr>
      <w:docPartBody>
        <w:p w:rsidR="00F71315" w:rsidRDefault="00A82D09">
          <w:pPr>
            <w:rPr>
              <w:rFonts w:hint="eastAsia"/>
            </w:rPr>
          </w:pPr>
          <w:r>
            <w:rPr>
              <w:color w:val="808080"/>
            </w:rPr>
            <w:t>单击此处输入文字。</w:t>
          </w:r>
        </w:p>
      </w:docPartBody>
    </w:docPart>
    <w:docPart>
      <w:docPartPr>
        <w:name w:val="{066a4c59-4014-49fa-a2f2-34ceb500d481}"/>
        <w:category>
          <w:name w:val="常规"/>
          <w:gallery w:val="placeholder"/>
        </w:category>
        <w:types>
          <w:type w:val="bbPlcHdr"/>
        </w:types>
        <w:behaviors>
          <w:behavior w:val="content"/>
        </w:behaviors>
        <w:guid w:val="{066A4C59-4014-49FA-A2F2-34CEB500D481}"/>
      </w:docPartPr>
      <w:docPartBody>
        <w:p w:rsidR="00F71315" w:rsidRDefault="00A82D09">
          <w:pPr>
            <w:rPr>
              <w:rFonts w:hint="eastAsia"/>
            </w:rPr>
          </w:pPr>
          <w:r>
            <w:rPr>
              <w:color w:val="808080"/>
            </w:rPr>
            <w:t>单击此处输入文字。</w:t>
          </w:r>
        </w:p>
      </w:docPartBody>
    </w:docPart>
    <w:docPart>
      <w:docPartPr>
        <w:name w:val="{702d0dce-ba06-490d-b4b9-9a99e69abec2}"/>
        <w:category>
          <w:name w:val="常规"/>
          <w:gallery w:val="placeholder"/>
        </w:category>
        <w:types>
          <w:type w:val="bbPlcHdr"/>
        </w:types>
        <w:behaviors>
          <w:behavior w:val="content"/>
        </w:behaviors>
        <w:guid w:val="{702D0DCE-BA06-490D-B4B9-9A99E69ABEC2}"/>
      </w:docPartPr>
      <w:docPartBody>
        <w:p w:rsidR="00F71315" w:rsidRDefault="00A82D09">
          <w:pPr>
            <w:rPr>
              <w:rFonts w:hint="eastAsia"/>
            </w:rPr>
          </w:pPr>
          <w:r>
            <w:rPr>
              <w:color w:val="808080"/>
            </w:rPr>
            <w:t>单击此处输入文字。</w:t>
          </w:r>
        </w:p>
      </w:docPartBody>
    </w:docPart>
    <w:docPart>
      <w:docPartPr>
        <w:name w:val="{019ec09e-1eda-4c40-bd92-efbbb1d3571f}"/>
        <w:category>
          <w:name w:val="常规"/>
          <w:gallery w:val="placeholder"/>
        </w:category>
        <w:types>
          <w:type w:val="bbPlcHdr"/>
        </w:types>
        <w:behaviors>
          <w:behavior w:val="content"/>
        </w:behaviors>
        <w:guid w:val="{019EC09E-1EDA-4C40-BD92-EFBBB1D3571F}"/>
      </w:docPartPr>
      <w:docPartBody>
        <w:p w:rsidR="00F71315" w:rsidRDefault="00A82D09">
          <w:pPr>
            <w:rPr>
              <w:rFonts w:hint="eastAsia"/>
            </w:rPr>
          </w:pPr>
          <w:r>
            <w:rPr>
              <w:color w:val="808080"/>
            </w:rPr>
            <w:t>单击此处输入文字。</w:t>
          </w:r>
        </w:p>
      </w:docPartBody>
    </w:docPart>
    <w:docPart>
      <w:docPartPr>
        <w:name w:val="{7c785e05-91d9-47d5-a560-44e0edcfab66}"/>
        <w:category>
          <w:name w:val="常规"/>
          <w:gallery w:val="placeholder"/>
        </w:category>
        <w:types>
          <w:type w:val="bbPlcHdr"/>
        </w:types>
        <w:behaviors>
          <w:behavior w:val="content"/>
        </w:behaviors>
        <w:guid w:val="{7C785E05-91D9-47D5-A560-44E0EDCFAB66}"/>
      </w:docPartPr>
      <w:docPartBody>
        <w:p w:rsidR="00F71315" w:rsidRDefault="00A82D09">
          <w:pPr>
            <w:rPr>
              <w:rFonts w:hint="eastAsia"/>
            </w:rPr>
          </w:pPr>
          <w:r>
            <w:rPr>
              <w:color w:val="808080"/>
            </w:rPr>
            <w:t>单击此处输入文字。</w:t>
          </w:r>
        </w:p>
      </w:docPartBody>
    </w:docPart>
    <w:docPart>
      <w:docPartPr>
        <w:name w:val="{6a8a7304-9d54-4805-9446-b61b8a67ff02}"/>
        <w:category>
          <w:name w:val="常规"/>
          <w:gallery w:val="placeholder"/>
        </w:category>
        <w:types>
          <w:type w:val="bbPlcHdr"/>
        </w:types>
        <w:behaviors>
          <w:behavior w:val="content"/>
        </w:behaviors>
        <w:guid w:val="{6A8A7304-9D54-4805-9446-B61B8A67FF02}"/>
      </w:docPartPr>
      <w:docPartBody>
        <w:p w:rsidR="00F71315" w:rsidRDefault="00A82D09">
          <w:pPr>
            <w:rPr>
              <w:rFonts w:hint="eastAsia"/>
            </w:rPr>
          </w:pPr>
          <w:r>
            <w:rPr>
              <w:color w:val="808080"/>
            </w:rPr>
            <w:t>单击此处输入文字。</w:t>
          </w:r>
        </w:p>
      </w:docPartBody>
    </w:docPart>
    <w:docPart>
      <w:docPartPr>
        <w:name w:val="{c4316bf3-4acf-49df-8929-dc1bc98f2c36}"/>
        <w:category>
          <w:name w:val="常规"/>
          <w:gallery w:val="placeholder"/>
        </w:category>
        <w:types>
          <w:type w:val="bbPlcHdr"/>
        </w:types>
        <w:behaviors>
          <w:behavior w:val="content"/>
        </w:behaviors>
        <w:guid w:val="{C4316BF3-4ACF-49DF-8929-DC1BC98F2C36}"/>
      </w:docPartPr>
      <w:docPartBody>
        <w:p w:rsidR="00F71315" w:rsidRDefault="00A82D09">
          <w:pPr>
            <w:rPr>
              <w:rFonts w:hint="eastAsia"/>
            </w:rPr>
          </w:pPr>
          <w:r>
            <w:rPr>
              <w:color w:val="808080"/>
            </w:rPr>
            <w:t>单击此处输入文字。</w:t>
          </w:r>
        </w:p>
      </w:docPartBody>
    </w:docPart>
    <w:docPart>
      <w:docPartPr>
        <w:name w:val="{cadb23d2-4d5b-4b77-bc61-8d4448137516}"/>
        <w:category>
          <w:name w:val="常规"/>
          <w:gallery w:val="placeholder"/>
        </w:category>
        <w:types>
          <w:type w:val="bbPlcHdr"/>
        </w:types>
        <w:behaviors>
          <w:behavior w:val="content"/>
        </w:behaviors>
        <w:guid w:val="{CADB23D2-4D5B-4B77-BC61-8D4448137516}"/>
      </w:docPartPr>
      <w:docPartBody>
        <w:p w:rsidR="00F71315" w:rsidRDefault="00A82D09">
          <w:pPr>
            <w:rPr>
              <w:rFonts w:hint="eastAsia"/>
            </w:rPr>
          </w:pPr>
          <w:r>
            <w:rPr>
              <w:color w:val="808080"/>
            </w:rPr>
            <w:t>单击此处输入文字。</w:t>
          </w:r>
        </w:p>
      </w:docPartBody>
    </w:docPart>
    <w:docPart>
      <w:docPartPr>
        <w:name w:val="{6eaee802-e1fb-4c4e-a7d0-32f853638141}"/>
        <w:category>
          <w:name w:val="常规"/>
          <w:gallery w:val="placeholder"/>
        </w:category>
        <w:types>
          <w:type w:val="bbPlcHdr"/>
        </w:types>
        <w:behaviors>
          <w:behavior w:val="content"/>
        </w:behaviors>
        <w:guid w:val="{6EAEE802-E1FB-4C4E-A7D0-32F853638141}"/>
      </w:docPartPr>
      <w:docPartBody>
        <w:p w:rsidR="00F71315" w:rsidRDefault="00A82D09">
          <w:pPr>
            <w:rPr>
              <w:rFonts w:hint="eastAsia"/>
            </w:rPr>
          </w:pPr>
          <w:r>
            <w:rPr>
              <w:color w:val="808080"/>
            </w:rPr>
            <w:t>单击此处输入文字。</w:t>
          </w:r>
        </w:p>
      </w:docPartBody>
    </w:docPart>
    <w:docPart>
      <w:docPartPr>
        <w:name w:val="{92cd1629-8be9-4be0-a38e-caf7e825a86b}"/>
        <w:category>
          <w:name w:val="常规"/>
          <w:gallery w:val="placeholder"/>
        </w:category>
        <w:types>
          <w:type w:val="bbPlcHdr"/>
        </w:types>
        <w:behaviors>
          <w:behavior w:val="content"/>
        </w:behaviors>
        <w:guid w:val="{92CD1629-8BE9-4BE0-A38E-CAF7E825A86B}"/>
      </w:docPartPr>
      <w:docPartBody>
        <w:p w:rsidR="00F71315" w:rsidRDefault="00A82D09">
          <w:pPr>
            <w:rPr>
              <w:rFonts w:hint="eastAsia"/>
            </w:rPr>
          </w:pPr>
          <w:r>
            <w:rPr>
              <w:color w:val="808080"/>
            </w:rPr>
            <w:t>单击此处输入文字。</w:t>
          </w:r>
        </w:p>
      </w:docPartBody>
    </w:docPart>
    <w:docPart>
      <w:docPartPr>
        <w:name w:val="{c0172776-9913-49d1-962f-2628e5fd71d9}"/>
        <w:category>
          <w:name w:val="常规"/>
          <w:gallery w:val="placeholder"/>
        </w:category>
        <w:types>
          <w:type w:val="bbPlcHdr"/>
        </w:types>
        <w:behaviors>
          <w:behavior w:val="content"/>
        </w:behaviors>
        <w:guid w:val="{C0172776-9913-49D1-962F-2628E5FD71D9}"/>
      </w:docPartPr>
      <w:docPartBody>
        <w:p w:rsidR="00F71315" w:rsidRDefault="00A82D09">
          <w:pPr>
            <w:rPr>
              <w:rFonts w:hint="eastAsia"/>
            </w:rPr>
          </w:pPr>
          <w:r>
            <w:rPr>
              <w:color w:val="808080"/>
            </w:rPr>
            <w:t>单击此处输入文字。</w:t>
          </w:r>
        </w:p>
      </w:docPartBody>
    </w:docPart>
    <w:docPart>
      <w:docPartPr>
        <w:name w:val="{da42f0f6-39a2-42be-baab-61fd7b0efdb4}"/>
        <w:category>
          <w:name w:val="常规"/>
          <w:gallery w:val="placeholder"/>
        </w:category>
        <w:types>
          <w:type w:val="bbPlcHdr"/>
        </w:types>
        <w:behaviors>
          <w:behavior w:val="content"/>
        </w:behaviors>
        <w:guid w:val="{DA42F0F6-39A2-42BE-BAAB-61FD7B0EFDB4}"/>
      </w:docPartPr>
      <w:docPartBody>
        <w:p w:rsidR="00F71315" w:rsidRDefault="00A82D09">
          <w:pPr>
            <w:rPr>
              <w:rFonts w:hint="eastAsia"/>
            </w:rPr>
          </w:pPr>
          <w:r>
            <w:rPr>
              <w:color w:val="808080"/>
            </w:rPr>
            <w:t>单击此处输入文字。</w:t>
          </w:r>
        </w:p>
      </w:docPartBody>
    </w:docPart>
    <w:docPart>
      <w:docPartPr>
        <w:name w:val="{de7e0ed0-2e5a-4a2a-92bc-517b433fc0de}"/>
        <w:category>
          <w:name w:val="常规"/>
          <w:gallery w:val="placeholder"/>
        </w:category>
        <w:types>
          <w:type w:val="bbPlcHdr"/>
        </w:types>
        <w:behaviors>
          <w:behavior w:val="content"/>
        </w:behaviors>
        <w:guid w:val="{DE7E0ED0-2E5A-4A2A-92BC-517B433FC0DE}"/>
      </w:docPartPr>
      <w:docPartBody>
        <w:p w:rsidR="00F71315" w:rsidRDefault="00A82D09">
          <w:pPr>
            <w:rPr>
              <w:rFonts w:hint="eastAsia"/>
            </w:rPr>
          </w:pPr>
          <w:r>
            <w:rPr>
              <w:color w:val="808080"/>
            </w:rPr>
            <w:t>单击此处输入文字。</w:t>
          </w:r>
        </w:p>
      </w:docPartBody>
    </w:docPart>
    <w:docPart>
      <w:docPartPr>
        <w:name w:val="{5d581b1d-a36c-4a0c-a9a7-3df1469c5902}"/>
        <w:category>
          <w:name w:val="常规"/>
          <w:gallery w:val="placeholder"/>
        </w:category>
        <w:types>
          <w:type w:val="bbPlcHdr"/>
        </w:types>
        <w:behaviors>
          <w:behavior w:val="content"/>
        </w:behaviors>
        <w:guid w:val="{5D581B1D-A36C-4A0C-A9A7-3DF1469C5902}"/>
      </w:docPartPr>
      <w:docPartBody>
        <w:p w:rsidR="00F71315" w:rsidRDefault="00A82D09">
          <w:pPr>
            <w:rPr>
              <w:rFonts w:hint="eastAsia"/>
            </w:rPr>
          </w:pPr>
          <w:r>
            <w:rPr>
              <w:color w:val="808080"/>
            </w:rPr>
            <w:t>单击此处输入文字。</w:t>
          </w:r>
        </w:p>
      </w:docPartBody>
    </w:docPart>
    <w:docPart>
      <w:docPartPr>
        <w:name w:val="{007840a9-8fe3-4d29-bd3f-c66057287de4}"/>
        <w:category>
          <w:name w:val="常规"/>
          <w:gallery w:val="placeholder"/>
        </w:category>
        <w:types>
          <w:type w:val="bbPlcHdr"/>
        </w:types>
        <w:behaviors>
          <w:behavior w:val="content"/>
        </w:behaviors>
        <w:guid w:val="{007840A9-8FE3-4D29-BD3F-C66057287DE4}"/>
      </w:docPartPr>
      <w:docPartBody>
        <w:p w:rsidR="00F71315" w:rsidRDefault="00A82D09">
          <w:pPr>
            <w:rPr>
              <w:rFonts w:hint="eastAsia"/>
            </w:rPr>
          </w:pPr>
          <w:r>
            <w:rPr>
              <w:color w:val="808080"/>
            </w:rPr>
            <w:t>单击此处输入文字。</w:t>
          </w:r>
        </w:p>
      </w:docPartBody>
    </w:docPart>
    <w:docPart>
      <w:docPartPr>
        <w:name w:val="{01f6b6ce-6bb3-42fd-9db0-cfd26d2ce460}"/>
        <w:category>
          <w:name w:val="常规"/>
          <w:gallery w:val="placeholder"/>
        </w:category>
        <w:types>
          <w:type w:val="bbPlcHdr"/>
        </w:types>
        <w:behaviors>
          <w:behavior w:val="content"/>
        </w:behaviors>
        <w:guid w:val="{01F6B6CE-6BB3-42FD-9DB0-CFD26D2CE460}"/>
      </w:docPartPr>
      <w:docPartBody>
        <w:p w:rsidR="00F71315" w:rsidRDefault="00A82D09">
          <w:pPr>
            <w:rPr>
              <w:rFonts w:hint="eastAsia"/>
            </w:rPr>
          </w:pPr>
          <w:r>
            <w:rPr>
              <w:color w:val="808080"/>
            </w:rPr>
            <w:t>单击此处输入文字。</w:t>
          </w:r>
        </w:p>
      </w:docPartBody>
    </w:docPart>
    <w:docPart>
      <w:docPartPr>
        <w:name w:val="{f39bba4b-8274-4d58-9b0c-8c4deed593bd}"/>
        <w:category>
          <w:name w:val="常规"/>
          <w:gallery w:val="placeholder"/>
        </w:category>
        <w:types>
          <w:type w:val="bbPlcHdr"/>
        </w:types>
        <w:behaviors>
          <w:behavior w:val="content"/>
        </w:behaviors>
        <w:guid w:val="{F39BBA4B-8274-4D58-9B0C-8C4DEED593BD}"/>
      </w:docPartPr>
      <w:docPartBody>
        <w:p w:rsidR="00F71315" w:rsidRDefault="00A82D09">
          <w:pPr>
            <w:rPr>
              <w:rFonts w:hint="eastAsia"/>
            </w:rPr>
          </w:pPr>
          <w:r>
            <w:rPr>
              <w:color w:val="808080"/>
            </w:rPr>
            <w:t>单击此处输入文字。</w:t>
          </w:r>
        </w:p>
      </w:docPartBody>
    </w:docPart>
    <w:docPart>
      <w:docPartPr>
        <w:name w:val="{86bc0989-f7b3-42ad-9b14-72c8c4f04371}"/>
        <w:category>
          <w:name w:val="常规"/>
          <w:gallery w:val="placeholder"/>
        </w:category>
        <w:types>
          <w:type w:val="bbPlcHdr"/>
        </w:types>
        <w:behaviors>
          <w:behavior w:val="content"/>
        </w:behaviors>
        <w:guid w:val="{86BC0989-F7B3-42AD-9B14-72C8C4F04371}"/>
      </w:docPartPr>
      <w:docPartBody>
        <w:p w:rsidR="00F71315" w:rsidRDefault="00A82D09">
          <w:pPr>
            <w:rPr>
              <w:rFonts w:hint="eastAsia"/>
            </w:rPr>
          </w:pPr>
          <w:r>
            <w:rPr>
              <w:color w:val="808080"/>
            </w:rPr>
            <w:t>单击此处输入文字。</w:t>
          </w:r>
        </w:p>
      </w:docPartBody>
    </w:docPart>
    <w:docPart>
      <w:docPartPr>
        <w:name w:val="{6e29c513-1926-49cf-90f1-1681be43a8c8}"/>
        <w:category>
          <w:name w:val="常规"/>
          <w:gallery w:val="placeholder"/>
        </w:category>
        <w:types>
          <w:type w:val="bbPlcHdr"/>
        </w:types>
        <w:behaviors>
          <w:behavior w:val="content"/>
        </w:behaviors>
        <w:guid w:val="{6E29C513-1926-49CF-90F1-1681BE43A8C8}"/>
      </w:docPartPr>
      <w:docPartBody>
        <w:p w:rsidR="00F71315" w:rsidRDefault="00A82D09">
          <w:pPr>
            <w:rPr>
              <w:rFonts w:hint="eastAsia"/>
            </w:rPr>
          </w:pPr>
          <w:r>
            <w:rPr>
              <w:color w:val="808080"/>
            </w:rPr>
            <w:t>单击此处输入文字。</w:t>
          </w:r>
        </w:p>
      </w:docPartBody>
    </w:docPart>
    <w:docPart>
      <w:docPartPr>
        <w:name w:val="{65d10d63-3b8f-459f-861b-6df2f6206bfe}"/>
        <w:category>
          <w:name w:val="常规"/>
          <w:gallery w:val="placeholder"/>
        </w:category>
        <w:types>
          <w:type w:val="bbPlcHdr"/>
        </w:types>
        <w:behaviors>
          <w:behavior w:val="content"/>
        </w:behaviors>
        <w:guid w:val="{65D10D63-3B8F-459F-861B-6DF2F6206BFE}"/>
      </w:docPartPr>
      <w:docPartBody>
        <w:p w:rsidR="00F71315" w:rsidRDefault="00A82D09">
          <w:pPr>
            <w:rPr>
              <w:rFonts w:hint="eastAsia"/>
            </w:rPr>
          </w:pPr>
          <w:r>
            <w:rPr>
              <w:color w:val="808080"/>
            </w:rPr>
            <w:t>单击此处输入文字。</w:t>
          </w:r>
        </w:p>
      </w:docPartBody>
    </w:docPart>
    <w:docPart>
      <w:docPartPr>
        <w:name w:val="{132c0d89-4a21-4fcb-86a4-e492f5cc70e1}"/>
        <w:category>
          <w:name w:val="常规"/>
          <w:gallery w:val="placeholder"/>
        </w:category>
        <w:types>
          <w:type w:val="bbPlcHdr"/>
        </w:types>
        <w:behaviors>
          <w:behavior w:val="content"/>
        </w:behaviors>
        <w:guid w:val="{132C0D89-4A21-4FCB-86A4-E492F5CC70E1}"/>
      </w:docPartPr>
      <w:docPartBody>
        <w:p w:rsidR="00F71315" w:rsidRDefault="00A82D09">
          <w:pPr>
            <w:rPr>
              <w:rFonts w:hint="eastAsia"/>
            </w:rPr>
          </w:pPr>
          <w:r>
            <w:rPr>
              <w:color w:val="808080"/>
            </w:rPr>
            <w:t>单击此处输入文字。</w:t>
          </w:r>
        </w:p>
      </w:docPartBody>
    </w:docPart>
    <w:docPart>
      <w:docPartPr>
        <w:name w:val="{9ae45946-deac-4d03-a3a5-087eee5d78fb}"/>
        <w:category>
          <w:name w:val="常规"/>
          <w:gallery w:val="placeholder"/>
        </w:category>
        <w:types>
          <w:type w:val="bbPlcHdr"/>
        </w:types>
        <w:behaviors>
          <w:behavior w:val="content"/>
        </w:behaviors>
        <w:guid w:val="{9AE45946-DEAC-4D03-A3A5-087EEE5D78FB}"/>
      </w:docPartPr>
      <w:docPartBody>
        <w:p w:rsidR="00F71315" w:rsidRDefault="00A82D09">
          <w:pPr>
            <w:rPr>
              <w:rFonts w:hint="eastAsia"/>
            </w:rPr>
          </w:pPr>
          <w:r>
            <w:rPr>
              <w:color w:val="808080"/>
            </w:rPr>
            <w:t>单击此处输入文字。</w:t>
          </w:r>
        </w:p>
      </w:docPartBody>
    </w:docPart>
    <w:docPart>
      <w:docPartPr>
        <w:name w:val="{da1f6388-e4ae-4edb-b04f-d8f83e4471f1}"/>
        <w:category>
          <w:name w:val="常规"/>
          <w:gallery w:val="placeholder"/>
        </w:category>
        <w:types>
          <w:type w:val="bbPlcHdr"/>
        </w:types>
        <w:behaviors>
          <w:behavior w:val="content"/>
        </w:behaviors>
        <w:guid w:val="{DA1F6388-E4AE-4EDB-B04F-D8F83E4471F1}"/>
      </w:docPartPr>
      <w:docPartBody>
        <w:p w:rsidR="00F71315" w:rsidRDefault="00A82D09">
          <w:pPr>
            <w:rPr>
              <w:rFonts w:hint="eastAsia"/>
            </w:rPr>
          </w:pPr>
          <w:r>
            <w:rPr>
              <w:color w:val="808080"/>
            </w:rPr>
            <w:t>单击此处输入文字。</w:t>
          </w:r>
        </w:p>
      </w:docPartBody>
    </w:docPart>
    <w:docPart>
      <w:docPartPr>
        <w:name w:val="{72ed388e-e70d-467b-8ce8-d3f88b8b3ed8}"/>
        <w:category>
          <w:name w:val="常规"/>
          <w:gallery w:val="placeholder"/>
        </w:category>
        <w:types>
          <w:type w:val="bbPlcHdr"/>
        </w:types>
        <w:behaviors>
          <w:behavior w:val="content"/>
        </w:behaviors>
        <w:guid w:val="{72ED388E-E70D-467B-8CE8-D3F88B8B3ED8}"/>
      </w:docPartPr>
      <w:docPartBody>
        <w:p w:rsidR="00F71315" w:rsidRDefault="00A82D09">
          <w:pPr>
            <w:rPr>
              <w:rFonts w:hint="eastAsia"/>
            </w:rPr>
          </w:pPr>
          <w:r>
            <w:rPr>
              <w:color w:val="808080"/>
            </w:rPr>
            <w:t>单击此处输入文字。</w:t>
          </w:r>
        </w:p>
      </w:docPartBody>
    </w:docPart>
    <w:docPart>
      <w:docPartPr>
        <w:name w:val="{19f9d479-419a-416e-baa9-cd855c9a0ca0}"/>
        <w:category>
          <w:name w:val="常规"/>
          <w:gallery w:val="placeholder"/>
        </w:category>
        <w:types>
          <w:type w:val="bbPlcHdr"/>
        </w:types>
        <w:behaviors>
          <w:behavior w:val="content"/>
        </w:behaviors>
        <w:guid w:val="{19F9D479-419A-416E-BAA9-CD855C9A0CA0}"/>
      </w:docPartPr>
      <w:docPartBody>
        <w:p w:rsidR="00F71315" w:rsidRDefault="00A82D09">
          <w:pPr>
            <w:rPr>
              <w:rFonts w:hint="eastAsia"/>
            </w:rPr>
          </w:pPr>
          <w:r>
            <w:rPr>
              <w:color w:val="808080"/>
            </w:rPr>
            <w:t>单击此处输入文字。</w:t>
          </w:r>
        </w:p>
      </w:docPartBody>
    </w:docPart>
    <w:docPart>
      <w:docPartPr>
        <w:name w:val="{55314206-d2e5-48c5-9f88-37a93154e95c}"/>
        <w:category>
          <w:name w:val="常规"/>
          <w:gallery w:val="placeholder"/>
        </w:category>
        <w:types>
          <w:type w:val="bbPlcHdr"/>
        </w:types>
        <w:behaviors>
          <w:behavior w:val="content"/>
        </w:behaviors>
        <w:guid w:val="{55314206-D2E5-48C5-9F88-37A93154E95C}"/>
      </w:docPartPr>
      <w:docPartBody>
        <w:p w:rsidR="00F71315" w:rsidRDefault="00A82D09">
          <w:pPr>
            <w:rPr>
              <w:rFonts w:hint="eastAsia"/>
            </w:rPr>
          </w:pPr>
          <w:r>
            <w:rPr>
              <w:color w:val="808080"/>
            </w:rPr>
            <w:t>单击此处输入文字。</w:t>
          </w:r>
        </w:p>
      </w:docPartBody>
    </w:docPart>
    <w:docPart>
      <w:docPartPr>
        <w:name w:val="{069100f9-07da-4af2-ab0b-597e6b0b4bf4}"/>
        <w:category>
          <w:name w:val="常规"/>
          <w:gallery w:val="placeholder"/>
        </w:category>
        <w:types>
          <w:type w:val="bbPlcHdr"/>
        </w:types>
        <w:behaviors>
          <w:behavior w:val="content"/>
        </w:behaviors>
        <w:guid w:val="{069100F9-07DA-4AF2-AB0B-597E6B0B4BF4}"/>
      </w:docPartPr>
      <w:docPartBody>
        <w:p w:rsidR="00F71315" w:rsidRDefault="00A82D09">
          <w:pPr>
            <w:rPr>
              <w:rFonts w:hint="eastAsia"/>
            </w:rPr>
          </w:pPr>
          <w:r>
            <w:rPr>
              <w:color w:val="808080"/>
            </w:rPr>
            <w:t>单击此处输入文字。</w:t>
          </w:r>
        </w:p>
      </w:docPartBody>
    </w:docPart>
    <w:docPart>
      <w:docPartPr>
        <w:name w:val="{d6f2ad12-91da-4313-9a4b-cee56c917868}"/>
        <w:category>
          <w:name w:val="常规"/>
          <w:gallery w:val="placeholder"/>
        </w:category>
        <w:types>
          <w:type w:val="bbPlcHdr"/>
        </w:types>
        <w:behaviors>
          <w:behavior w:val="content"/>
        </w:behaviors>
        <w:guid w:val="{D6F2AD12-91DA-4313-9A4B-CEE56C917868}"/>
      </w:docPartPr>
      <w:docPartBody>
        <w:p w:rsidR="00F71315" w:rsidRDefault="00A82D09">
          <w:pPr>
            <w:rPr>
              <w:rFonts w:hint="eastAsia"/>
            </w:rPr>
          </w:pPr>
          <w:r>
            <w:rPr>
              <w:color w:val="808080"/>
            </w:rPr>
            <w:t>单击此处输入文字。</w:t>
          </w:r>
        </w:p>
      </w:docPartBody>
    </w:docPart>
    <w:docPart>
      <w:docPartPr>
        <w:name w:val="{39c3e274-91a9-48f0-ac4d-074f4a2020c3}"/>
        <w:category>
          <w:name w:val="常规"/>
          <w:gallery w:val="placeholder"/>
        </w:category>
        <w:types>
          <w:type w:val="bbPlcHdr"/>
        </w:types>
        <w:behaviors>
          <w:behavior w:val="content"/>
        </w:behaviors>
        <w:guid w:val="{39C3E274-91A9-48F0-AC4D-074F4A2020C3}"/>
      </w:docPartPr>
      <w:docPartBody>
        <w:p w:rsidR="00F71315" w:rsidRDefault="00A82D09">
          <w:pPr>
            <w:rPr>
              <w:rFonts w:hint="eastAsia"/>
            </w:rPr>
          </w:pPr>
          <w:r>
            <w:rPr>
              <w:color w:val="808080"/>
            </w:rPr>
            <w:t>单击此处输入文字。</w:t>
          </w:r>
        </w:p>
      </w:docPartBody>
    </w:docPart>
    <w:docPart>
      <w:docPartPr>
        <w:name w:val="{a9320c70-aefd-446e-bdc2-99ee033ea57d}"/>
        <w:category>
          <w:name w:val="常规"/>
          <w:gallery w:val="placeholder"/>
        </w:category>
        <w:types>
          <w:type w:val="bbPlcHdr"/>
        </w:types>
        <w:behaviors>
          <w:behavior w:val="content"/>
        </w:behaviors>
        <w:guid w:val="{A9320C70-AEFD-446E-BDC2-99EE033EA57D}"/>
      </w:docPartPr>
      <w:docPartBody>
        <w:p w:rsidR="00F71315" w:rsidRDefault="00A82D09">
          <w:pPr>
            <w:rPr>
              <w:rFonts w:hint="eastAsia"/>
            </w:rPr>
          </w:pPr>
          <w:r>
            <w:rPr>
              <w:color w:val="808080"/>
            </w:rPr>
            <w:t>单击此处输入文字。</w:t>
          </w:r>
        </w:p>
      </w:docPartBody>
    </w:docPart>
    <w:docPart>
      <w:docPartPr>
        <w:name w:val="{168b6f17-aaa1-4550-b6c7-d1c2861c069c}"/>
        <w:category>
          <w:name w:val="常规"/>
          <w:gallery w:val="placeholder"/>
        </w:category>
        <w:types>
          <w:type w:val="bbPlcHdr"/>
        </w:types>
        <w:behaviors>
          <w:behavior w:val="content"/>
        </w:behaviors>
        <w:guid w:val="{168B6F17-AAA1-4550-B6C7-D1C2861C069C}"/>
      </w:docPartPr>
      <w:docPartBody>
        <w:p w:rsidR="00F71315" w:rsidRDefault="00A82D09">
          <w:pPr>
            <w:rPr>
              <w:rFonts w:hint="eastAsia"/>
            </w:rPr>
          </w:pPr>
          <w:r>
            <w:rPr>
              <w:color w:val="808080"/>
            </w:rPr>
            <w:t>单击此处输入文字。</w:t>
          </w:r>
        </w:p>
      </w:docPartBody>
    </w:docPart>
    <w:docPart>
      <w:docPartPr>
        <w:name w:val="{e540c82f-b55b-433a-85c2-f8d895a696e0}"/>
        <w:category>
          <w:name w:val="常规"/>
          <w:gallery w:val="placeholder"/>
        </w:category>
        <w:types>
          <w:type w:val="bbPlcHdr"/>
        </w:types>
        <w:behaviors>
          <w:behavior w:val="content"/>
        </w:behaviors>
        <w:guid w:val="{E540C82F-B55B-433A-85C2-F8D895A696E0}"/>
      </w:docPartPr>
      <w:docPartBody>
        <w:p w:rsidR="00F71315" w:rsidRDefault="00A82D09">
          <w:pPr>
            <w:rPr>
              <w:rFonts w:hint="eastAsia"/>
            </w:rPr>
          </w:pPr>
          <w:r>
            <w:rPr>
              <w:color w:val="808080"/>
            </w:rPr>
            <w:t>单击此处输入文字。</w:t>
          </w:r>
        </w:p>
      </w:docPartBody>
    </w:docPart>
    <w:docPart>
      <w:docPartPr>
        <w:name w:val="{5e31ab20-d998-4b04-bd26-0d0abc821851}"/>
        <w:category>
          <w:name w:val="常规"/>
          <w:gallery w:val="placeholder"/>
        </w:category>
        <w:types>
          <w:type w:val="bbPlcHdr"/>
        </w:types>
        <w:behaviors>
          <w:behavior w:val="content"/>
        </w:behaviors>
        <w:guid w:val="{5E31AB20-D998-4B04-BD26-0D0ABC821851}"/>
      </w:docPartPr>
      <w:docPartBody>
        <w:p w:rsidR="00F71315" w:rsidRDefault="00A82D09">
          <w:pPr>
            <w:rPr>
              <w:rFonts w:hint="eastAsia"/>
            </w:rPr>
          </w:pPr>
          <w:r>
            <w:rPr>
              <w:color w:val="808080"/>
            </w:rPr>
            <w:t>单击此处输入文字。</w:t>
          </w:r>
        </w:p>
      </w:docPartBody>
    </w:docPart>
    <w:docPart>
      <w:docPartPr>
        <w:name w:val="{c90bba11-d744-49e2-b261-9275edc08186}"/>
        <w:category>
          <w:name w:val="常规"/>
          <w:gallery w:val="placeholder"/>
        </w:category>
        <w:types>
          <w:type w:val="bbPlcHdr"/>
        </w:types>
        <w:behaviors>
          <w:behavior w:val="content"/>
        </w:behaviors>
        <w:guid w:val="{C90BBA11-D744-49E2-B261-9275EDC08186}"/>
      </w:docPartPr>
      <w:docPartBody>
        <w:p w:rsidR="00F71315" w:rsidRDefault="00A82D09">
          <w:pPr>
            <w:rPr>
              <w:rFonts w:hint="eastAsia"/>
            </w:rPr>
          </w:pPr>
          <w:r>
            <w:rPr>
              <w:color w:val="808080"/>
            </w:rPr>
            <w:t>单击此处输入文字。</w:t>
          </w:r>
        </w:p>
      </w:docPartBody>
    </w:docPart>
    <w:docPart>
      <w:docPartPr>
        <w:name w:val="{20fcd14b-4413-4df1-8e5b-3834ceb50c45}"/>
        <w:category>
          <w:name w:val="常规"/>
          <w:gallery w:val="placeholder"/>
        </w:category>
        <w:types>
          <w:type w:val="bbPlcHdr"/>
        </w:types>
        <w:behaviors>
          <w:behavior w:val="content"/>
        </w:behaviors>
        <w:guid w:val="{20FCD14B-4413-4DF1-8E5B-3834CEB50C45}"/>
      </w:docPartPr>
      <w:docPartBody>
        <w:p w:rsidR="00F71315" w:rsidRDefault="00A82D09">
          <w:pPr>
            <w:rPr>
              <w:rFonts w:hint="eastAsia"/>
            </w:rPr>
          </w:pPr>
          <w:r>
            <w:rPr>
              <w:color w:val="808080"/>
            </w:rPr>
            <w:t>单击此处输入文字。</w:t>
          </w:r>
        </w:p>
      </w:docPartBody>
    </w:docPart>
    <w:docPart>
      <w:docPartPr>
        <w:name w:val="{1840a25f-9088-4233-813e-7781020f0863}"/>
        <w:category>
          <w:name w:val="常规"/>
          <w:gallery w:val="placeholder"/>
        </w:category>
        <w:types>
          <w:type w:val="bbPlcHdr"/>
        </w:types>
        <w:behaviors>
          <w:behavior w:val="content"/>
        </w:behaviors>
        <w:guid w:val="{1840A25F-9088-4233-813E-7781020F0863}"/>
      </w:docPartPr>
      <w:docPartBody>
        <w:p w:rsidR="00F71315" w:rsidRDefault="00A82D09">
          <w:pPr>
            <w:rPr>
              <w:rFonts w:hint="eastAsia"/>
            </w:rPr>
          </w:pPr>
          <w:r>
            <w:rPr>
              <w:color w:val="808080"/>
            </w:rPr>
            <w:t>单击此处输入文字。</w:t>
          </w:r>
        </w:p>
      </w:docPartBody>
    </w:docPart>
    <w:docPart>
      <w:docPartPr>
        <w:name w:val="{80ff12a4-bf8d-4908-a446-9346570d5bc2}"/>
        <w:category>
          <w:name w:val="常规"/>
          <w:gallery w:val="placeholder"/>
        </w:category>
        <w:types>
          <w:type w:val="bbPlcHdr"/>
        </w:types>
        <w:behaviors>
          <w:behavior w:val="content"/>
        </w:behaviors>
        <w:guid w:val="{80FF12A4-BF8D-4908-A446-9346570D5BC2}"/>
      </w:docPartPr>
      <w:docPartBody>
        <w:p w:rsidR="00F71315" w:rsidRDefault="00A82D09">
          <w:pPr>
            <w:rPr>
              <w:rFonts w:hint="eastAsia"/>
            </w:rPr>
          </w:pPr>
          <w:r>
            <w:rPr>
              <w:color w:val="808080"/>
            </w:rPr>
            <w:t>单击此处输入文字。</w:t>
          </w:r>
        </w:p>
      </w:docPartBody>
    </w:docPart>
    <w:docPart>
      <w:docPartPr>
        <w:name w:val="{0796188b-111a-4e38-9e81-c430e561dd7b}"/>
        <w:category>
          <w:name w:val="常规"/>
          <w:gallery w:val="placeholder"/>
        </w:category>
        <w:types>
          <w:type w:val="bbPlcHdr"/>
        </w:types>
        <w:behaviors>
          <w:behavior w:val="content"/>
        </w:behaviors>
        <w:guid w:val="{0796188B-111A-4E38-9E81-C430E561DD7B}"/>
      </w:docPartPr>
      <w:docPartBody>
        <w:p w:rsidR="00F71315" w:rsidRDefault="00A82D09">
          <w:pPr>
            <w:rPr>
              <w:rFonts w:hint="eastAsia"/>
            </w:rPr>
          </w:pPr>
          <w:r>
            <w:rPr>
              <w:color w:val="808080"/>
            </w:rPr>
            <w:t>单击此处输入文字。</w:t>
          </w:r>
        </w:p>
      </w:docPartBody>
    </w:docPart>
    <w:docPart>
      <w:docPartPr>
        <w:name w:val="{024635ae-aca8-4bdd-9059-b3af528ba926}"/>
        <w:category>
          <w:name w:val="常规"/>
          <w:gallery w:val="placeholder"/>
        </w:category>
        <w:types>
          <w:type w:val="bbPlcHdr"/>
        </w:types>
        <w:behaviors>
          <w:behavior w:val="content"/>
        </w:behaviors>
        <w:guid w:val="{024635AE-ACA8-4BDD-9059-B3AF528BA926}"/>
      </w:docPartPr>
      <w:docPartBody>
        <w:p w:rsidR="00F71315" w:rsidRDefault="00A82D09">
          <w:pPr>
            <w:rPr>
              <w:rFonts w:hint="eastAsia"/>
            </w:rPr>
          </w:pPr>
          <w:r>
            <w:rPr>
              <w:color w:val="808080"/>
            </w:rPr>
            <w:t>单击此处输入文字。</w:t>
          </w:r>
        </w:p>
      </w:docPartBody>
    </w:docPart>
    <w:docPart>
      <w:docPartPr>
        <w:name w:val="{1aa7ff65-a858-45fb-962d-6efce88f0937}"/>
        <w:category>
          <w:name w:val="常规"/>
          <w:gallery w:val="placeholder"/>
        </w:category>
        <w:types>
          <w:type w:val="bbPlcHdr"/>
        </w:types>
        <w:behaviors>
          <w:behavior w:val="content"/>
        </w:behaviors>
        <w:guid w:val="{1AA7FF65-A858-45FB-962D-6EFCE88F0937}"/>
      </w:docPartPr>
      <w:docPartBody>
        <w:p w:rsidR="00F71315" w:rsidRDefault="00A82D09">
          <w:pPr>
            <w:rPr>
              <w:rFonts w:hint="eastAsia"/>
            </w:rPr>
          </w:pPr>
          <w:r>
            <w:rPr>
              <w:color w:val="808080"/>
            </w:rPr>
            <w:t>单击此处输入文字。</w:t>
          </w:r>
        </w:p>
      </w:docPartBody>
    </w:docPart>
    <w:docPart>
      <w:docPartPr>
        <w:name w:val="{0b5510d3-f3bd-4ca2-86ce-fdfedb088839}"/>
        <w:category>
          <w:name w:val="常规"/>
          <w:gallery w:val="placeholder"/>
        </w:category>
        <w:types>
          <w:type w:val="bbPlcHdr"/>
        </w:types>
        <w:behaviors>
          <w:behavior w:val="content"/>
        </w:behaviors>
        <w:guid w:val="{0B5510D3-F3BD-4CA2-86CE-FDFEDB088839}"/>
      </w:docPartPr>
      <w:docPartBody>
        <w:p w:rsidR="00F71315" w:rsidRDefault="00A82D09">
          <w:pPr>
            <w:rPr>
              <w:rFonts w:hint="eastAsia"/>
            </w:rPr>
          </w:pPr>
          <w:r>
            <w:rPr>
              <w:color w:val="808080"/>
            </w:rPr>
            <w:t>单击此处输入文字。</w:t>
          </w:r>
        </w:p>
      </w:docPartBody>
    </w:docPart>
    <w:docPart>
      <w:docPartPr>
        <w:name w:val="{68297074-48ec-4859-a466-244074829e40}"/>
        <w:category>
          <w:name w:val="常规"/>
          <w:gallery w:val="placeholder"/>
        </w:category>
        <w:types>
          <w:type w:val="bbPlcHdr"/>
        </w:types>
        <w:behaviors>
          <w:behavior w:val="content"/>
        </w:behaviors>
        <w:guid w:val="{68297074-48EC-4859-A466-244074829E40}"/>
      </w:docPartPr>
      <w:docPartBody>
        <w:p w:rsidR="00F71315" w:rsidRDefault="00A82D09">
          <w:pPr>
            <w:rPr>
              <w:rFonts w:hint="eastAsia"/>
            </w:rPr>
          </w:pPr>
          <w:r>
            <w:rPr>
              <w:color w:val="808080"/>
            </w:rPr>
            <w:t>单击此处输入文字。</w:t>
          </w:r>
        </w:p>
      </w:docPartBody>
    </w:docPart>
    <w:docPart>
      <w:docPartPr>
        <w:name w:val="{eb1c848e-94f7-48f8-98c9-06654877e604}"/>
        <w:category>
          <w:name w:val="常规"/>
          <w:gallery w:val="placeholder"/>
        </w:category>
        <w:types>
          <w:type w:val="bbPlcHdr"/>
        </w:types>
        <w:behaviors>
          <w:behavior w:val="content"/>
        </w:behaviors>
        <w:guid w:val="{EB1C848E-94F7-48F8-98C9-06654877E604}"/>
      </w:docPartPr>
      <w:docPartBody>
        <w:p w:rsidR="00F71315" w:rsidRDefault="00A82D09">
          <w:pPr>
            <w:rPr>
              <w:rFonts w:hint="eastAsia"/>
            </w:rPr>
          </w:pPr>
          <w:r>
            <w:rPr>
              <w:color w:val="808080"/>
            </w:rPr>
            <w:t>单击此处输入文字。</w:t>
          </w:r>
        </w:p>
      </w:docPartBody>
    </w:docPart>
    <w:docPart>
      <w:docPartPr>
        <w:name w:val="{b032e886-8a9e-4efe-b52e-4cc5cd5a5d5d}"/>
        <w:category>
          <w:name w:val="常规"/>
          <w:gallery w:val="placeholder"/>
        </w:category>
        <w:types>
          <w:type w:val="bbPlcHdr"/>
        </w:types>
        <w:behaviors>
          <w:behavior w:val="content"/>
        </w:behaviors>
        <w:guid w:val="{B032E886-8A9E-4EFE-B52E-4CC5CD5A5D5D}"/>
      </w:docPartPr>
      <w:docPartBody>
        <w:p w:rsidR="00F71315" w:rsidRDefault="00A82D09">
          <w:pPr>
            <w:rPr>
              <w:rFonts w:hint="eastAsia"/>
            </w:rPr>
          </w:pPr>
          <w:r>
            <w:rPr>
              <w:color w:val="808080"/>
            </w:rPr>
            <w:t>单击此处输入文字。</w:t>
          </w:r>
        </w:p>
      </w:docPartBody>
    </w:docPart>
    <w:docPart>
      <w:docPartPr>
        <w:name w:val="{317dbf40-8b95-43d3-bc72-6d9691616688}"/>
        <w:category>
          <w:name w:val="常规"/>
          <w:gallery w:val="placeholder"/>
        </w:category>
        <w:types>
          <w:type w:val="bbPlcHdr"/>
        </w:types>
        <w:behaviors>
          <w:behavior w:val="content"/>
        </w:behaviors>
        <w:guid w:val="{317DBF40-8B95-43D3-BC72-6D9691616688}"/>
      </w:docPartPr>
      <w:docPartBody>
        <w:p w:rsidR="00F71315" w:rsidRDefault="00A82D09">
          <w:pPr>
            <w:rPr>
              <w:rFonts w:hint="eastAsia"/>
            </w:rPr>
          </w:pPr>
          <w:r>
            <w:rPr>
              <w:color w:val="808080"/>
            </w:rPr>
            <w:t>单击此处输入文字。</w:t>
          </w:r>
        </w:p>
      </w:docPartBody>
    </w:docPart>
    <w:docPart>
      <w:docPartPr>
        <w:name w:val="{84442d8e-7e52-4dcf-8810-326e6e706f14}"/>
        <w:category>
          <w:name w:val="常规"/>
          <w:gallery w:val="placeholder"/>
        </w:category>
        <w:types>
          <w:type w:val="bbPlcHdr"/>
        </w:types>
        <w:behaviors>
          <w:behavior w:val="content"/>
        </w:behaviors>
        <w:guid w:val="{84442D8E-7E52-4DCF-8810-326E6E706F14}"/>
      </w:docPartPr>
      <w:docPartBody>
        <w:p w:rsidR="00F71315" w:rsidRDefault="00A82D09">
          <w:pPr>
            <w:rPr>
              <w:rFonts w:hint="eastAsia"/>
            </w:rPr>
          </w:pPr>
          <w:r>
            <w:rPr>
              <w:color w:val="808080"/>
            </w:rPr>
            <w:t>单击此处输入文字。</w:t>
          </w:r>
        </w:p>
      </w:docPartBody>
    </w:docPart>
    <w:docPart>
      <w:docPartPr>
        <w:name w:val="{a1032f52-e1c5-44b7-9ef3-671de5b034df}"/>
        <w:category>
          <w:name w:val="常规"/>
          <w:gallery w:val="placeholder"/>
        </w:category>
        <w:types>
          <w:type w:val="bbPlcHdr"/>
        </w:types>
        <w:behaviors>
          <w:behavior w:val="content"/>
        </w:behaviors>
        <w:guid w:val="{A1032F52-E1C5-44B7-9EF3-671DE5B034DF}"/>
      </w:docPartPr>
      <w:docPartBody>
        <w:p w:rsidR="00F71315" w:rsidRDefault="00A82D09">
          <w:pPr>
            <w:rPr>
              <w:rFonts w:hint="eastAsia"/>
            </w:rPr>
          </w:pPr>
          <w:r>
            <w:rPr>
              <w:color w:val="808080"/>
            </w:rPr>
            <w:t>单击此处输入文字。</w:t>
          </w:r>
        </w:p>
      </w:docPartBody>
    </w:docPart>
    <w:docPart>
      <w:docPartPr>
        <w:name w:val="{fb92dcca-2d20-4868-a52e-998b5d025665}"/>
        <w:category>
          <w:name w:val="常规"/>
          <w:gallery w:val="placeholder"/>
        </w:category>
        <w:types>
          <w:type w:val="bbPlcHdr"/>
        </w:types>
        <w:behaviors>
          <w:behavior w:val="content"/>
        </w:behaviors>
        <w:guid w:val="{FB92DCCA-2D20-4868-A52E-998B5D025665}"/>
      </w:docPartPr>
      <w:docPartBody>
        <w:p w:rsidR="00F71315" w:rsidRDefault="00A82D09">
          <w:pPr>
            <w:rPr>
              <w:rFonts w:hint="eastAsia"/>
            </w:rPr>
          </w:pPr>
          <w:r>
            <w:rPr>
              <w:color w:val="808080"/>
            </w:rPr>
            <w:t>单击此处输入文字。</w:t>
          </w:r>
        </w:p>
      </w:docPartBody>
    </w:docPart>
    <w:docPart>
      <w:docPartPr>
        <w:name w:val="{5a5d2aa7-8e19-4cb1-9736-a523802ba133}"/>
        <w:category>
          <w:name w:val="常规"/>
          <w:gallery w:val="placeholder"/>
        </w:category>
        <w:types>
          <w:type w:val="bbPlcHdr"/>
        </w:types>
        <w:behaviors>
          <w:behavior w:val="content"/>
        </w:behaviors>
        <w:guid w:val="{5A5D2AA7-8E19-4CB1-9736-A523802BA133}"/>
      </w:docPartPr>
      <w:docPartBody>
        <w:p w:rsidR="00F71315" w:rsidRDefault="00A82D09">
          <w:pPr>
            <w:rPr>
              <w:rFonts w:hint="eastAsia"/>
            </w:rPr>
          </w:pPr>
          <w:r>
            <w:rPr>
              <w:color w:val="808080"/>
            </w:rPr>
            <w:t>单击此处输入文字。</w:t>
          </w:r>
        </w:p>
      </w:docPartBody>
    </w:docPart>
    <w:docPart>
      <w:docPartPr>
        <w:name w:val="{36e0d8f3-b56e-401d-9076-d5e567a4387b}"/>
        <w:category>
          <w:name w:val="常规"/>
          <w:gallery w:val="placeholder"/>
        </w:category>
        <w:types>
          <w:type w:val="bbPlcHdr"/>
        </w:types>
        <w:behaviors>
          <w:behavior w:val="content"/>
        </w:behaviors>
        <w:guid w:val="{36E0D8F3-B56E-401D-9076-D5E567A4387B}"/>
      </w:docPartPr>
      <w:docPartBody>
        <w:p w:rsidR="00F71315" w:rsidRDefault="00A82D09">
          <w:pPr>
            <w:rPr>
              <w:rFonts w:hint="eastAsia"/>
            </w:rPr>
          </w:pPr>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长城黑体">
    <w:altName w:val="宋体"/>
    <w:charset w:val="86"/>
    <w:family w:val="modern"/>
    <w:pitch w:val="default"/>
    <w:sig w:usb0="00000000" w:usb1="00000000" w:usb2="00000010" w:usb3="00000000" w:csb0="00040000" w:csb1="00000000"/>
  </w:font>
  <w:font w:name="MingLiU">
    <w:altName w:val="細明體"/>
    <w:panose1 w:val="02010609000101010101"/>
    <w:charset w:val="88"/>
    <w:family w:val="modern"/>
    <w:pitch w:val="fixed"/>
    <w:sig w:usb0="A00002FF" w:usb1="28CFFCFA" w:usb2="00000016" w:usb3="00000000" w:csb0="00100001"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瀹嬩綋">
    <w:altName w:val="宋体"/>
    <w:charset w:val="86"/>
    <w:family w:val="auto"/>
    <w:pitch w:val="default"/>
    <w:sig w:usb0="00000000" w:usb1="0000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420"/>
  <w:characterSpacingControl w:val="doNotCompress"/>
  <w:compat>
    <w:useFELayout/>
    <w:splitPgBreakAndParaMark/>
    <w:compatSetting w:name="compatibilityMode" w:uri="http://schemas.microsoft.com/office/word" w:val="12"/>
    <w:compatSetting w:name="useWord2013TrackBottomHyphenation" w:uri="http://schemas.microsoft.com/office/word" w:val="1"/>
  </w:compat>
  <w:rsids>
    <w:rsidRoot w:val="00860A4F"/>
    <w:rsid w:val="000A4A7F"/>
    <w:rsid w:val="001B2936"/>
    <w:rsid w:val="006C01F2"/>
    <w:rsid w:val="0083761A"/>
    <w:rsid w:val="00860A4F"/>
    <w:rsid w:val="009E186E"/>
    <w:rsid w:val="00A57366"/>
    <w:rsid w:val="00A82D09"/>
    <w:rsid w:val="00C029E9"/>
    <w:rsid w:val="00F713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4A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169</Pages>
  <Words>16312</Words>
  <Characters>92982</Characters>
  <Application>Microsoft Office Word</Application>
  <DocSecurity>0</DocSecurity>
  <Lines>774</Lines>
  <Paragraphs>218</Paragraphs>
  <ScaleCrop>false</ScaleCrop>
  <Company/>
  <LinksUpToDate>false</LinksUpToDate>
  <CharactersWithSpaces>109076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新疆健坤生态文旅有限公司玉龙喀什河河道治理及两岸生态修复项目</dc:title>
  <dc:creator>程艳</dc:creator>
  <cp:lastModifiedBy>Don Wong</cp:lastModifiedBy>
  <cp:revision>19</cp:revision>
  <dcterms:created xsi:type="dcterms:W3CDTF">2019-03-07T14:28:00Z</dcterms:created>
  <dcterms:modified xsi:type="dcterms:W3CDTF">2025-02-17T04:04:00Z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